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35884227"/>
        <w:docPartObj>
          <w:docPartGallery w:val="Cover Pages"/>
          <w:docPartUnique/>
        </w:docPartObj>
      </w:sdtPr>
      <w:sdtContent>
        <w:p w:rsidR="00A62923" w:rsidRDefault="003B6C0D" w:rsidP="00855CA1">
          <w:pPr>
            <w:jc w:val="center"/>
          </w:pPr>
          <w:r>
            <w:rPr>
              <w:noProof/>
            </w:rPr>
            <w:drawing>
              <wp:inline distT="0" distB="0" distL="0" distR="0" wp14:anchorId="3EEF1228" wp14:editId="74987087">
                <wp:extent cx="3248025" cy="3781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o-fire-near-griggs-11884620_G1.jpg"/>
                        <pic:cNvPicPr/>
                      </pic:nvPicPr>
                      <pic:blipFill rotWithShape="1">
                        <a:blip r:embed="rId10">
                          <a:extLst>
                            <a:ext uri="{28A0092B-C50C-407E-A947-70E740481C1C}">
                              <a14:useLocalDpi xmlns:a14="http://schemas.microsoft.com/office/drawing/2010/main" val="0"/>
                            </a:ext>
                          </a:extLst>
                        </a:blip>
                        <a:srcRect r="35579"/>
                        <a:stretch/>
                      </pic:blipFill>
                      <pic:spPr bwMode="auto">
                        <a:xfrm>
                          <a:off x="0" y="0"/>
                          <a:ext cx="3252116" cy="3786188"/>
                        </a:xfrm>
                        <a:prstGeom prst="rect">
                          <a:avLst/>
                        </a:prstGeom>
                        <a:ln>
                          <a:noFill/>
                        </a:ln>
                        <a:extLst>
                          <a:ext uri="{53640926-AAD7-44D8-BBD7-CCE9431645EC}">
                            <a14:shadowObscured xmlns:a14="http://schemas.microsoft.com/office/drawing/2010/main"/>
                          </a:ext>
                        </a:extLst>
                      </pic:spPr>
                    </pic:pic>
                  </a:graphicData>
                </a:graphic>
              </wp:inline>
            </w:drawing>
          </w:r>
          <w:r w:rsidR="00A62923">
            <w:rPr>
              <w:noProof/>
            </w:rPr>
            <mc:AlternateContent>
              <mc:Choice Requires="wps">
                <w:drawing>
                  <wp:anchor distT="0" distB="0" distL="114300" distR="114300" simplePos="0" relativeHeight="251691008" behindDoc="1" locked="0" layoutInCell="1" allowOverlap="1" wp14:anchorId="5BDCB76E" wp14:editId="3D75DDEA">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381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tx2">
                                <a:lumMod val="40000"/>
                                <a:lumOff val="6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04392144"/>
                                  <w:dataBinding w:prefixMappings="xmlns:ns0='http://schemas.openxmlformats.org/package/2006/metadata/core-properties' xmlns:ns1='http://purl.org/dc/elements/1.1/'" w:xpath="/ns0:coreProperties[1]/ns1:title[1]" w:storeItemID="{6C3C8BC8-F283-45AE-878A-BAB7291924A1}"/>
                                  <w:text/>
                                </w:sdtPr>
                                <w:sdtContent>
                                  <w:p w:rsidR="003E1951" w:rsidRDefault="003E1951">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Standards of Cover</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2547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" fillcolor="#8db3e2 [1311]" stroked="f">
                    <v:textbox inset="18pt,,108pt,7.2pt">
                      <w:txbxContent>
                        <w:sdt>
                          <w:sdtPr>
                            <w:rPr>
                              <w:rFonts w:asciiTheme="majorHAnsi" w:eastAsiaTheme="majorEastAsia" w:hAnsiTheme="majorHAnsi" w:cstheme="majorBidi"/>
                              <w:color w:val="FFFFFF" w:themeColor="background1"/>
                              <w:sz w:val="84"/>
                              <w:szCs w:val="72"/>
                            </w:rPr>
                            <w:alias w:val="Title"/>
                            <w:id w:val="104392144"/>
                            <w:dataBinding w:prefixMappings="xmlns:ns0='http://schemas.openxmlformats.org/package/2006/metadata/core-properties' xmlns:ns1='http://purl.org/dc/elements/1.1/'" w:xpath="/ns0:coreProperties[1]/ns1:title[1]" w:storeItemID="{6C3C8BC8-F283-45AE-878A-BAB7291924A1}"/>
                            <w:text/>
                          </w:sdtPr>
                          <w:sdtContent>
                            <w:p w:rsidR="003E1951" w:rsidRDefault="003E1951">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Standards of Cover</w:t>
                              </w:r>
                            </w:p>
                          </w:sdtContent>
                        </w:sdt>
                      </w:txbxContent>
                    </v:textbox>
                    <w10:wrap anchorx="margin" anchory="margin"/>
                  </v:rect>
                </w:pict>
              </mc:Fallback>
            </mc:AlternateContent>
          </w:r>
        </w:p>
        <w:p w:rsidR="00A62923" w:rsidRDefault="00A62923"/>
        <w:p w:rsidR="00A62923" w:rsidRDefault="00A62923"/>
        <w:p w:rsidR="00A62923" w:rsidRDefault="00A62923"/>
        <w:p w:rsidR="00A62923" w:rsidRDefault="00A62923">
          <w:r>
            <w:rPr>
              <w:noProof/>
            </w:rPr>
            <mc:AlternateContent>
              <mc:Choice Requires="wps">
                <w:drawing>
                  <wp:anchor distT="0" distB="0" distL="114300" distR="114300" simplePos="0" relativeHeight="251693056" behindDoc="0" locked="0" layoutInCell="1" allowOverlap="1" wp14:anchorId="67208DFB" wp14:editId="66F3D2CA">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657002199"/>
                                  <w:dataBinding w:prefixMappings="xmlns:ns0='http://schemas.openxmlformats.org/officeDocument/2006/extended-properties'" w:xpath="/ns0:Properties[1]/ns0:Company[1]" w:storeItemID="{6668398D-A668-4E3E-A5EB-62B293D839F1}"/>
                                  <w:text/>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City of Pasco</w:t>
                                    </w:r>
                                  </w:p>
                                </w:sdtContent>
                              </w:sdt>
                              <w:sdt>
                                <w:sdtPr>
                                  <w:rPr>
                                    <w:b/>
                                    <w:bCs/>
                                    <w:color w:val="1F497D" w:themeColor="text2"/>
                                    <w:spacing w:val="60"/>
                                    <w:sz w:val="20"/>
                                    <w:szCs w:val="20"/>
                                  </w:rPr>
                                  <w:alias w:val="Address"/>
                                  <w:id w:val="824396596"/>
                                  <w:dataBinding w:prefixMappings="xmlns:ns0='http://schemas.microsoft.com/office/2006/coverPageProps'" w:xpath="/ns0:CoverPageProperties[1]/ns0:CompanyAddress[1]" w:storeItemID="{55AF091B-3C7A-41E3-B477-F2FDAA23CFDA}"/>
                                  <w:text w:multiLine="1"/>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 xml:space="preserve">1011 E. Ainsworth Ave. </w:t>
                                    </w:r>
                                    <w:r>
                                      <w:rPr>
                                        <w:b/>
                                        <w:bCs/>
                                        <w:color w:val="1F497D" w:themeColor="text2"/>
                                        <w:spacing w:val="60"/>
                                        <w:sz w:val="20"/>
                                        <w:szCs w:val="20"/>
                                      </w:rPr>
                                      <w:br/>
                                      <w:t>Pasco, WA.</w:t>
                                    </w:r>
                                  </w:p>
                                </w:sdtContent>
                              </w:sdt>
                              <w:sdt>
                                <w:sdtPr>
                                  <w:rPr>
                                    <w:b/>
                                    <w:bCs/>
                                    <w:color w:val="1F497D" w:themeColor="text2"/>
                                    <w:spacing w:val="60"/>
                                    <w:sz w:val="20"/>
                                    <w:szCs w:val="20"/>
                                  </w:rPr>
                                  <w:alias w:val="Phone"/>
                                  <w:id w:val="1889445267"/>
                                  <w:dataBinding w:prefixMappings="xmlns:ns0='http://schemas.microsoft.com/office/2006/coverPageProps'" w:xpath="/ns0:CoverPageProperties[1]/ns0:CompanyPhone[1]" w:storeItemID="{55AF091B-3C7A-41E3-B477-F2FDAA23CFDA}"/>
                                  <w:text/>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509-545-3426</w:t>
                                    </w:r>
                                  </w:p>
                                </w:sdtContent>
                              </w:sdt>
                              <w:sdt>
                                <w:sdtPr>
                                  <w:rPr>
                                    <w:b/>
                                    <w:bCs/>
                                    <w:color w:val="1F497D" w:themeColor="text2"/>
                                    <w:spacing w:val="60"/>
                                    <w:sz w:val="20"/>
                                    <w:szCs w:val="20"/>
                                  </w:rPr>
                                  <w:alias w:val="Fax"/>
                                  <w:id w:val="1728028989"/>
                                  <w:dataBinding w:prefixMappings="xmlns:ns0='http://schemas.microsoft.com/office/2006/coverPageProps'" w:xpath="/ns0:CoverPageProperties[1]/ns0:CompanyFax[1]" w:storeItemID="{55AF091B-3C7A-41E3-B477-F2FDAA23CFDA}"/>
                                  <w:text/>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509-543-5717</w:t>
                                    </w:r>
                                  </w:p>
                                </w:sdtContent>
                              </w:sdt>
                              <w:sdt>
                                <w:sdtPr>
                                  <w:rPr>
                                    <w:b/>
                                    <w:bCs/>
                                    <w:color w:val="1F497D" w:themeColor="text2"/>
                                    <w:spacing w:val="60"/>
                                    <w:sz w:val="20"/>
                                    <w:szCs w:val="20"/>
                                  </w:rPr>
                                  <w:alias w:val="Date"/>
                                  <w:id w:val="-104740942"/>
                                  <w:dataBinding w:prefixMappings="xmlns:ns0='http://schemas.microsoft.com/office/2006/coverPageProps'" w:xpath="/ns0:CoverPageProperties[1]/ns0:PublishDate[1]" w:storeItemID="{55AF091B-3C7A-41E3-B477-F2FDAA23CFDA}"/>
                                  <w:date w:fullDate="2017-02-07T00:00:00Z">
                                    <w:dateFormat w:val="M/d/yyyy"/>
                                    <w:lid w:val="en-US"/>
                                    <w:storeMappedDataAs w:val="dateTime"/>
                                    <w:calendar w:val="gregorian"/>
                                  </w:date>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2/7/2017</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9305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657002199"/>
                            <w:dataBinding w:prefixMappings="xmlns:ns0='http://schemas.openxmlformats.org/officeDocument/2006/extended-properties'" w:xpath="/ns0:Properties[1]/ns0:Company[1]" w:storeItemID="{6668398D-A668-4E3E-A5EB-62B293D839F1}"/>
                            <w:text/>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City of Pasco</w:t>
                              </w:r>
                            </w:p>
                          </w:sdtContent>
                        </w:sdt>
                        <w:sdt>
                          <w:sdtPr>
                            <w:rPr>
                              <w:b/>
                              <w:bCs/>
                              <w:color w:val="1F497D" w:themeColor="text2"/>
                              <w:spacing w:val="60"/>
                              <w:sz w:val="20"/>
                              <w:szCs w:val="20"/>
                            </w:rPr>
                            <w:alias w:val="Address"/>
                            <w:id w:val="824396596"/>
                            <w:dataBinding w:prefixMappings="xmlns:ns0='http://schemas.microsoft.com/office/2006/coverPageProps'" w:xpath="/ns0:CoverPageProperties[1]/ns0:CompanyAddress[1]" w:storeItemID="{55AF091B-3C7A-41E3-B477-F2FDAA23CFDA}"/>
                            <w:text w:multiLine="1"/>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 xml:space="preserve">1011 E. Ainsworth Ave. </w:t>
                              </w:r>
                              <w:r>
                                <w:rPr>
                                  <w:b/>
                                  <w:bCs/>
                                  <w:color w:val="1F497D" w:themeColor="text2"/>
                                  <w:spacing w:val="60"/>
                                  <w:sz w:val="20"/>
                                  <w:szCs w:val="20"/>
                                </w:rPr>
                                <w:br/>
                                <w:t>Pasco, WA.</w:t>
                              </w:r>
                            </w:p>
                          </w:sdtContent>
                        </w:sdt>
                        <w:sdt>
                          <w:sdtPr>
                            <w:rPr>
                              <w:b/>
                              <w:bCs/>
                              <w:color w:val="1F497D" w:themeColor="text2"/>
                              <w:spacing w:val="60"/>
                              <w:sz w:val="20"/>
                              <w:szCs w:val="20"/>
                            </w:rPr>
                            <w:alias w:val="Phone"/>
                            <w:id w:val="1889445267"/>
                            <w:dataBinding w:prefixMappings="xmlns:ns0='http://schemas.microsoft.com/office/2006/coverPageProps'" w:xpath="/ns0:CoverPageProperties[1]/ns0:CompanyPhone[1]" w:storeItemID="{55AF091B-3C7A-41E3-B477-F2FDAA23CFDA}"/>
                            <w:text/>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509-545-3426</w:t>
                              </w:r>
                            </w:p>
                          </w:sdtContent>
                        </w:sdt>
                        <w:sdt>
                          <w:sdtPr>
                            <w:rPr>
                              <w:b/>
                              <w:bCs/>
                              <w:color w:val="1F497D" w:themeColor="text2"/>
                              <w:spacing w:val="60"/>
                              <w:sz w:val="20"/>
                              <w:szCs w:val="20"/>
                            </w:rPr>
                            <w:alias w:val="Fax"/>
                            <w:id w:val="1728028989"/>
                            <w:dataBinding w:prefixMappings="xmlns:ns0='http://schemas.microsoft.com/office/2006/coverPageProps'" w:xpath="/ns0:CoverPageProperties[1]/ns0:CompanyFax[1]" w:storeItemID="{55AF091B-3C7A-41E3-B477-F2FDAA23CFDA}"/>
                            <w:text/>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509-543-5717</w:t>
                              </w:r>
                            </w:p>
                          </w:sdtContent>
                        </w:sdt>
                        <w:sdt>
                          <w:sdtPr>
                            <w:rPr>
                              <w:b/>
                              <w:bCs/>
                              <w:color w:val="1F497D" w:themeColor="text2"/>
                              <w:spacing w:val="60"/>
                              <w:sz w:val="20"/>
                              <w:szCs w:val="20"/>
                            </w:rPr>
                            <w:alias w:val="Date"/>
                            <w:id w:val="-104740942"/>
                            <w:dataBinding w:prefixMappings="xmlns:ns0='http://schemas.microsoft.com/office/2006/coverPageProps'" w:xpath="/ns0:CoverPageProperties[1]/ns0:PublishDate[1]" w:storeItemID="{55AF091B-3C7A-41E3-B477-F2FDAA23CFDA}"/>
                            <w:date w:fullDate="2017-02-07T00:00:00Z">
                              <w:dateFormat w:val="M/d/yyyy"/>
                              <w:lid w:val="en-US"/>
                              <w:storeMappedDataAs w:val="dateTime"/>
                              <w:calendar w:val="gregorian"/>
                            </w:date>
                          </w:sdtPr>
                          <w:sdtContent>
                            <w:p w:rsidR="003E1951" w:rsidRDefault="003E1951">
                              <w:pPr>
                                <w:suppressOverlap/>
                                <w:jc w:val="right"/>
                                <w:rPr>
                                  <w:b/>
                                  <w:bCs/>
                                  <w:color w:val="1F497D" w:themeColor="text2"/>
                                  <w:spacing w:val="60"/>
                                  <w:sz w:val="20"/>
                                  <w:szCs w:val="20"/>
                                </w:rPr>
                              </w:pPr>
                              <w:r>
                                <w:rPr>
                                  <w:b/>
                                  <w:bCs/>
                                  <w:color w:val="1F497D" w:themeColor="text2"/>
                                  <w:spacing w:val="60"/>
                                  <w:sz w:val="20"/>
                                  <w:szCs w:val="20"/>
                                </w:rPr>
                                <w:t>2/7/2017</w:t>
                              </w:r>
                            </w:p>
                          </w:sdtContent>
                        </w:sdt>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1" allowOverlap="1" wp14:anchorId="32EA6BD8" wp14:editId="66381CDA">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1897779231"/>
                                  <w:dataBinding w:prefixMappings="xmlns:ns0='http://schemas.openxmlformats.org/package/2006/metadata/core-properties' xmlns:ns1='http://purl.org/dc/elements/1.1/'" w:xpath="/ns0:coreProperties[1]/ns1:creator[1]" w:storeItemID="{6C3C8BC8-F283-45AE-878A-BAB7291924A1}"/>
                                  <w:text/>
                                </w:sdtPr>
                                <w:sdtContent>
                                  <w:p w:rsidR="003E1951" w:rsidRDefault="003E1951">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David Hare</w:t>
                                    </w:r>
                                  </w:p>
                                </w:sdtContent>
                              </w:sdt>
                              <w:sdt>
                                <w:sdtPr>
                                  <w:rPr>
                                    <w:color w:val="1F497D" w:themeColor="text2"/>
                                  </w:rPr>
                                  <w:alias w:val="Abstract"/>
                                  <w:id w:val="-1541821024"/>
                                  <w:dataBinding w:prefixMappings="xmlns:ns0='http://schemas.microsoft.com/office/2006/coverPageProps'" w:xpath="/ns0:CoverPageProperties[1]/ns0:Abstract[1]" w:storeItemID="{55AF091B-3C7A-41E3-B477-F2FDAA23CFDA}"/>
                                  <w:text/>
                                </w:sdtPr>
                                <w:sdtContent>
                                  <w:p w:rsidR="003E1951" w:rsidRDefault="003E1951">
                                    <w:pPr>
                                      <w:suppressOverlap/>
                                      <w:rPr>
                                        <w:color w:val="1F497D" w:themeColor="text2"/>
                                      </w:rPr>
                                    </w:pPr>
                                    <w:r>
                                      <w:rPr>
                                        <w:color w:val="1F497D" w:themeColor="text2"/>
                                      </w:rPr>
                                      <w:t>The Standards of Cover provides a foundational examination of the community risks, organization, response capabilities and resources of the Pasco Fire Department as they exist as of the date of the document.</w:t>
                                    </w:r>
                                  </w:p>
                                </w:sdtContent>
                              </w:sdt>
                              <w:p w:rsidR="003E1951" w:rsidRDefault="003E1951"/>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9408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1897779231"/>
                            <w:dataBinding w:prefixMappings="xmlns:ns0='http://schemas.openxmlformats.org/package/2006/metadata/core-properties' xmlns:ns1='http://purl.org/dc/elements/1.1/'" w:xpath="/ns0:coreProperties[1]/ns1:creator[1]" w:storeItemID="{6C3C8BC8-F283-45AE-878A-BAB7291924A1}"/>
                            <w:text/>
                          </w:sdtPr>
                          <w:sdtContent>
                            <w:p w:rsidR="003E1951" w:rsidRDefault="003E1951">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David Hare</w:t>
                              </w:r>
                            </w:p>
                          </w:sdtContent>
                        </w:sdt>
                        <w:sdt>
                          <w:sdtPr>
                            <w:rPr>
                              <w:color w:val="1F497D" w:themeColor="text2"/>
                            </w:rPr>
                            <w:alias w:val="Abstract"/>
                            <w:id w:val="-1541821024"/>
                            <w:dataBinding w:prefixMappings="xmlns:ns0='http://schemas.microsoft.com/office/2006/coverPageProps'" w:xpath="/ns0:CoverPageProperties[1]/ns0:Abstract[1]" w:storeItemID="{55AF091B-3C7A-41E3-B477-F2FDAA23CFDA}"/>
                            <w:text/>
                          </w:sdtPr>
                          <w:sdtContent>
                            <w:p w:rsidR="003E1951" w:rsidRDefault="003E1951">
                              <w:pPr>
                                <w:suppressOverlap/>
                                <w:rPr>
                                  <w:color w:val="1F497D" w:themeColor="text2"/>
                                </w:rPr>
                              </w:pPr>
                              <w:r>
                                <w:rPr>
                                  <w:color w:val="1F497D" w:themeColor="text2"/>
                                </w:rPr>
                                <w:t>The Standards of Cover provides a foundational examination of the community risks, organization, response capabilities and resources of the Pasco Fire Department as they exist as of the date of the document.</w:t>
                              </w:r>
                            </w:p>
                          </w:sdtContent>
                        </w:sdt>
                        <w:p w:rsidR="003E1951" w:rsidRDefault="003E1951"/>
                      </w:txbxContent>
                    </v:textbox>
                    <w10:wrap anchorx="margin" anchory="margin"/>
                  </v:shape>
                </w:pict>
              </mc:Fallback>
            </mc:AlternateContent>
          </w:r>
          <w:r>
            <w:rPr>
              <w:noProof/>
            </w:rPr>
            <mc:AlternateContent>
              <mc:Choice Requires="wps">
                <w:drawing>
                  <wp:anchor distT="0" distB="0" distL="114300" distR="114300" simplePos="0" relativeHeight="251689984" behindDoc="1" locked="0" layoutInCell="1" allowOverlap="1" wp14:anchorId="11B7B9CE" wp14:editId="505FC8CF">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D81699" id="Rectangle 388" o:spid="_x0000_s1026" style="position:absolute;margin-left:0;margin-top:0;width:514.8pt;height:291.6pt;z-index:-25162649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br w:type="page"/>
          </w:r>
        </w:p>
      </w:sdtContent>
    </w:sdt>
    <w:p w:rsidR="00D345B0" w:rsidRDefault="00D345B0" w:rsidP="00D345B0">
      <w:pPr>
        <w:jc w:val="center"/>
        <w:rPr>
          <w:rFonts w:ascii="Bookman Old Style" w:hAnsi="Bookman Old Style"/>
          <w:sz w:val="28"/>
          <w:szCs w:val="28"/>
        </w:rPr>
      </w:pPr>
      <w:r>
        <w:rPr>
          <w:rFonts w:ascii="Bookman Old Style" w:hAnsi="Bookman Old Style"/>
          <w:sz w:val="28"/>
          <w:szCs w:val="28"/>
        </w:rPr>
        <w:lastRenderedPageBreak/>
        <w:t>Table of Contents</w:t>
      </w:r>
    </w:p>
    <w:p w:rsidR="00D345B0" w:rsidRPr="00D345B0" w:rsidRDefault="00D345B0" w:rsidP="00D345B0">
      <w:pPr>
        <w:rPr>
          <w:rFonts w:ascii="Bookman Old Style" w:hAnsi="Bookman Old Style"/>
          <w:sz w:val="24"/>
          <w:szCs w:val="24"/>
        </w:rPr>
      </w:pPr>
    </w:p>
    <w:sdt>
      <w:sdtPr>
        <w:rPr>
          <w:rFonts w:asciiTheme="minorHAnsi" w:eastAsiaTheme="minorHAnsi" w:hAnsiTheme="minorHAnsi" w:cstheme="minorBidi"/>
          <w:b w:val="0"/>
          <w:bCs w:val="0"/>
          <w:color w:val="auto"/>
          <w:sz w:val="22"/>
          <w:szCs w:val="22"/>
          <w:lang w:eastAsia="en-US"/>
        </w:rPr>
        <w:id w:val="-104735340"/>
        <w:docPartObj>
          <w:docPartGallery w:val="Table of Contents"/>
          <w:docPartUnique/>
        </w:docPartObj>
      </w:sdtPr>
      <w:sdtEndPr>
        <w:rPr>
          <w:noProof/>
        </w:rPr>
      </w:sdtEndPr>
      <w:sdtContent>
        <w:p w:rsidR="00E002D7" w:rsidRDefault="00E002D7">
          <w:pPr>
            <w:pStyle w:val="TOCHeading"/>
          </w:pPr>
        </w:p>
        <w:p w:rsidR="00812E4C" w:rsidRDefault="00E002D7">
          <w:pPr>
            <w:pStyle w:val="TOC1"/>
            <w:rPr>
              <w:rFonts w:asciiTheme="minorHAnsi" w:eastAsiaTheme="minorEastAsia" w:hAnsiTheme="minorHAnsi"/>
              <w:sz w:val="22"/>
              <w:szCs w:val="22"/>
            </w:rPr>
          </w:pPr>
          <w:r>
            <w:fldChar w:fldCharType="begin"/>
          </w:r>
          <w:r>
            <w:instrText xml:space="preserve"> TOC \o "1-7" \h \z \u </w:instrText>
          </w:r>
          <w:r>
            <w:fldChar w:fldCharType="separate"/>
          </w:r>
          <w:hyperlink w:anchor="_Toc475003844" w:history="1">
            <w:r w:rsidR="00812E4C" w:rsidRPr="004B02BE">
              <w:rPr>
                <w:rStyle w:val="Hyperlink"/>
                <w:i/>
              </w:rPr>
              <w:t>Section I</w:t>
            </w:r>
            <w:r w:rsidR="00812E4C">
              <w:rPr>
                <w:webHidden/>
              </w:rPr>
              <w:tab/>
            </w:r>
            <w:r w:rsidR="00812E4C">
              <w:rPr>
                <w:webHidden/>
              </w:rPr>
              <w:fldChar w:fldCharType="begin"/>
            </w:r>
            <w:r w:rsidR="00812E4C">
              <w:rPr>
                <w:webHidden/>
              </w:rPr>
              <w:instrText xml:space="preserve"> PAGEREF _Toc475003844 \h </w:instrText>
            </w:r>
            <w:r w:rsidR="00812E4C">
              <w:rPr>
                <w:webHidden/>
              </w:rPr>
            </w:r>
            <w:r w:rsidR="00812E4C">
              <w:rPr>
                <w:webHidden/>
              </w:rPr>
              <w:fldChar w:fldCharType="separate"/>
            </w:r>
            <w:r w:rsidR="006C649F">
              <w:rPr>
                <w:webHidden/>
              </w:rPr>
              <w:t>2</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45" w:history="1">
            <w:r w:rsidR="00812E4C" w:rsidRPr="004B02BE">
              <w:rPr>
                <w:rStyle w:val="Hyperlink"/>
                <w:i/>
                <w:noProof/>
              </w:rPr>
              <w:t>Introduction</w:t>
            </w:r>
            <w:r w:rsidR="00812E4C">
              <w:rPr>
                <w:noProof/>
                <w:webHidden/>
              </w:rPr>
              <w:tab/>
            </w:r>
            <w:r w:rsidR="00812E4C">
              <w:rPr>
                <w:noProof/>
                <w:webHidden/>
              </w:rPr>
              <w:fldChar w:fldCharType="begin"/>
            </w:r>
            <w:r w:rsidR="00812E4C">
              <w:rPr>
                <w:noProof/>
                <w:webHidden/>
              </w:rPr>
              <w:instrText xml:space="preserve"> PAGEREF _Toc475003845 \h </w:instrText>
            </w:r>
            <w:r w:rsidR="00812E4C">
              <w:rPr>
                <w:noProof/>
                <w:webHidden/>
              </w:rPr>
            </w:r>
            <w:r w:rsidR="00812E4C">
              <w:rPr>
                <w:noProof/>
                <w:webHidden/>
              </w:rPr>
              <w:fldChar w:fldCharType="separate"/>
            </w:r>
            <w:r w:rsidR="006C649F">
              <w:rPr>
                <w:noProof/>
                <w:webHidden/>
              </w:rPr>
              <w:t>2</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46" w:history="1">
            <w:r w:rsidR="00812E4C" w:rsidRPr="004B02BE">
              <w:rPr>
                <w:rStyle w:val="Hyperlink"/>
                <w:i/>
              </w:rPr>
              <w:t>Section II</w:t>
            </w:r>
            <w:r w:rsidR="00812E4C">
              <w:rPr>
                <w:webHidden/>
              </w:rPr>
              <w:tab/>
            </w:r>
            <w:r w:rsidR="00812E4C">
              <w:rPr>
                <w:webHidden/>
              </w:rPr>
              <w:fldChar w:fldCharType="begin"/>
            </w:r>
            <w:r w:rsidR="00812E4C">
              <w:rPr>
                <w:webHidden/>
              </w:rPr>
              <w:instrText xml:space="preserve"> PAGEREF _Toc475003846 \h </w:instrText>
            </w:r>
            <w:r w:rsidR="00812E4C">
              <w:rPr>
                <w:webHidden/>
              </w:rPr>
            </w:r>
            <w:r w:rsidR="00812E4C">
              <w:rPr>
                <w:webHidden/>
              </w:rPr>
              <w:fldChar w:fldCharType="separate"/>
            </w:r>
            <w:r w:rsidR="006C649F">
              <w:rPr>
                <w:webHidden/>
              </w:rPr>
              <w:t>4</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47" w:history="1">
            <w:r w:rsidR="00812E4C" w:rsidRPr="004B02BE">
              <w:rPr>
                <w:rStyle w:val="Hyperlink"/>
                <w:i/>
                <w:noProof/>
              </w:rPr>
              <w:t>Community Overview</w:t>
            </w:r>
            <w:r w:rsidR="00812E4C">
              <w:rPr>
                <w:noProof/>
                <w:webHidden/>
              </w:rPr>
              <w:tab/>
            </w:r>
            <w:r w:rsidR="00812E4C">
              <w:rPr>
                <w:noProof/>
                <w:webHidden/>
              </w:rPr>
              <w:fldChar w:fldCharType="begin"/>
            </w:r>
            <w:r w:rsidR="00812E4C">
              <w:rPr>
                <w:noProof/>
                <w:webHidden/>
              </w:rPr>
              <w:instrText xml:space="preserve"> PAGEREF _Toc475003847 \h </w:instrText>
            </w:r>
            <w:r w:rsidR="00812E4C">
              <w:rPr>
                <w:noProof/>
                <w:webHidden/>
              </w:rPr>
            </w:r>
            <w:r w:rsidR="00812E4C">
              <w:rPr>
                <w:noProof/>
                <w:webHidden/>
              </w:rPr>
              <w:fldChar w:fldCharType="separate"/>
            </w:r>
            <w:r w:rsidR="006C649F">
              <w:rPr>
                <w:noProof/>
                <w:webHidden/>
              </w:rPr>
              <w:t>4</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48" w:history="1">
            <w:r w:rsidR="00812E4C" w:rsidRPr="004B02BE">
              <w:rPr>
                <w:rStyle w:val="Hyperlink"/>
                <w:i/>
              </w:rPr>
              <w:t>Section III</w:t>
            </w:r>
            <w:r w:rsidR="00812E4C">
              <w:rPr>
                <w:webHidden/>
              </w:rPr>
              <w:tab/>
            </w:r>
            <w:r w:rsidR="00812E4C">
              <w:rPr>
                <w:webHidden/>
              </w:rPr>
              <w:fldChar w:fldCharType="begin"/>
            </w:r>
            <w:r w:rsidR="00812E4C">
              <w:rPr>
                <w:webHidden/>
              </w:rPr>
              <w:instrText xml:space="preserve"> PAGEREF _Toc475003848 \h </w:instrText>
            </w:r>
            <w:r w:rsidR="00812E4C">
              <w:rPr>
                <w:webHidden/>
              </w:rPr>
            </w:r>
            <w:r w:rsidR="00812E4C">
              <w:rPr>
                <w:webHidden/>
              </w:rPr>
              <w:fldChar w:fldCharType="separate"/>
            </w:r>
            <w:r w:rsidR="006C649F">
              <w:rPr>
                <w:webHidden/>
              </w:rPr>
              <w:t>9</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49" w:history="1">
            <w:r w:rsidR="00812E4C" w:rsidRPr="004B02BE">
              <w:rPr>
                <w:rStyle w:val="Hyperlink"/>
                <w:i/>
                <w:noProof/>
              </w:rPr>
              <w:t>Risk Assessment</w:t>
            </w:r>
            <w:r w:rsidR="00812E4C">
              <w:rPr>
                <w:noProof/>
                <w:webHidden/>
              </w:rPr>
              <w:tab/>
            </w:r>
            <w:r w:rsidR="00812E4C">
              <w:rPr>
                <w:noProof/>
                <w:webHidden/>
              </w:rPr>
              <w:fldChar w:fldCharType="begin"/>
            </w:r>
            <w:r w:rsidR="00812E4C">
              <w:rPr>
                <w:noProof/>
                <w:webHidden/>
              </w:rPr>
              <w:instrText xml:space="preserve"> PAGEREF _Toc475003849 \h </w:instrText>
            </w:r>
            <w:r w:rsidR="00812E4C">
              <w:rPr>
                <w:noProof/>
                <w:webHidden/>
              </w:rPr>
            </w:r>
            <w:r w:rsidR="00812E4C">
              <w:rPr>
                <w:noProof/>
                <w:webHidden/>
              </w:rPr>
              <w:fldChar w:fldCharType="separate"/>
            </w:r>
            <w:r w:rsidR="006C649F">
              <w:rPr>
                <w:noProof/>
                <w:webHidden/>
              </w:rPr>
              <w:t>9</w:t>
            </w:r>
            <w:r w:rsidR="00812E4C">
              <w:rPr>
                <w:noProof/>
                <w:webHidden/>
              </w:rPr>
              <w:fldChar w:fldCharType="end"/>
            </w:r>
          </w:hyperlink>
        </w:p>
        <w:p w:rsidR="00812E4C" w:rsidRDefault="003E1951">
          <w:pPr>
            <w:pStyle w:val="TOC3"/>
            <w:tabs>
              <w:tab w:val="right" w:leader="dot" w:pos="9350"/>
            </w:tabs>
            <w:rPr>
              <w:rFonts w:eastAsiaTheme="minorEastAsia"/>
              <w:noProof/>
            </w:rPr>
          </w:pPr>
          <w:hyperlink w:anchor="_Toc475003850" w:history="1">
            <w:r w:rsidR="00812E4C" w:rsidRPr="004B02BE">
              <w:rPr>
                <w:rStyle w:val="Hyperlink"/>
                <w:i/>
                <w:noProof/>
              </w:rPr>
              <w:t>Risk Analysis</w:t>
            </w:r>
            <w:r w:rsidR="00812E4C">
              <w:rPr>
                <w:noProof/>
                <w:webHidden/>
              </w:rPr>
              <w:tab/>
            </w:r>
            <w:r w:rsidR="00812E4C">
              <w:rPr>
                <w:noProof/>
                <w:webHidden/>
              </w:rPr>
              <w:fldChar w:fldCharType="begin"/>
            </w:r>
            <w:r w:rsidR="00812E4C">
              <w:rPr>
                <w:noProof/>
                <w:webHidden/>
              </w:rPr>
              <w:instrText xml:space="preserve"> PAGEREF _Toc475003850 \h </w:instrText>
            </w:r>
            <w:r w:rsidR="00812E4C">
              <w:rPr>
                <w:noProof/>
                <w:webHidden/>
              </w:rPr>
            </w:r>
            <w:r w:rsidR="00812E4C">
              <w:rPr>
                <w:noProof/>
                <w:webHidden/>
              </w:rPr>
              <w:fldChar w:fldCharType="separate"/>
            </w:r>
            <w:r w:rsidR="006C649F">
              <w:rPr>
                <w:noProof/>
                <w:webHidden/>
              </w:rPr>
              <w:t>23</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51" w:history="1">
            <w:r w:rsidR="00812E4C" w:rsidRPr="004B02BE">
              <w:rPr>
                <w:rStyle w:val="Hyperlink"/>
                <w:i/>
              </w:rPr>
              <w:t>Section IV</w:t>
            </w:r>
            <w:r w:rsidR="00812E4C">
              <w:rPr>
                <w:webHidden/>
              </w:rPr>
              <w:tab/>
            </w:r>
            <w:r w:rsidR="00812E4C">
              <w:rPr>
                <w:webHidden/>
              </w:rPr>
              <w:fldChar w:fldCharType="begin"/>
            </w:r>
            <w:r w:rsidR="00812E4C">
              <w:rPr>
                <w:webHidden/>
              </w:rPr>
              <w:instrText xml:space="preserve"> PAGEREF _Toc475003851 \h </w:instrText>
            </w:r>
            <w:r w:rsidR="00812E4C">
              <w:rPr>
                <w:webHidden/>
              </w:rPr>
            </w:r>
            <w:r w:rsidR="00812E4C">
              <w:rPr>
                <w:webHidden/>
              </w:rPr>
              <w:fldChar w:fldCharType="separate"/>
            </w:r>
            <w:r w:rsidR="006C649F">
              <w:rPr>
                <w:webHidden/>
              </w:rPr>
              <w:t>43</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52" w:history="1">
            <w:r w:rsidR="00812E4C" w:rsidRPr="004B02BE">
              <w:rPr>
                <w:rStyle w:val="Hyperlink"/>
                <w:i/>
                <w:noProof/>
              </w:rPr>
              <w:t>Response Statistics</w:t>
            </w:r>
            <w:r w:rsidR="00812E4C">
              <w:rPr>
                <w:noProof/>
                <w:webHidden/>
              </w:rPr>
              <w:tab/>
            </w:r>
            <w:r w:rsidR="00812E4C">
              <w:rPr>
                <w:noProof/>
                <w:webHidden/>
              </w:rPr>
              <w:fldChar w:fldCharType="begin"/>
            </w:r>
            <w:r w:rsidR="00812E4C">
              <w:rPr>
                <w:noProof/>
                <w:webHidden/>
              </w:rPr>
              <w:instrText xml:space="preserve"> PAGEREF _Toc475003852 \h </w:instrText>
            </w:r>
            <w:r w:rsidR="00812E4C">
              <w:rPr>
                <w:noProof/>
                <w:webHidden/>
              </w:rPr>
            </w:r>
            <w:r w:rsidR="00812E4C">
              <w:rPr>
                <w:noProof/>
                <w:webHidden/>
              </w:rPr>
              <w:fldChar w:fldCharType="separate"/>
            </w:r>
            <w:r w:rsidR="006C649F">
              <w:rPr>
                <w:noProof/>
                <w:webHidden/>
              </w:rPr>
              <w:t>43</w:t>
            </w:r>
            <w:r w:rsidR="00812E4C">
              <w:rPr>
                <w:noProof/>
                <w:webHidden/>
              </w:rPr>
              <w:fldChar w:fldCharType="end"/>
            </w:r>
          </w:hyperlink>
        </w:p>
        <w:p w:rsidR="00812E4C" w:rsidRDefault="003E1951">
          <w:pPr>
            <w:pStyle w:val="TOC3"/>
            <w:tabs>
              <w:tab w:val="right" w:leader="dot" w:pos="9350"/>
            </w:tabs>
            <w:rPr>
              <w:rFonts w:eastAsiaTheme="minorEastAsia"/>
              <w:noProof/>
            </w:rPr>
          </w:pPr>
          <w:hyperlink w:anchor="_Toc475003853" w:history="1">
            <w:r w:rsidR="00812E4C" w:rsidRPr="004B02BE">
              <w:rPr>
                <w:rStyle w:val="Hyperlink"/>
                <w:i/>
                <w:noProof/>
              </w:rPr>
              <w:t>Fire Department Organizational Overview</w:t>
            </w:r>
            <w:r w:rsidR="00812E4C">
              <w:rPr>
                <w:noProof/>
                <w:webHidden/>
              </w:rPr>
              <w:tab/>
            </w:r>
            <w:r w:rsidR="00812E4C">
              <w:rPr>
                <w:noProof/>
                <w:webHidden/>
              </w:rPr>
              <w:fldChar w:fldCharType="begin"/>
            </w:r>
            <w:r w:rsidR="00812E4C">
              <w:rPr>
                <w:noProof/>
                <w:webHidden/>
              </w:rPr>
              <w:instrText xml:space="preserve"> PAGEREF _Toc475003853 \h </w:instrText>
            </w:r>
            <w:r w:rsidR="00812E4C">
              <w:rPr>
                <w:noProof/>
                <w:webHidden/>
              </w:rPr>
            </w:r>
            <w:r w:rsidR="00812E4C">
              <w:rPr>
                <w:noProof/>
                <w:webHidden/>
              </w:rPr>
              <w:fldChar w:fldCharType="separate"/>
            </w:r>
            <w:r w:rsidR="006C649F">
              <w:rPr>
                <w:noProof/>
                <w:webHidden/>
              </w:rPr>
              <w:t>28</w:t>
            </w:r>
            <w:r w:rsidR="00812E4C">
              <w:rPr>
                <w:noProof/>
                <w:webHidden/>
              </w:rPr>
              <w:fldChar w:fldCharType="end"/>
            </w:r>
          </w:hyperlink>
        </w:p>
        <w:p w:rsidR="00812E4C" w:rsidRDefault="003E1951">
          <w:pPr>
            <w:pStyle w:val="TOC4"/>
            <w:tabs>
              <w:tab w:val="right" w:leader="dot" w:pos="9350"/>
            </w:tabs>
            <w:rPr>
              <w:rFonts w:eastAsiaTheme="minorEastAsia"/>
              <w:noProof/>
            </w:rPr>
          </w:pPr>
          <w:hyperlink w:anchor="_Toc475003854" w:history="1">
            <w:r w:rsidR="00812E4C" w:rsidRPr="004B02BE">
              <w:rPr>
                <w:rStyle w:val="Hyperlink"/>
                <w:noProof/>
              </w:rPr>
              <w:t>Personnel</w:t>
            </w:r>
            <w:r w:rsidR="00812E4C">
              <w:rPr>
                <w:noProof/>
                <w:webHidden/>
              </w:rPr>
              <w:tab/>
            </w:r>
            <w:r w:rsidR="00812E4C">
              <w:rPr>
                <w:noProof/>
                <w:webHidden/>
              </w:rPr>
              <w:fldChar w:fldCharType="begin"/>
            </w:r>
            <w:r w:rsidR="00812E4C">
              <w:rPr>
                <w:noProof/>
                <w:webHidden/>
              </w:rPr>
              <w:instrText xml:space="preserve"> PAGEREF _Toc475003854 \h </w:instrText>
            </w:r>
            <w:r w:rsidR="00812E4C">
              <w:rPr>
                <w:noProof/>
                <w:webHidden/>
              </w:rPr>
            </w:r>
            <w:r w:rsidR="00812E4C">
              <w:rPr>
                <w:noProof/>
                <w:webHidden/>
              </w:rPr>
              <w:fldChar w:fldCharType="separate"/>
            </w:r>
            <w:r w:rsidR="006C649F">
              <w:rPr>
                <w:noProof/>
                <w:webHidden/>
              </w:rPr>
              <w:t>30</w:t>
            </w:r>
            <w:r w:rsidR="00812E4C">
              <w:rPr>
                <w:noProof/>
                <w:webHidden/>
              </w:rPr>
              <w:fldChar w:fldCharType="end"/>
            </w:r>
          </w:hyperlink>
        </w:p>
        <w:p w:rsidR="00812E4C" w:rsidRDefault="003E1951">
          <w:pPr>
            <w:pStyle w:val="TOC5"/>
            <w:tabs>
              <w:tab w:val="right" w:leader="dot" w:pos="9350"/>
            </w:tabs>
            <w:rPr>
              <w:rFonts w:eastAsiaTheme="minorEastAsia"/>
              <w:noProof/>
            </w:rPr>
          </w:pPr>
          <w:hyperlink w:anchor="_Toc475003855" w:history="1">
            <w:r w:rsidR="00812E4C" w:rsidRPr="004B02BE">
              <w:rPr>
                <w:rStyle w:val="Hyperlink"/>
                <w:noProof/>
              </w:rPr>
              <w:t>Service Area</w:t>
            </w:r>
            <w:r w:rsidR="00812E4C">
              <w:rPr>
                <w:noProof/>
                <w:webHidden/>
              </w:rPr>
              <w:tab/>
            </w:r>
            <w:r w:rsidR="00812E4C">
              <w:rPr>
                <w:noProof/>
                <w:webHidden/>
              </w:rPr>
              <w:fldChar w:fldCharType="begin"/>
            </w:r>
            <w:r w:rsidR="00812E4C">
              <w:rPr>
                <w:noProof/>
                <w:webHidden/>
              </w:rPr>
              <w:instrText xml:space="preserve"> PAGEREF _Toc475003855 \h </w:instrText>
            </w:r>
            <w:r w:rsidR="00812E4C">
              <w:rPr>
                <w:noProof/>
                <w:webHidden/>
              </w:rPr>
            </w:r>
            <w:r w:rsidR="00812E4C">
              <w:rPr>
                <w:noProof/>
                <w:webHidden/>
              </w:rPr>
              <w:fldChar w:fldCharType="separate"/>
            </w:r>
            <w:r w:rsidR="006C649F">
              <w:rPr>
                <w:noProof/>
                <w:webHidden/>
              </w:rPr>
              <w:t>33</w:t>
            </w:r>
            <w:r w:rsidR="00812E4C">
              <w:rPr>
                <w:noProof/>
                <w:webHidden/>
              </w:rPr>
              <w:fldChar w:fldCharType="end"/>
            </w:r>
          </w:hyperlink>
        </w:p>
        <w:p w:rsidR="00812E4C" w:rsidRDefault="003E1951">
          <w:pPr>
            <w:pStyle w:val="TOC5"/>
            <w:tabs>
              <w:tab w:val="right" w:leader="dot" w:pos="9350"/>
            </w:tabs>
            <w:rPr>
              <w:rFonts w:eastAsiaTheme="minorEastAsia"/>
              <w:noProof/>
            </w:rPr>
          </w:pPr>
          <w:hyperlink w:anchor="_Toc475003856" w:history="1">
            <w:r w:rsidR="00812E4C" w:rsidRPr="004B02BE">
              <w:rPr>
                <w:rStyle w:val="Hyperlink"/>
                <w:b/>
                <w:i/>
                <w:noProof/>
              </w:rPr>
              <w:t>Apparatus</w:t>
            </w:r>
            <w:r w:rsidR="00812E4C">
              <w:rPr>
                <w:noProof/>
                <w:webHidden/>
              </w:rPr>
              <w:tab/>
            </w:r>
            <w:r w:rsidR="00812E4C">
              <w:rPr>
                <w:noProof/>
                <w:webHidden/>
              </w:rPr>
              <w:fldChar w:fldCharType="begin"/>
            </w:r>
            <w:r w:rsidR="00812E4C">
              <w:rPr>
                <w:noProof/>
                <w:webHidden/>
              </w:rPr>
              <w:instrText xml:space="preserve"> PAGEREF _Toc475003856 \h </w:instrText>
            </w:r>
            <w:r w:rsidR="00812E4C">
              <w:rPr>
                <w:noProof/>
                <w:webHidden/>
              </w:rPr>
            </w:r>
            <w:r w:rsidR="00812E4C">
              <w:rPr>
                <w:noProof/>
                <w:webHidden/>
              </w:rPr>
              <w:fldChar w:fldCharType="separate"/>
            </w:r>
            <w:r w:rsidR="006C649F">
              <w:rPr>
                <w:noProof/>
                <w:webHidden/>
              </w:rPr>
              <w:t>34</w:t>
            </w:r>
            <w:r w:rsidR="00812E4C">
              <w:rPr>
                <w:noProof/>
                <w:webHidden/>
              </w:rPr>
              <w:fldChar w:fldCharType="end"/>
            </w:r>
          </w:hyperlink>
        </w:p>
        <w:p w:rsidR="00812E4C" w:rsidRDefault="003E1951">
          <w:pPr>
            <w:pStyle w:val="TOC6"/>
            <w:tabs>
              <w:tab w:val="right" w:leader="dot" w:pos="9350"/>
            </w:tabs>
            <w:rPr>
              <w:rFonts w:eastAsiaTheme="minorEastAsia"/>
              <w:noProof/>
            </w:rPr>
          </w:pPr>
          <w:hyperlink w:anchor="_Toc475003857" w:history="1">
            <w:r w:rsidR="00812E4C" w:rsidRPr="004B02BE">
              <w:rPr>
                <w:rStyle w:val="Hyperlink"/>
                <w:b/>
                <w:noProof/>
              </w:rPr>
              <w:t>Facilities</w:t>
            </w:r>
            <w:r w:rsidR="00812E4C">
              <w:rPr>
                <w:noProof/>
                <w:webHidden/>
              </w:rPr>
              <w:tab/>
            </w:r>
            <w:r w:rsidR="00812E4C">
              <w:rPr>
                <w:noProof/>
                <w:webHidden/>
              </w:rPr>
              <w:fldChar w:fldCharType="begin"/>
            </w:r>
            <w:r w:rsidR="00812E4C">
              <w:rPr>
                <w:noProof/>
                <w:webHidden/>
              </w:rPr>
              <w:instrText xml:space="preserve"> PAGEREF _Toc475003857 \h </w:instrText>
            </w:r>
            <w:r w:rsidR="00812E4C">
              <w:rPr>
                <w:noProof/>
                <w:webHidden/>
              </w:rPr>
            </w:r>
            <w:r w:rsidR="00812E4C">
              <w:rPr>
                <w:noProof/>
                <w:webHidden/>
              </w:rPr>
              <w:fldChar w:fldCharType="separate"/>
            </w:r>
            <w:r w:rsidR="006C649F">
              <w:rPr>
                <w:noProof/>
                <w:webHidden/>
              </w:rPr>
              <w:t>36</w:t>
            </w:r>
            <w:r w:rsidR="00812E4C">
              <w:rPr>
                <w:noProof/>
                <w:webHidden/>
              </w:rPr>
              <w:fldChar w:fldCharType="end"/>
            </w:r>
          </w:hyperlink>
        </w:p>
        <w:p w:rsidR="00812E4C" w:rsidRDefault="003E1951">
          <w:pPr>
            <w:pStyle w:val="TOC7"/>
            <w:tabs>
              <w:tab w:val="right" w:leader="dot" w:pos="9350"/>
            </w:tabs>
            <w:rPr>
              <w:rFonts w:eastAsiaTheme="minorEastAsia"/>
              <w:noProof/>
            </w:rPr>
          </w:pPr>
          <w:hyperlink w:anchor="_Toc475003858" w:history="1">
            <w:r w:rsidR="00812E4C" w:rsidRPr="004B02BE">
              <w:rPr>
                <w:rStyle w:val="Hyperlink"/>
                <w:b/>
                <w:noProof/>
              </w:rPr>
              <w:t>Funding</w:t>
            </w:r>
            <w:r w:rsidR="00812E4C">
              <w:rPr>
                <w:noProof/>
                <w:webHidden/>
              </w:rPr>
              <w:tab/>
            </w:r>
            <w:r w:rsidR="00812E4C">
              <w:rPr>
                <w:noProof/>
                <w:webHidden/>
              </w:rPr>
              <w:fldChar w:fldCharType="begin"/>
            </w:r>
            <w:r w:rsidR="00812E4C">
              <w:rPr>
                <w:noProof/>
                <w:webHidden/>
              </w:rPr>
              <w:instrText xml:space="preserve"> PAGEREF _Toc475003858 \h </w:instrText>
            </w:r>
            <w:r w:rsidR="00812E4C">
              <w:rPr>
                <w:noProof/>
                <w:webHidden/>
              </w:rPr>
            </w:r>
            <w:r w:rsidR="00812E4C">
              <w:rPr>
                <w:noProof/>
                <w:webHidden/>
              </w:rPr>
              <w:fldChar w:fldCharType="separate"/>
            </w:r>
            <w:r w:rsidR="006C649F">
              <w:rPr>
                <w:noProof/>
                <w:webHidden/>
              </w:rPr>
              <w:t>41</w:t>
            </w:r>
            <w:r w:rsidR="00812E4C">
              <w:rPr>
                <w:noProof/>
                <w:webHidden/>
              </w:rPr>
              <w:fldChar w:fldCharType="end"/>
            </w:r>
          </w:hyperlink>
        </w:p>
        <w:p w:rsidR="00812E4C" w:rsidRDefault="003E1951">
          <w:pPr>
            <w:pStyle w:val="TOC4"/>
            <w:tabs>
              <w:tab w:val="right" w:leader="dot" w:pos="9350"/>
            </w:tabs>
            <w:rPr>
              <w:rFonts w:eastAsiaTheme="minorEastAsia"/>
              <w:noProof/>
            </w:rPr>
          </w:pPr>
          <w:hyperlink w:anchor="_Toc475003859" w:history="1">
            <w:r w:rsidR="00812E4C" w:rsidRPr="004B02BE">
              <w:rPr>
                <w:rStyle w:val="Hyperlink"/>
                <w:noProof/>
              </w:rPr>
              <w:t>Geographic Call Distribution</w:t>
            </w:r>
            <w:r w:rsidR="00812E4C">
              <w:rPr>
                <w:noProof/>
                <w:webHidden/>
              </w:rPr>
              <w:tab/>
            </w:r>
            <w:r w:rsidR="00812E4C">
              <w:rPr>
                <w:noProof/>
                <w:webHidden/>
              </w:rPr>
              <w:fldChar w:fldCharType="begin"/>
            </w:r>
            <w:r w:rsidR="00812E4C">
              <w:rPr>
                <w:noProof/>
                <w:webHidden/>
              </w:rPr>
              <w:instrText xml:space="preserve"> PAGEREF _Toc475003859 \h </w:instrText>
            </w:r>
            <w:r w:rsidR="00812E4C">
              <w:rPr>
                <w:noProof/>
                <w:webHidden/>
              </w:rPr>
            </w:r>
            <w:r w:rsidR="00812E4C">
              <w:rPr>
                <w:noProof/>
                <w:webHidden/>
              </w:rPr>
              <w:fldChar w:fldCharType="separate"/>
            </w:r>
            <w:r w:rsidR="006C649F">
              <w:rPr>
                <w:noProof/>
                <w:webHidden/>
              </w:rPr>
              <w:t>47</w:t>
            </w:r>
            <w:r w:rsidR="00812E4C">
              <w:rPr>
                <w:noProof/>
                <w:webHidden/>
              </w:rPr>
              <w:fldChar w:fldCharType="end"/>
            </w:r>
          </w:hyperlink>
        </w:p>
        <w:p w:rsidR="00812E4C" w:rsidRDefault="003E1951">
          <w:pPr>
            <w:pStyle w:val="TOC5"/>
            <w:tabs>
              <w:tab w:val="right" w:leader="dot" w:pos="9350"/>
            </w:tabs>
            <w:rPr>
              <w:rFonts w:eastAsiaTheme="minorEastAsia"/>
              <w:noProof/>
            </w:rPr>
          </w:pPr>
          <w:hyperlink w:anchor="_Toc475003860" w:history="1">
            <w:r w:rsidR="00812E4C" w:rsidRPr="004B02BE">
              <w:rPr>
                <w:rStyle w:val="Hyperlink"/>
                <w:b/>
                <w:i/>
                <w:noProof/>
              </w:rPr>
              <w:t>Probability of Occurrence</w:t>
            </w:r>
            <w:r w:rsidR="00812E4C">
              <w:rPr>
                <w:noProof/>
                <w:webHidden/>
              </w:rPr>
              <w:tab/>
            </w:r>
            <w:r w:rsidR="00812E4C">
              <w:rPr>
                <w:noProof/>
                <w:webHidden/>
              </w:rPr>
              <w:fldChar w:fldCharType="begin"/>
            </w:r>
            <w:r w:rsidR="00812E4C">
              <w:rPr>
                <w:noProof/>
                <w:webHidden/>
              </w:rPr>
              <w:instrText xml:space="preserve"> PAGEREF _Toc475003860 \h </w:instrText>
            </w:r>
            <w:r w:rsidR="00812E4C">
              <w:rPr>
                <w:noProof/>
                <w:webHidden/>
              </w:rPr>
            </w:r>
            <w:r w:rsidR="00812E4C">
              <w:rPr>
                <w:noProof/>
                <w:webHidden/>
              </w:rPr>
              <w:fldChar w:fldCharType="separate"/>
            </w:r>
            <w:r w:rsidR="006C649F">
              <w:rPr>
                <w:noProof/>
                <w:webHidden/>
              </w:rPr>
              <w:t>48</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61" w:history="1">
            <w:r w:rsidR="00812E4C" w:rsidRPr="004B02BE">
              <w:rPr>
                <w:rStyle w:val="Hyperlink"/>
                <w:i/>
              </w:rPr>
              <w:t>Section V</w:t>
            </w:r>
            <w:r w:rsidR="00812E4C">
              <w:rPr>
                <w:webHidden/>
              </w:rPr>
              <w:tab/>
            </w:r>
            <w:r w:rsidR="00812E4C">
              <w:rPr>
                <w:webHidden/>
              </w:rPr>
              <w:fldChar w:fldCharType="begin"/>
            </w:r>
            <w:r w:rsidR="00812E4C">
              <w:rPr>
                <w:webHidden/>
              </w:rPr>
              <w:instrText xml:space="preserve"> PAGEREF _Toc475003861 \h </w:instrText>
            </w:r>
            <w:r w:rsidR="00812E4C">
              <w:rPr>
                <w:webHidden/>
              </w:rPr>
            </w:r>
            <w:r w:rsidR="00812E4C">
              <w:rPr>
                <w:webHidden/>
              </w:rPr>
              <w:fldChar w:fldCharType="separate"/>
            </w:r>
            <w:r w:rsidR="006C649F">
              <w:rPr>
                <w:webHidden/>
              </w:rPr>
              <w:t>49</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62" w:history="1">
            <w:r w:rsidR="00812E4C" w:rsidRPr="004B02BE">
              <w:rPr>
                <w:rStyle w:val="Hyperlink"/>
                <w:i/>
                <w:noProof/>
              </w:rPr>
              <w:t>Fire Emergency/Deployment</w:t>
            </w:r>
            <w:r w:rsidR="00812E4C">
              <w:rPr>
                <w:noProof/>
                <w:webHidden/>
              </w:rPr>
              <w:tab/>
            </w:r>
            <w:r w:rsidR="00812E4C">
              <w:rPr>
                <w:noProof/>
                <w:webHidden/>
              </w:rPr>
              <w:fldChar w:fldCharType="begin"/>
            </w:r>
            <w:r w:rsidR="00812E4C">
              <w:rPr>
                <w:noProof/>
                <w:webHidden/>
              </w:rPr>
              <w:instrText xml:space="preserve"> PAGEREF _Toc475003862 \h </w:instrText>
            </w:r>
            <w:r w:rsidR="00812E4C">
              <w:rPr>
                <w:noProof/>
                <w:webHidden/>
              </w:rPr>
            </w:r>
            <w:r w:rsidR="00812E4C">
              <w:rPr>
                <w:noProof/>
                <w:webHidden/>
              </w:rPr>
              <w:fldChar w:fldCharType="separate"/>
            </w:r>
            <w:r w:rsidR="006C649F">
              <w:rPr>
                <w:noProof/>
                <w:webHidden/>
              </w:rPr>
              <w:t>49</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63" w:history="1">
            <w:r w:rsidR="00812E4C" w:rsidRPr="004B02BE">
              <w:rPr>
                <w:rStyle w:val="Hyperlink"/>
              </w:rPr>
              <w:t>Section VI</w:t>
            </w:r>
            <w:r w:rsidR="00812E4C">
              <w:rPr>
                <w:webHidden/>
              </w:rPr>
              <w:tab/>
            </w:r>
            <w:r w:rsidR="00812E4C">
              <w:rPr>
                <w:webHidden/>
              </w:rPr>
              <w:fldChar w:fldCharType="begin"/>
            </w:r>
            <w:r w:rsidR="00812E4C">
              <w:rPr>
                <w:webHidden/>
              </w:rPr>
              <w:instrText xml:space="preserve"> PAGEREF _Toc475003863 \h </w:instrText>
            </w:r>
            <w:r w:rsidR="00812E4C">
              <w:rPr>
                <w:webHidden/>
              </w:rPr>
            </w:r>
            <w:r w:rsidR="00812E4C">
              <w:rPr>
                <w:webHidden/>
              </w:rPr>
              <w:fldChar w:fldCharType="separate"/>
            </w:r>
            <w:r w:rsidR="006C649F">
              <w:rPr>
                <w:webHidden/>
              </w:rPr>
              <w:t>52</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64" w:history="1">
            <w:r w:rsidR="00812E4C" w:rsidRPr="004B02BE">
              <w:rPr>
                <w:rStyle w:val="Hyperlink"/>
                <w:i/>
                <w:noProof/>
              </w:rPr>
              <w:t>Response Times &amp; Critical Tasking</w:t>
            </w:r>
            <w:r w:rsidR="00812E4C">
              <w:rPr>
                <w:noProof/>
                <w:webHidden/>
              </w:rPr>
              <w:tab/>
            </w:r>
            <w:r w:rsidR="00812E4C">
              <w:rPr>
                <w:noProof/>
                <w:webHidden/>
              </w:rPr>
              <w:fldChar w:fldCharType="begin"/>
            </w:r>
            <w:r w:rsidR="00812E4C">
              <w:rPr>
                <w:noProof/>
                <w:webHidden/>
              </w:rPr>
              <w:instrText xml:space="preserve"> PAGEREF _Toc475003864 \h </w:instrText>
            </w:r>
            <w:r w:rsidR="00812E4C">
              <w:rPr>
                <w:noProof/>
                <w:webHidden/>
              </w:rPr>
            </w:r>
            <w:r w:rsidR="00812E4C">
              <w:rPr>
                <w:noProof/>
                <w:webHidden/>
              </w:rPr>
              <w:fldChar w:fldCharType="separate"/>
            </w:r>
            <w:r w:rsidR="006C649F">
              <w:rPr>
                <w:noProof/>
                <w:webHidden/>
              </w:rPr>
              <w:t>52</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65" w:history="1">
            <w:r w:rsidR="00812E4C" w:rsidRPr="004B02BE">
              <w:rPr>
                <w:rStyle w:val="Hyperlink"/>
                <w:i/>
              </w:rPr>
              <w:t>Section VII</w:t>
            </w:r>
            <w:r w:rsidR="00812E4C">
              <w:rPr>
                <w:webHidden/>
              </w:rPr>
              <w:tab/>
            </w:r>
            <w:r w:rsidR="00812E4C">
              <w:rPr>
                <w:webHidden/>
              </w:rPr>
              <w:fldChar w:fldCharType="begin"/>
            </w:r>
            <w:r w:rsidR="00812E4C">
              <w:rPr>
                <w:webHidden/>
              </w:rPr>
              <w:instrText xml:space="preserve"> PAGEREF _Toc475003865 \h </w:instrText>
            </w:r>
            <w:r w:rsidR="00812E4C">
              <w:rPr>
                <w:webHidden/>
              </w:rPr>
            </w:r>
            <w:r w:rsidR="00812E4C">
              <w:rPr>
                <w:webHidden/>
              </w:rPr>
              <w:fldChar w:fldCharType="separate"/>
            </w:r>
            <w:r w:rsidR="006C649F">
              <w:rPr>
                <w:webHidden/>
              </w:rPr>
              <w:t>64</w:t>
            </w:r>
            <w:r w:rsidR="00812E4C">
              <w:rPr>
                <w:webHidden/>
              </w:rPr>
              <w:fldChar w:fldCharType="end"/>
            </w:r>
          </w:hyperlink>
        </w:p>
        <w:p w:rsidR="00812E4C" w:rsidRDefault="003E1951">
          <w:pPr>
            <w:pStyle w:val="TOC2"/>
            <w:tabs>
              <w:tab w:val="right" w:leader="dot" w:pos="9350"/>
            </w:tabs>
            <w:rPr>
              <w:rFonts w:eastAsiaTheme="minorEastAsia"/>
              <w:noProof/>
            </w:rPr>
          </w:pPr>
          <w:hyperlink w:anchor="_Toc475003866" w:history="1">
            <w:r w:rsidR="00812E4C" w:rsidRPr="004B02BE">
              <w:rPr>
                <w:rStyle w:val="Hyperlink"/>
                <w:i/>
                <w:noProof/>
              </w:rPr>
              <w:t>Summary and Recommendation</w:t>
            </w:r>
            <w:r w:rsidR="00812E4C">
              <w:rPr>
                <w:noProof/>
                <w:webHidden/>
              </w:rPr>
              <w:tab/>
            </w:r>
            <w:r w:rsidR="00812E4C">
              <w:rPr>
                <w:noProof/>
                <w:webHidden/>
              </w:rPr>
              <w:fldChar w:fldCharType="begin"/>
            </w:r>
            <w:r w:rsidR="00812E4C">
              <w:rPr>
                <w:noProof/>
                <w:webHidden/>
              </w:rPr>
              <w:instrText xml:space="preserve"> PAGEREF _Toc475003866 \h </w:instrText>
            </w:r>
            <w:r w:rsidR="00812E4C">
              <w:rPr>
                <w:noProof/>
                <w:webHidden/>
              </w:rPr>
            </w:r>
            <w:r w:rsidR="00812E4C">
              <w:rPr>
                <w:noProof/>
                <w:webHidden/>
              </w:rPr>
              <w:fldChar w:fldCharType="separate"/>
            </w:r>
            <w:r w:rsidR="006C649F">
              <w:rPr>
                <w:noProof/>
                <w:webHidden/>
              </w:rPr>
              <w:t>64</w:t>
            </w:r>
            <w:r w:rsidR="00812E4C">
              <w:rPr>
                <w:noProof/>
                <w:webHidden/>
              </w:rPr>
              <w:fldChar w:fldCharType="end"/>
            </w:r>
          </w:hyperlink>
        </w:p>
        <w:p w:rsidR="00812E4C" w:rsidRDefault="003E1951">
          <w:pPr>
            <w:pStyle w:val="TOC1"/>
            <w:rPr>
              <w:rFonts w:asciiTheme="minorHAnsi" w:eastAsiaTheme="minorEastAsia" w:hAnsiTheme="minorHAnsi"/>
              <w:sz w:val="22"/>
              <w:szCs w:val="22"/>
            </w:rPr>
          </w:pPr>
          <w:hyperlink w:anchor="_Toc475003867" w:history="1">
            <w:r w:rsidR="00812E4C" w:rsidRPr="004B02BE">
              <w:rPr>
                <w:rStyle w:val="Hyperlink"/>
                <w:i/>
              </w:rPr>
              <w:t>Works Cited</w:t>
            </w:r>
            <w:r w:rsidR="00812E4C">
              <w:rPr>
                <w:webHidden/>
              </w:rPr>
              <w:tab/>
            </w:r>
            <w:r w:rsidR="00812E4C">
              <w:rPr>
                <w:webHidden/>
              </w:rPr>
              <w:fldChar w:fldCharType="begin"/>
            </w:r>
            <w:r w:rsidR="00812E4C">
              <w:rPr>
                <w:webHidden/>
              </w:rPr>
              <w:instrText xml:space="preserve"> PAGEREF _Toc475003867 \h </w:instrText>
            </w:r>
            <w:r w:rsidR="00812E4C">
              <w:rPr>
                <w:webHidden/>
              </w:rPr>
            </w:r>
            <w:r w:rsidR="00812E4C">
              <w:rPr>
                <w:webHidden/>
              </w:rPr>
              <w:fldChar w:fldCharType="separate"/>
            </w:r>
            <w:r w:rsidR="006C649F">
              <w:rPr>
                <w:webHidden/>
              </w:rPr>
              <w:t>65</w:t>
            </w:r>
            <w:r w:rsidR="00812E4C">
              <w:rPr>
                <w:webHidden/>
              </w:rPr>
              <w:fldChar w:fldCharType="end"/>
            </w:r>
          </w:hyperlink>
        </w:p>
        <w:p w:rsidR="00E002D7" w:rsidRDefault="00E002D7">
          <w:r>
            <w:rPr>
              <w:rFonts w:ascii="Bookman Old Style" w:hAnsi="Bookman Old Style"/>
              <w:noProof/>
              <w:sz w:val="32"/>
              <w:szCs w:val="32"/>
            </w:rPr>
            <w:fldChar w:fldCharType="end"/>
          </w:r>
        </w:p>
      </w:sdtContent>
    </w:sdt>
    <w:p w:rsidR="0033640D" w:rsidRPr="003746A2" w:rsidRDefault="0033640D" w:rsidP="009F68A4">
      <w:pPr>
        <w:pStyle w:val="Heading1"/>
        <w:rPr>
          <w:i/>
          <w:color w:val="auto"/>
          <w:sz w:val="24"/>
          <w:szCs w:val="24"/>
        </w:rPr>
      </w:pPr>
      <w:bookmarkStart w:id="0" w:name="_Toc474159541"/>
      <w:bookmarkStart w:id="1" w:name="_Toc475003844"/>
      <w:r w:rsidRPr="003746A2">
        <w:rPr>
          <w:i/>
          <w:color w:val="auto"/>
          <w:sz w:val="24"/>
          <w:szCs w:val="24"/>
        </w:rPr>
        <w:lastRenderedPageBreak/>
        <w:t>Section I</w:t>
      </w:r>
      <w:bookmarkEnd w:id="0"/>
      <w:bookmarkEnd w:id="1"/>
    </w:p>
    <w:p w:rsidR="00E867E2" w:rsidRPr="003746A2" w:rsidRDefault="00E867E2" w:rsidP="009F68A4">
      <w:pPr>
        <w:pStyle w:val="Heading2"/>
        <w:spacing w:before="0" w:after="200"/>
        <w:rPr>
          <w:i/>
          <w:color w:val="auto"/>
          <w:sz w:val="24"/>
          <w:szCs w:val="24"/>
        </w:rPr>
      </w:pPr>
      <w:bookmarkStart w:id="2" w:name="_Toc474159542"/>
      <w:bookmarkStart w:id="3" w:name="_Toc475003845"/>
      <w:r w:rsidRPr="003746A2">
        <w:rPr>
          <w:i/>
          <w:color w:val="auto"/>
          <w:sz w:val="24"/>
          <w:szCs w:val="24"/>
        </w:rPr>
        <w:t>Introduction</w:t>
      </w:r>
      <w:bookmarkEnd w:id="2"/>
      <w:bookmarkEnd w:id="3"/>
    </w:p>
    <w:p w:rsidR="00E867E2" w:rsidRDefault="0092480E" w:rsidP="00D345B0">
      <w:pPr>
        <w:spacing w:line="240" w:lineRule="auto"/>
        <w:jc w:val="both"/>
        <w:rPr>
          <w:rFonts w:ascii="Bookman Old Style" w:hAnsi="Bookman Old Style"/>
        </w:rPr>
      </w:pPr>
      <w:r w:rsidRPr="00BA2BA5">
        <w:rPr>
          <w:rFonts w:ascii="Bookman Old Style" w:hAnsi="Bookman Old Style"/>
        </w:rPr>
        <w:t>The City of Pasco and m</w:t>
      </w:r>
      <w:r w:rsidR="00E867E2" w:rsidRPr="00BA2BA5">
        <w:rPr>
          <w:rFonts w:ascii="Bookman Old Style" w:hAnsi="Bookman Old Style"/>
        </w:rPr>
        <w:t xml:space="preserve">any </w:t>
      </w:r>
      <w:r w:rsidRPr="00BA2BA5">
        <w:rPr>
          <w:rFonts w:ascii="Bookman Old Style" w:hAnsi="Bookman Old Style"/>
        </w:rPr>
        <w:t xml:space="preserve">other </w:t>
      </w:r>
      <w:r w:rsidR="00E867E2" w:rsidRPr="00BA2BA5">
        <w:rPr>
          <w:rFonts w:ascii="Bookman Old Style" w:hAnsi="Bookman Old Style"/>
        </w:rPr>
        <w:t>fire departments across the nation are being challenged by budget crises, rising call volumes, personnel and equipment shortages, security issues and the overall public expectation to do more with less. Expectations placed on the fire service, including Emergency Medical Services (EMS), response to natural disasters, hazardous materials incidents, technical rescue and acts of terrorism, have steadily increased.</w:t>
      </w:r>
    </w:p>
    <w:p w:rsidR="00FE4D71" w:rsidRDefault="00E867E2" w:rsidP="005577CB">
      <w:pPr>
        <w:spacing w:line="240" w:lineRule="auto"/>
        <w:contextualSpacing/>
        <w:jc w:val="both"/>
        <w:rPr>
          <w:rFonts w:ascii="Bookman Old Style" w:hAnsi="Bookman Old Style"/>
        </w:rPr>
      </w:pPr>
      <w:r w:rsidRPr="00BA2BA5">
        <w:rPr>
          <w:rFonts w:ascii="Bookman Old Style" w:hAnsi="Bookman Old Style"/>
        </w:rPr>
        <w:t>Traditionally, the focus of risk assessment was the identification of fire hazards and planning an appropriate response force to mitigate the emergency.  Today, the risk assessment goes well beyond the fire problem and includes medical and other emergencies.  Community risk assessment begins with the identification of the hazar</w:t>
      </w:r>
      <w:r w:rsidR="00FE4D71" w:rsidRPr="00BA2BA5">
        <w:rPr>
          <w:rFonts w:ascii="Bookman Old Style" w:hAnsi="Bookman Old Style"/>
        </w:rPr>
        <w:t>ds present within the community and t</w:t>
      </w:r>
      <w:r w:rsidRPr="00BA2BA5">
        <w:rPr>
          <w:rFonts w:ascii="Bookman Old Style" w:hAnsi="Bookman Old Style"/>
        </w:rPr>
        <w:t xml:space="preserve">he </w:t>
      </w:r>
      <w:r w:rsidR="00FE4D71" w:rsidRPr="00BA2BA5">
        <w:rPr>
          <w:rFonts w:ascii="Bookman Old Style" w:hAnsi="Bookman Old Style"/>
        </w:rPr>
        <w:t xml:space="preserve">understanding that the </w:t>
      </w:r>
      <w:r w:rsidRPr="00BA2BA5">
        <w:rPr>
          <w:rFonts w:ascii="Bookman Old Style" w:hAnsi="Bookman Old Style"/>
        </w:rPr>
        <w:t xml:space="preserve">risk of fire, medical, or other emergency cannot be held to zero. </w:t>
      </w:r>
      <w:r w:rsidR="00FE4D71" w:rsidRPr="00BA2BA5">
        <w:rPr>
          <w:rFonts w:ascii="Bookman Old Style" w:hAnsi="Bookman Old Style"/>
        </w:rPr>
        <w:t>Community risk level is typically established through an overall profile of the community based on the unique mixtures of demographics, socioeconomic factors, occupancy risk, fire management zones, etc. and the overall level of services currently provided.</w:t>
      </w:r>
    </w:p>
    <w:p w:rsidR="00C4299C" w:rsidRPr="00BA2BA5" w:rsidRDefault="00C4299C" w:rsidP="005577CB">
      <w:pPr>
        <w:spacing w:line="240" w:lineRule="auto"/>
        <w:contextualSpacing/>
        <w:jc w:val="both"/>
        <w:rPr>
          <w:rFonts w:ascii="Bookman Old Style" w:hAnsi="Bookman Old Style"/>
        </w:rPr>
      </w:pPr>
    </w:p>
    <w:p w:rsidR="00FE4D71" w:rsidRPr="00BA2BA5" w:rsidRDefault="00FE4D71" w:rsidP="005577CB">
      <w:pPr>
        <w:spacing w:line="240" w:lineRule="auto"/>
        <w:contextualSpacing/>
        <w:jc w:val="both"/>
        <w:rPr>
          <w:rFonts w:ascii="Bookman Old Style" w:hAnsi="Bookman Old Style"/>
        </w:rPr>
      </w:pPr>
      <w:r w:rsidRPr="00BA2BA5">
        <w:rPr>
          <w:rFonts w:ascii="Bookman Old Style" w:hAnsi="Bookman Old Style"/>
        </w:rPr>
        <w:t>Community hazards and associated risks are usually divided into three categories:</w:t>
      </w:r>
    </w:p>
    <w:p w:rsidR="00E867E2" w:rsidRPr="00BA2BA5" w:rsidRDefault="00FE4D71" w:rsidP="005577CB">
      <w:pPr>
        <w:pStyle w:val="NoSpacing"/>
        <w:numPr>
          <w:ilvl w:val="0"/>
          <w:numId w:val="1"/>
        </w:numPr>
        <w:spacing w:after="200"/>
        <w:contextualSpacing/>
        <w:jc w:val="both"/>
        <w:rPr>
          <w:rFonts w:ascii="Bookman Old Style" w:hAnsi="Bookman Old Style"/>
        </w:rPr>
      </w:pPr>
      <w:r w:rsidRPr="00BA2BA5">
        <w:rPr>
          <w:rFonts w:ascii="Bookman Old Style" w:hAnsi="Bookman Old Style"/>
        </w:rPr>
        <w:t>Life</w:t>
      </w:r>
    </w:p>
    <w:p w:rsidR="00FE4D71" w:rsidRPr="00BA2BA5" w:rsidRDefault="00FE4D71" w:rsidP="005577CB">
      <w:pPr>
        <w:pStyle w:val="NoSpacing"/>
        <w:numPr>
          <w:ilvl w:val="0"/>
          <w:numId w:val="1"/>
        </w:numPr>
        <w:spacing w:after="200"/>
        <w:contextualSpacing/>
        <w:jc w:val="both"/>
        <w:rPr>
          <w:rFonts w:ascii="Bookman Old Style" w:hAnsi="Bookman Old Style"/>
        </w:rPr>
      </w:pPr>
      <w:r w:rsidRPr="00BA2BA5">
        <w:rPr>
          <w:rFonts w:ascii="Bookman Old Style" w:hAnsi="Bookman Old Style"/>
        </w:rPr>
        <w:t>Property</w:t>
      </w:r>
    </w:p>
    <w:p w:rsidR="00FE4D71" w:rsidRPr="00BA2BA5" w:rsidRDefault="00FE4D71" w:rsidP="005577CB">
      <w:pPr>
        <w:pStyle w:val="NoSpacing"/>
        <w:numPr>
          <w:ilvl w:val="0"/>
          <w:numId w:val="1"/>
        </w:numPr>
        <w:spacing w:after="200"/>
        <w:contextualSpacing/>
        <w:jc w:val="both"/>
        <w:rPr>
          <w:rFonts w:ascii="Bookman Old Style" w:hAnsi="Bookman Old Style"/>
        </w:rPr>
      </w:pPr>
      <w:r w:rsidRPr="00BA2BA5">
        <w:rPr>
          <w:rFonts w:ascii="Bookman Old Style" w:hAnsi="Bookman Old Style"/>
        </w:rPr>
        <w:t>Critical infrastructure</w:t>
      </w:r>
    </w:p>
    <w:p w:rsidR="003A62C2" w:rsidRPr="00BA2BA5" w:rsidRDefault="003A62C2" w:rsidP="005577CB">
      <w:pPr>
        <w:spacing w:line="240" w:lineRule="auto"/>
        <w:contextualSpacing/>
        <w:jc w:val="both"/>
        <w:rPr>
          <w:rFonts w:ascii="Bookman Old Style" w:hAnsi="Bookman Old Style"/>
        </w:rPr>
      </w:pPr>
      <w:r w:rsidRPr="00BA2BA5">
        <w:rPr>
          <w:rFonts w:ascii="Bookman Old Style" w:hAnsi="Bookman Old Style"/>
        </w:rPr>
        <w:t xml:space="preserve">The objective of this document is to </w:t>
      </w:r>
      <w:r w:rsidR="00FE4D71" w:rsidRPr="00BA2BA5">
        <w:rPr>
          <w:rFonts w:ascii="Bookman Old Style" w:hAnsi="Bookman Old Style"/>
        </w:rPr>
        <w:t xml:space="preserve">clearly define an overall risk profile for the City of Pasco and </w:t>
      </w:r>
      <w:r w:rsidRPr="00BA2BA5">
        <w:rPr>
          <w:rFonts w:ascii="Bookman Old Style" w:hAnsi="Bookman Old Style"/>
        </w:rPr>
        <w:t>identify a balance among the distribution, concentration, and reliability of mitigation forces that will keep fir</w:t>
      </w:r>
      <w:r w:rsidR="00FE4D71" w:rsidRPr="00BA2BA5">
        <w:rPr>
          <w:rFonts w:ascii="Bookman Old Style" w:hAnsi="Bookman Old Style"/>
        </w:rPr>
        <w:t>e and emergency risk at a reason</w:t>
      </w:r>
      <w:r w:rsidRPr="00BA2BA5">
        <w:rPr>
          <w:rFonts w:ascii="Bookman Old Style" w:hAnsi="Bookman Old Style"/>
        </w:rPr>
        <w:t>able</w:t>
      </w:r>
      <w:r w:rsidR="00FE4D71" w:rsidRPr="00BA2BA5">
        <w:rPr>
          <w:rFonts w:ascii="Bookman Old Style" w:hAnsi="Bookman Old Style"/>
        </w:rPr>
        <w:t xml:space="preserve"> and acceptable</w:t>
      </w:r>
      <w:r w:rsidRPr="00BA2BA5">
        <w:rPr>
          <w:rFonts w:ascii="Bookman Old Style" w:hAnsi="Bookman Old Style"/>
        </w:rPr>
        <w:t xml:space="preserve"> level within the City of Pasco while factoring the maxim</w:t>
      </w:r>
      <w:r w:rsidR="00FE4D71" w:rsidRPr="00BA2BA5">
        <w:rPr>
          <w:rFonts w:ascii="Bookman Old Style" w:hAnsi="Bookman Old Style"/>
        </w:rPr>
        <w:t xml:space="preserve">um savings of life and property that is fiscally </w:t>
      </w:r>
      <w:r w:rsidR="00CB4950" w:rsidRPr="00BA2BA5">
        <w:rPr>
          <w:rFonts w:ascii="Bookman Old Style" w:hAnsi="Bookman Old Style"/>
        </w:rPr>
        <w:t xml:space="preserve">and morally </w:t>
      </w:r>
      <w:r w:rsidR="00FE4D71" w:rsidRPr="00BA2BA5">
        <w:rPr>
          <w:rFonts w:ascii="Bookman Old Style" w:hAnsi="Bookman Old Style"/>
        </w:rPr>
        <w:t>responsible.</w:t>
      </w:r>
      <w:r w:rsidR="00CE20E4" w:rsidRPr="00BA2BA5">
        <w:rPr>
          <w:rFonts w:ascii="Bookman Old Style" w:hAnsi="Bookman Old Style"/>
        </w:rPr>
        <w:t xml:space="preserve">  In preparation, this document considers the recommendations and mandates of City of Pasco Council Resolutions, City of Pasco Fire Department Policies and Guidelines, National Fire Protection Administration recommendations, Emergency Services Master Plan  - Summer 2016 </w:t>
      </w:r>
      <w:r w:rsidR="00CE20E4" w:rsidRPr="00BA2BA5">
        <w:rPr>
          <w:rFonts w:ascii="Bookman Old Style" w:hAnsi="Bookman Old Style"/>
          <w:i/>
        </w:rPr>
        <w:t>(conducted by Emergency Services Consulting International)</w:t>
      </w:r>
      <w:r w:rsidR="00CE20E4" w:rsidRPr="00BA2BA5">
        <w:rPr>
          <w:rFonts w:ascii="Bookman Old Style" w:hAnsi="Bookman Old Style"/>
        </w:rPr>
        <w:t xml:space="preserve">, Ambulance Utility Cost of Service and Rate Study – November 2015 </w:t>
      </w:r>
      <w:r w:rsidR="00CE20E4" w:rsidRPr="00BA2BA5">
        <w:rPr>
          <w:rFonts w:ascii="Bookman Old Style" w:hAnsi="Bookman Old Style"/>
          <w:i/>
        </w:rPr>
        <w:t>(conducted by FCS Group)</w:t>
      </w:r>
      <w:r w:rsidR="00CE20E4" w:rsidRPr="00BA2BA5">
        <w:rPr>
          <w:rFonts w:ascii="Bookman Old Style" w:hAnsi="Bookman Old Style"/>
        </w:rPr>
        <w:t xml:space="preserve">, </w:t>
      </w:r>
      <w:r w:rsidR="0092480E" w:rsidRPr="00BA2BA5">
        <w:rPr>
          <w:rFonts w:ascii="Bookman Old Style" w:hAnsi="Bookman Old Style"/>
        </w:rPr>
        <w:t xml:space="preserve">Aircraft Rescue and Firefighting Study – 2015 </w:t>
      </w:r>
      <w:r w:rsidR="0092480E" w:rsidRPr="00BA2BA5">
        <w:rPr>
          <w:rFonts w:ascii="Bookman Old Style" w:hAnsi="Bookman Old Style"/>
          <w:i/>
        </w:rPr>
        <w:t>(conducted by WAMDI Aviation Consultants, LLC)</w:t>
      </w:r>
      <w:r w:rsidR="0092480E" w:rsidRPr="00BA2BA5">
        <w:rPr>
          <w:rFonts w:ascii="Bookman Old Style" w:hAnsi="Bookman Old Style"/>
        </w:rPr>
        <w:t xml:space="preserve">, Franklin County Hazard Assessment – 2011 </w:t>
      </w:r>
      <w:r w:rsidR="0092480E" w:rsidRPr="00BA2BA5">
        <w:rPr>
          <w:rFonts w:ascii="Bookman Old Style" w:hAnsi="Bookman Old Style"/>
          <w:i/>
        </w:rPr>
        <w:t>(conducted by Franklin County Emergency Management)</w:t>
      </w:r>
      <w:r w:rsidR="0092480E" w:rsidRPr="00BA2BA5">
        <w:rPr>
          <w:rFonts w:ascii="Bookman Old Style" w:hAnsi="Bookman Old Style"/>
        </w:rPr>
        <w:t>, Washington State Survey and Rating Bureau Protection Class Report  - December 1, 2015, and other documents.</w:t>
      </w:r>
    </w:p>
    <w:p w:rsidR="00C4299C" w:rsidRDefault="00C4299C" w:rsidP="005577CB">
      <w:pPr>
        <w:spacing w:line="240" w:lineRule="auto"/>
        <w:contextualSpacing/>
        <w:jc w:val="both"/>
        <w:rPr>
          <w:rFonts w:ascii="Bookman Old Style" w:hAnsi="Bookman Old Style"/>
        </w:rPr>
      </w:pPr>
    </w:p>
    <w:p w:rsidR="00FE4D71" w:rsidRPr="00BA2BA5" w:rsidRDefault="00FE4D71" w:rsidP="005577CB">
      <w:pPr>
        <w:spacing w:line="240" w:lineRule="auto"/>
        <w:contextualSpacing/>
        <w:jc w:val="both"/>
        <w:rPr>
          <w:rFonts w:ascii="Bookman Old Style" w:hAnsi="Bookman Old Style"/>
        </w:rPr>
      </w:pPr>
      <w:r w:rsidRPr="00BA2BA5">
        <w:rPr>
          <w:rFonts w:ascii="Bookman Old Style" w:hAnsi="Bookman Old Style"/>
        </w:rPr>
        <w:t>The document is divided into eight sections:</w:t>
      </w:r>
    </w:p>
    <w:p w:rsidR="00FE4D71" w:rsidRPr="00BA2BA5" w:rsidRDefault="00FE4D71" w:rsidP="005577CB">
      <w:pPr>
        <w:pStyle w:val="NoSpacing"/>
        <w:spacing w:after="200"/>
        <w:contextualSpacing/>
        <w:jc w:val="both"/>
        <w:rPr>
          <w:rFonts w:ascii="Bookman Old Style" w:hAnsi="Bookman Old Style"/>
        </w:rPr>
      </w:pPr>
      <w:r w:rsidRPr="00BA2BA5">
        <w:rPr>
          <w:rFonts w:ascii="Bookman Old Style" w:hAnsi="Bookman Old Style"/>
        </w:rPr>
        <w:t xml:space="preserve">Section </w:t>
      </w:r>
      <w:r w:rsidR="00797126">
        <w:rPr>
          <w:rFonts w:ascii="Bookman Old Style" w:hAnsi="Bookman Old Style"/>
        </w:rPr>
        <w:t>I</w:t>
      </w:r>
      <w:r w:rsidRPr="00BA2BA5">
        <w:rPr>
          <w:rFonts w:ascii="Bookman Old Style" w:hAnsi="Bookman Old Style"/>
        </w:rPr>
        <w:tab/>
        <w:t>Provides an introduction and purpose for the document</w:t>
      </w:r>
    </w:p>
    <w:p w:rsidR="00FE4D71" w:rsidRDefault="00FE4D71" w:rsidP="005577CB">
      <w:pPr>
        <w:pStyle w:val="NoSpacing"/>
        <w:spacing w:after="200"/>
        <w:ind w:left="1440" w:hanging="1440"/>
        <w:contextualSpacing/>
        <w:jc w:val="both"/>
        <w:rPr>
          <w:rFonts w:ascii="Bookman Old Style" w:hAnsi="Bookman Old Style"/>
        </w:rPr>
      </w:pPr>
      <w:r w:rsidRPr="00BA2BA5">
        <w:rPr>
          <w:rFonts w:ascii="Bookman Old Style" w:hAnsi="Bookman Old Style"/>
        </w:rPr>
        <w:t xml:space="preserve">Section </w:t>
      </w:r>
      <w:r w:rsidR="00797126">
        <w:rPr>
          <w:rFonts w:ascii="Bookman Old Style" w:hAnsi="Bookman Old Style"/>
        </w:rPr>
        <w:t>II</w:t>
      </w:r>
      <w:r w:rsidRPr="00BA2BA5">
        <w:rPr>
          <w:rFonts w:ascii="Bookman Old Style" w:hAnsi="Bookman Old Style"/>
        </w:rPr>
        <w:tab/>
        <w:t>Pasco Fire Department organizationa</w:t>
      </w:r>
      <w:r w:rsidR="00D71424" w:rsidRPr="00BA2BA5">
        <w:rPr>
          <w:rFonts w:ascii="Bookman Old Style" w:hAnsi="Bookman Old Style"/>
        </w:rPr>
        <w:t xml:space="preserve">l and service </w:t>
      </w:r>
      <w:r w:rsidRPr="00BA2BA5">
        <w:rPr>
          <w:rFonts w:ascii="Bookman Old Style" w:hAnsi="Bookman Old Style"/>
        </w:rPr>
        <w:t xml:space="preserve">overview </w:t>
      </w:r>
      <w:r w:rsidR="00D71424" w:rsidRPr="00BA2BA5">
        <w:rPr>
          <w:rFonts w:ascii="Bookman Old Style" w:hAnsi="Bookman Old Style"/>
        </w:rPr>
        <w:t xml:space="preserve">and response statistics </w:t>
      </w:r>
      <w:r w:rsidRPr="00BA2BA5">
        <w:rPr>
          <w:rFonts w:ascii="Bookman Old Style" w:hAnsi="Bookman Old Style"/>
        </w:rPr>
        <w:t xml:space="preserve">as it exists at the time of document development. </w:t>
      </w:r>
    </w:p>
    <w:p w:rsidR="00C4299C" w:rsidRPr="00BA2BA5" w:rsidRDefault="00C4299C" w:rsidP="005577CB">
      <w:pPr>
        <w:pStyle w:val="NoSpacing"/>
        <w:spacing w:after="200"/>
        <w:ind w:left="1440" w:hanging="1440"/>
        <w:contextualSpacing/>
        <w:jc w:val="both"/>
        <w:rPr>
          <w:rFonts w:ascii="Bookman Old Style" w:hAnsi="Bookman Old Style"/>
        </w:rPr>
      </w:pPr>
    </w:p>
    <w:p w:rsidR="00FE4D71" w:rsidRDefault="00797126" w:rsidP="005577CB">
      <w:pPr>
        <w:pStyle w:val="NoSpacing"/>
        <w:spacing w:after="200"/>
        <w:ind w:left="1440" w:hanging="1440"/>
        <w:contextualSpacing/>
        <w:jc w:val="both"/>
        <w:rPr>
          <w:rFonts w:ascii="Bookman Old Style" w:hAnsi="Bookman Old Style"/>
        </w:rPr>
      </w:pPr>
      <w:r>
        <w:rPr>
          <w:rFonts w:ascii="Bookman Old Style" w:hAnsi="Bookman Old Style"/>
        </w:rPr>
        <w:t>Section III</w:t>
      </w:r>
      <w:r w:rsidR="00FE4D71" w:rsidRPr="00BA2BA5">
        <w:rPr>
          <w:rFonts w:ascii="Bookman Old Style" w:hAnsi="Bookman Old Style"/>
        </w:rPr>
        <w:tab/>
        <w:t xml:space="preserve">Risk Assessment </w:t>
      </w:r>
      <w:r w:rsidR="0001400D" w:rsidRPr="00BA2BA5">
        <w:rPr>
          <w:rFonts w:ascii="Bookman Old Style" w:hAnsi="Bookman Old Style"/>
        </w:rPr>
        <w:t xml:space="preserve">contains an assessment of the various risks found within the City of Pasco including occupancy risks, transportation </w:t>
      </w:r>
      <w:r w:rsidR="0001400D" w:rsidRPr="00BA2BA5">
        <w:rPr>
          <w:rFonts w:ascii="Bookman Old Style" w:hAnsi="Bookman Old Style"/>
        </w:rPr>
        <w:lastRenderedPageBreak/>
        <w:t>routes, and a historical perspective of the nature of emergencies within the city.</w:t>
      </w:r>
    </w:p>
    <w:p w:rsidR="00C4299C" w:rsidRPr="00BA2BA5" w:rsidRDefault="00C4299C" w:rsidP="005577CB">
      <w:pPr>
        <w:pStyle w:val="NoSpacing"/>
        <w:spacing w:after="200"/>
        <w:ind w:left="1440" w:hanging="1440"/>
        <w:contextualSpacing/>
        <w:jc w:val="both"/>
        <w:rPr>
          <w:rFonts w:ascii="Bookman Old Style" w:hAnsi="Bookman Old Style"/>
        </w:rPr>
      </w:pPr>
    </w:p>
    <w:p w:rsidR="0001400D" w:rsidRDefault="0001400D" w:rsidP="005577CB">
      <w:pPr>
        <w:pStyle w:val="NoSpacing"/>
        <w:spacing w:after="200"/>
        <w:ind w:left="1440" w:hanging="1440"/>
        <w:contextualSpacing/>
        <w:jc w:val="both"/>
        <w:rPr>
          <w:rFonts w:ascii="Bookman Old Style" w:hAnsi="Bookman Old Style"/>
        </w:rPr>
      </w:pPr>
      <w:r w:rsidRPr="00BA2BA5">
        <w:rPr>
          <w:rFonts w:ascii="Bookman Old Style" w:hAnsi="Bookman Old Style"/>
        </w:rPr>
        <w:t xml:space="preserve">Section </w:t>
      </w:r>
      <w:r w:rsidR="00797126">
        <w:rPr>
          <w:rFonts w:ascii="Bookman Old Style" w:hAnsi="Bookman Old Style"/>
        </w:rPr>
        <w:t>IV</w:t>
      </w:r>
      <w:r w:rsidRPr="00BA2BA5">
        <w:rPr>
          <w:rFonts w:ascii="Bookman Old Style" w:hAnsi="Bookman Old Style"/>
        </w:rPr>
        <w:tab/>
        <w:t xml:space="preserve">Distribution of incidents and response forces examines the current incident dispersal patterns and recommends the most efficient distribution of resources based upon </w:t>
      </w:r>
      <w:r w:rsidR="004145B5" w:rsidRPr="00BA2BA5">
        <w:rPr>
          <w:rFonts w:ascii="Bookman Old Style" w:hAnsi="Bookman Old Style"/>
        </w:rPr>
        <w:t xml:space="preserve">identified </w:t>
      </w:r>
      <w:r w:rsidRPr="00BA2BA5">
        <w:rPr>
          <w:rFonts w:ascii="Bookman Old Style" w:hAnsi="Bookman Old Style"/>
        </w:rPr>
        <w:t>need</w:t>
      </w:r>
      <w:r w:rsidR="004145B5" w:rsidRPr="00BA2BA5">
        <w:rPr>
          <w:rFonts w:ascii="Bookman Old Style" w:hAnsi="Bookman Old Style"/>
        </w:rPr>
        <w:t>s</w:t>
      </w:r>
      <w:r w:rsidRPr="00BA2BA5">
        <w:rPr>
          <w:rFonts w:ascii="Bookman Old Style" w:hAnsi="Bookman Old Style"/>
        </w:rPr>
        <w:t xml:space="preserve"> and recommendations of the aforementioned documents.</w:t>
      </w:r>
    </w:p>
    <w:p w:rsidR="005577CB" w:rsidRPr="00BA2BA5" w:rsidRDefault="005577CB" w:rsidP="005577CB">
      <w:pPr>
        <w:pStyle w:val="NoSpacing"/>
        <w:spacing w:after="200"/>
        <w:ind w:left="1440" w:hanging="1440"/>
        <w:contextualSpacing/>
        <w:jc w:val="both"/>
        <w:rPr>
          <w:rFonts w:ascii="Bookman Old Style" w:hAnsi="Bookman Old Style"/>
        </w:rPr>
      </w:pPr>
    </w:p>
    <w:p w:rsidR="0001400D" w:rsidRDefault="00797126" w:rsidP="005577CB">
      <w:pPr>
        <w:pStyle w:val="NoSpacing"/>
        <w:spacing w:after="200"/>
        <w:ind w:left="1440" w:hanging="1440"/>
        <w:contextualSpacing/>
        <w:jc w:val="both"/>
        <w:rPr>
          <w:rFonts w:ascii="Bookman Old Style" w:hAnsi="Bookman Old Style"/>
        </w:rPr>
      </w:pPr>
      <w:r>
        <w:rPr>
          <w:rFonts w:ascii="Bookman Old Style" w:hAnsi="Bookman Old Style"/>
        </w:rPr>
        <w:t>Section V</w:t>
      </w:r>
      <w:r w:rsidR="0001400D" w:rsidRPr="00BA2BA5">
        <w:rPr>
          <w:rFonts w:ascii="Bookman Old Style" w:hAnsi="Bookman Old Style"/>
        </w:rPr>
        <w:tab/>
        <w:t>Analyzes the response and concentration reliability based upon identified risks, demand and recommendations of the aforementioned documents.</w:t>
      </w:r>
    </w:p>
    <w:p w:rsidR="005577CB" w:rsidRPr="00BA2BA5" w:rsidRDefault="005577CB" w:rsidP="005577CB">
      <w:pPr>
        <w:pStyle w:val="NoSpacing"/>
        <w:spacing w:after="200"/>
        <w:ind w:left="1440" w:hanging="1440"/>
        <w:contextualSpacing/>
        <w:jc w:val="both"/>
        <w:rPr>
          <w:rFonts w:ascii="Bookman Old Style" w:hAnsi="Bookman Old Style"/>
        </w:rPr>
      </w:pPr>
    </w:p>
    <w:p w:rsidR="0001400D" w:rsidRDefault="0001400D" w:rsidP="005577CB">
      <w:pPr>
        <w:pStyle w:val="NoSpacing"/>
        <w:spacing w:after="200"/>
        <w:ind w:left="1440" w:hanging="1440"/>
        <w:contextualSpacing/>
        <w:jc w:val="both"/>
        <w:rPr>
          <w:rFonts w:ascii="Bookman Old Style" w:hAnsi="Bookman Old Style"/>
        </w:rPr>
      </w:pPr>
      <w:r w:rsidRPr="00BA2BA5">
        <w:rPr>
          <w:rFonts w:ascii="Bookman Old Style" w:hAnsi="Bookman Old Style"/>
        </w:rPr>
        <w:t>Section</w:t>
      </w:r>
      <w:r w:rsidR="00797126">
        <w:rPr>
          <w:rFonts w:ascii="Bookman Old Style" w:hAnsi="Bookman Old Style"/>
        </w:rPr>
        <w:t xml:space="preserve"> VI</w:t>
      </w:r>
      <w:r w:rsidRPr="00BA2BA5">
        <w:rPr>
          <w:rFonts w:ascii="Bookman Old Style" w:hAnsi="Bookman Old Style"/>
        </w:rPr>
        <w:tab/>
        <w:t>Identifies response times, on-scene performance requirements, critical tasking of resources and the number of resources required.</w:t>
      </w:r>
    </w:p>
    <w:p w:rsidR="005577CB" w:rsidRPr="00BA2BA5" w:rsidRDefault="005577CB" w:rsidP="005577CB">
      <w:pPr>
        <w:pStyle w:val="NoSpacing"/>
        <w:spacing w:after="200"/>
        <w:ind w:left="1440" w:hanging="1440"/>
        <w:contextualSpacing/>
        <w:jc w:val="both"/>
        <w:rPr>
          <w:rFonts w:ascii="Bookman Old Style" w:hAnsi="Bookman Old Style"/>
        </w:rPr>
      </w:pPr>
    </w:p>
    <w:p w:rsidR="0001400D" w:rsidRDefault="00797126" w:rsidP="005577CB">
      <w:pPr>
        <w:pStyle w:val="NoSpacing"/>
        <w:spacing w:after="200"/>
        <w:ind w:left="1440" w:hanging="1440"/>
        <w:contextualSpacing/>
        <w:jc w:val="both"/>
        <w:rPr>
          <w:rFonts w:ascii="Bookman Old Style" w:hAnsi="Bookman Old Style"/>
        </w:rPr>
      </w:pPr>
      <w:r>
        <w:rPr>
          <w:rFonts w:ascii="Bookman Old Style" w:hAnsi="Bookman Old Style"/>
        </w:rPr>
        <w:t>Section VII</w:t>
      </w:r>
      <w:r w:rsidR="0001400D" w:rsidRPr="00BA2BA5">
        <w:rPr>
          <w:rFonts w:ascii="Bookman Old Style" w:hAnsi="Bookman Old Style"/>
        </w:rPr>
        <w:tab/>
      </w:r>
      <w:r w:rsidR="003B6C0D">
        <w:rPr>
          <w:rFonts w:ascii="Bookman Old Style" w:hAnsi="Bookman Old Style"/>
        </w:rPr>
        <w:t>Provides recommendations</w:t>
      </w:r>
      <w:r w:rsidR="002D2767" w:rsidRPr="00BA2BA5">
        <w:rPr>
          <w:rFonts w:ascii="Bookman Old Style" w:hAnsi="Bookman Old Style"/>
        </w:rPr>
        <w:t xml:space="preserve"> </w:t>
      </w:r>
      <w:r w:rsidR="00470542" w:rsidRPr="00BA2BA5">
        <w:rPr>
          <w:rFonts w:ascii="Bookman Old Style" w:hAnsi="Bookman Old Style"/>
        </w:rPr>
        <w:t xml:space="preserve">to meet the levels of service, equipment </w:t>
      </w:r>
      <w:r w:rsidR="00C4299C" w:rsidRPr="00BA2BA5">
        <w:rPr>
          <w:rFonts w:ascii="Bookman Old Style" w:hAnsi="Bookman Old Style"/>
        </w:rPr>
        <w:t>needs</w:t>
      </w:r>
      <w:r w:rsidR="003B6C0D">
        <w:rPr>
          <w:rFonts w:ascii="Bookman Old Style" w:hAnsi="Bookman Old Style"/>
        </w:rPr>
        <w:t>,</w:t>
      </w:r>
      <w:r w:rsidR="00470542" w:rsidRPr="00BA2BA5">
        <w:rPr>
          <w:rFonts w:ascii="Bookman Old Style" w:hAnsi="Bookman Old Style"/>
        </w:rPr>
        <w:t xml:space="preserve"> facilities and apparatus as determined by the City Council.</w:t>
      </w:r>
    </w:p>
    <w:p w:rsidR="005577CB" w:rsidRPr="00BA2BA5" w:rsidRDefault="005577CB" w:rsidP="005577CB">
      <w:pPr>
        <w:pStyle w:val="NoSpacing"/>
        <w:spacing w:after="200"/>
        <w:ind w:left="1440" w:hanging="1440"/>
        <w:contextualSpacing/>
        <w:jc w:val="both"/>
        <w:rPr>
          <w:rFonts w:ascii="Bookman Old Style" w:hAnsi="Bookman Old Style"/>
        </w:rPr>
      </w:pPr>
    </w:p>
    <w:p w:rsidR="003751AF" w:rsidRDefault="00797126" w:rsidP="005577CB">
      <w:pPr>
        <w:pStyle w:val="NoSpacing"/>
        <w:spacing w:after="200"/>
        <w:ind w:left="1440" w:hanging="1440"/>
        <w:contextualSpacing/>
        <w:jc w:val="both"/>
        <w:rPr>
          <w:rFonts w:ascii="Bookman Old Style" w:hAnsi="Bookman Old Style"/>
        </w:rPr>
      </w:pPr>
      <w:r>
        <w:rPr>
          <w:rFonts w:ascii="Bookman Old Style" w:hAnsi="Bookman Old Style"/>
        </w:rPr>
        <w:t>Section VIII</w:t>
      </w:r>
      <w:r w:rsidR="00A22852">
        <w:rPr>
          <w:rFonts w:ascii="Bookman Old Style" w:hAnsi="Bookman Old Style"/>
        </w:rPr>
        <w:t xml:space="preserve"> </w:t>
      </w:r>
      <w:r w:rsidR="00A22852">
        <w:rPr>
          <w:rFonts w:ascii="Bookman Old Style" w:hAnsi="Bookman Old Style"/>
        </w:rPr>
        <w:tab/>
        <w:t>Works Cited</w:t>
      </w:r>
    </w:p>
    <w:p w:rsidR="003751AF" w:rsidRDefault="003751AF">
      <w:pPr>
        <w:rPr>
          <w:rFonts w:ascii="Bookman Old Style" w:hAnsi="Bookman Old Style"/>
        </w:rPr>
      </w:pPr>
      <w:r>
        <w:rPr>
          <w:rFonts w:ascii="Bookman Old Style" w:hAnsi="Bookman Old Style"/>
        </w:rPr>
        <w:br w:type="page"/>
      </w:r>
    </w:p>
    <w:p w:rsidR="005577CB" w:rsidRPr="003746A2" w:rsidRDefault="00CB4950" w:rsidP="009F68A4">
      <w:pPr>
        <w:pStyle w:val="Heading1"/>
        <w:rPr>
          <w:i/>
          <w:color w:val="auto"/>
          <w:sz w:val="24"/>
          <w:szCs w:val="24"/>
        </w:rPr>
      </w:pPr>
      <w:bookmarkStart w:id="4" w:name="_Toc474159543"/>
      <w:bookmarkStart w:id="5" w:name="_Toc475003846"/>
      <w:r w:rsidRPr="003746A2">
        <w:rPr>
          <w:i/>
          <w:color w:val="auto"/>
          <w:sz w:val="24"/>
          <w:szCs w:val="24"/>
        </w:rPr>
        <w:lastRenderedPageBreak/>
        <w:t>Section II</w:t>
      </w:r>
      <w:bookmarkEnd w:id="4"/>
      <w:bookmarkEnd w:id="5"/>
    </w:p>
    <w:p w:rsidR="005822DA" w:rsidRPr="003746A2" w:rsidRDefault="005822DA" w:rsidP="009F68A4">
      <w:pPr>
        <w:pStyle w:val="Heading2"/>
        <w:spacing w:before="0" w:after="200"/>
        <w:rPr>
          <w:i/>
          <w:color w:val="auto"/>
          <w:sz w:val="24"/>
          <w:szCs w:val="24"/>
        </w:rPr>
      </w:pPr>
      <w:bookmarkStart w:id="6" w:name="_Toc474159544"/>
      <w:bookmarkStart w:id="7" w:name="_Toc475003847"/>
      <w:r w:rsidRPr="003746A2">
        <w:rPr>
          <w:i/>
          <w:color w:val="auto"/>
          <w:sz w:val="24"/>
          <w:szCs w:val="24"/>
        </w:rPr>
        <w:t>Community Overview</w:t>
      </w:r>
      <w:bookmarkEnd w:id="6"/>
      <w:bookmarkEnd w:id="7"/>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r>
        <w:rPr>
          <w:rFonts w:ascii="Bookman Old Style" w:hAnsi="Bookman Old Style"/>
        </w:rPr>
        <w:t>The City of Pasco is a robust multi-cultural community with a rich history.  Inhabitants have thrived along the banks of the Columbia and Snake Rivers for many years.  Evidence of the earliest known inhabitants in the Western Hemisphere was found in northern Franklin County at the Marmes Rockshelter, near Lyons Ferry and Palouse Falls (approximately 35 miles northeast of Pasco. In 1805, the Lewis and Clark Expedition camped at the confluence of th</w:t>
      </w:r>
      <w:r w:rsidR="00A55F12">
        <w:rPr>
          <w:rFonts w:ascii="Bookman Old Style" w:hAnsi="Bookman Old Style"/>
        </w:rPr>
        <w:t>e Snake and Columbia Rivers.   In the late 1800’s t</w:t>
      </w:r>
      <w:r>
        <w:rPr>
          <w:rFonts w:ascii="Bookman Old Style" w:hAnsi="Bookman Old Style"/>
        </w:rPr>
        <w:t>he Northern Pacific Railroad brought a rush of settlers to the Washington Territory and the railroad town of Pasco was born.</w:t>
      </w:r>
    </w:p>
    <w:p w:rsidR="00B2602F" w:rsidRDefault="00B2602F" w:rsidP="00D345B0">
      <w:pPr>
        <w:spacing w:afterLines="200" w:after="480" w:line="240" w:lineRule="auto"/>
        <w:contextualSpacing/>
        <w:jc w:val="both"/>
        <w:rPr>
          <w:rFonts w:ascii="Bookman Old Style" w:hAnsi="Bookman Old Style"/>
        </w:rPr>
      </w:pPr>
    </w:p>
    <w:p w:rsidR="00B2602F" w:rsidRDefault="005822DA" w:rsidP="00D345B0">
      <w:pPr>
        <w:spacing w:afterLines="200" w:after="480" w:line="240" w:lineRule="auto"/>
        <w:contextualSpacing/>
        <w:jc w:val="both"/>
        <w:rPr>
          <w:rFonts w:ascii="Bookman Old Style" w:hAnsi="Bookman Old Style"/>
        </w:rPr>
      </w:pPr>
      <w:r w:rsidRPr="00BA2BA5">
        <w:rPr>
          <w:rFonts w:ascii="Bookman Old Style" w:hAnsi="Bookman Old Style"/>
        </w:rPr>
        <w:t>The City of Pasco was incorporated on September 3, 1891.  Pasco is the second largest of the three cities that regionally comprise the Tri-Cities area in southea</w:t>
      </w:r>
      <w:r w:rsidR="00B2602F">
        <w:rPr>
          <w:rFonts w:ascii="Bookman Old Style" w:hAnsi="Bookman Old Style"/>
        </w:rPr>
        <w:t>stern Washington State.  T</w:t>
      </w:r>
      <w:r w:rsidRPr="00BA2BA5">
        <w:rPr>
          <w:rFonts w:ascii="Bookman Old Style" w:hAnsi="Bookman Old Style"/>
        </w:rPr>
        <w:t>he city curren</w:t>
      </w:r>
      <w:r w:rsidR="00A55F12">
        <w:rPr>
          <w:rFonts w:ascii="Bookman Old Style" w:hAnsi="Bookman Old Style"/>
        </w:rPr>
        <w:t>tly encompasses approximately 37</w:t>
      </w:r>
      <w:r w:rsidRPr="00BA2BA5">
        <w:rPr>
          <w:rFonts w:ascii="Bookman Old Style" w:hAnsi="Bookman Old Style"/>
        </w:rPr>
        <w:t xml:space="preserve"> sq</w:t>
      </w:r>
      <w:r w:rsidR="00A55F12">
        <w:rPr>
          <w:rFonts w:ascii="Bookman Old Style" w:hAnsi="Bookman Old Style"/>
        </w:rPr>
        <w:t>uare miles that includes over 13</w:t>
      </w:r>
      <w:r w:rsidRPr="00BA2BA5">
        <w:rPr>
          <w:rFonts w:ascii="Bookman Old Style" w:hAnsi="Bookman Old Style"/>
        </w:rPr>
        <w:t xml:space="preserve"> river miles of water front, with an additional seven square miles designated as the urban growth boundary.  </w:t>
      </w:r>
    </w:p>
    <w:p w:rsidR="00A55F12" w:rsidRDefault="00A55F12" w:rsidP="00D345B0">
      <w:pPr>
        <w:spacing w:afterLines="200" w:after="480" w:line="240" w:lineRule="auto"/>
        <w:contextualSpacing/>
        <w:jc w:val="both"/>
        <w:rPr>
          <w:rFonts w:ascii="Bookman Old Style" w:hAnsi="Bookman Old Style"/>
        </w:rPr>
      </w:pPr>
    </w:p>
    <w:p w:rsidR="00A55F12" w:rsidRDefault="00A55F12" w:rsidP="00D345B0">
      <w:pPr>
        <w:spacing w:afterLines="200" w:after="480" w:line="240" w:lineRule="auto"/>
        <w:contextualSpacing/>
        <w:jc w:val="both"/>
        <w:rPr>
          <w:rFonts w:ascii="Bookman Old Style" w:hAnsi="Bookman Old Style"/>
          <w:b/>
          <w:i/>
        </w:rPr>
      </w:pPr>
      <w:r>
        <w:rPr>
          <w:rFonts w:ascii="Bookman Old Style" w:hAnsi="Bookman Old Style"/>
          <w:b/>
          <w:i/>
        </w:rPr>
        <w:t>Governance</w:t>
      </w:r>
    </w:p>
    <w:p w:rsidR="00A55F12" w:rsidRDefault="00A55F12" w:rsidP="00D345B0">
      <w:pPr>
        <w:spacing w:afterLines="200" w:after="480" w:line="240" w:lineRule="auto"/>
        <w:contextualSpacing/>
        <w:jc w:val="both"/>
        <w:rPr>
          <w:rFonts w:ascii="Bookman Old Style" w:hAnsi="Bookman Old Style"/>
          <w:b/>
          <w:i/>
        </w:rPr>
      </w:pPr>
    </w:p>
    <w:p w:rsidR="00A55F12" w:rsidRDefault="00A55F12" w:rsidP="00D345B0">
      <w:pPr>
        <w:spacing w:afterLines="200" w:after="480" w:line="240" w:lineRule="auto"/>
        <w:contextualSpacing/>
        <w:jc w:val="both"/>
        <w:rPr>
          <w:rFonts w:ascii="Bookman Old Style" w:hAnsi="Bookman Old Style"/>
        </w:rPr>
      </w:pPr>
      <w:r>
        <w:rPr>
          <w:rFonts w:ascii="Bookman Old Style" w:hAnsi="Bookman Old Style"/>
        </w:rPr>
        <w:t>The City of Pasco operates under the “Council-Manager” form of government, per the Revised Code of Washington Chapter 35.18.  Under the Council-Manager plan, the councilmembers are the elected officials of the City, who in turn appoint and oversee the City Manager.</w:t>
      </w:r>
    </w:p>
    <w:p w:rsidR="00A55F12" w:rsidRDefault="00A55F12" w:rsidP="00D345B0">
      <w:pPr>
        <w:spacing w:afterLines="200" w:after="480" w:line="240" w:lineRule="auto"/>
        <w:contextualSpacing/>
        <w:jc w:val="both"/>
        <w:rPr>
          <w:rFonts w:ascii="Bookman Old Style" w:hAnsi="Bookman Old Style"/>
        </w:rPr>
      </w:pPr>
    </w:p>
    <w:p w:rsidR="00A55F12" w:rsidRDefault="00A55F12" w:rsidP="00D345B0">
      <w:pPr>
        <w:spacing w:afterLines="200" w:after="480" w:line="240" w:lineRule="auto"/>
        <w:contextualSpacing/>
        <w:jc w:val="both"/>
        <w:rPr>
          <w:rFonts w:ascii="Bookman Old Style" w:hAnsi="Bookman Old Style"/>
        </w:rPr>
      </w:pPr>
      <w:r>
        <w:rPr>
          <w:rFonts w:ascii="Bookman Old Style" w:hAnsi="Bookman Old Style"/>
        </w:rPr>
        <w:t>The Pasco City Council is comprised of seven elected officials, each serving 4 year terms.  Six councilmembers represent voting districts within the city and 1 councilmember serves in an “At Large” position.  The councilmembers representing voting districts are elected in the primary election, the “At Large” position is elected by a city-wide voting process in both the primary and general elections.</w:t>
      </w:r>
    </w:p>
    <w:p w:rsidR="00A55F12" w:rsidRDefault="00A55F12" w:rsidP="00D345B0">
      <w:pPr>
        <w:spacing w:afterLines="200" w:after="480" w:line="240" w:lineRule="auto"/>
        <w:contextualSpacing/>
        <w:jc w:val="both"/>
        <w:rPr>
          <w:rFonts w:ascii="Bookman Old Style" w:hAnsi="Bookman Old Style"/>
        </w:rPr>
      </w:pPr>
    </w:p>
    <w:p w:rsidR="00A55F12" w:rsidRPr="00A55F12" w:rsidRDefault="00A55F12" w:rsidP="00D345B0">
      <w:pPr>
        <w:spacing w:afterLines="200" w:after="480" w:line="240" w:lineRule="auto"/>
        <w:contextualSpacing/>
        <w:jc w:val="both"/>
        <w:rPr>
          <w:rFonts w:ascii="Bookman Old Style" w:hAnsi="Bookman Old Style"/>
        </w:rPr>
      </w:pPr>
      <w:r>
        <w:rPr>
          <w:rFonts w:ascii="Bookman Old Style" w:hAnsi="Bookman Old Style"/>
        </w:rPr>
        <w:t>The City Manager is the chief executive officer of the City and is responsible to the City Council for the proper delivery of municipal services consistent with Council policy and directives.  The Executive Department also provides general administrative oversight and oversees all personnel matters and external communications for the City.</w:t>
      </w: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b/>
          <w:i/>
        </w:rPr>
      </w:pPr>
      <w:r>
        <w:rPr>
          <w:rFonts w:ascii="Bookman Old Style" w:hAnsi="Bookman Old Style"/>
          <w:b/>
          <w:i/>
        </w:rPr>
        <w:t>Climate</w:t>
      </w:r>
    </w:p>
    <w:p w:rsidR="00B2602F" w:rsidRDefault="00B2602F" w:rsidP="00D345B0">
      <w:pPr>
        <w:spacing w:afterLines="200" w:after="480" w:line="240" w:lineRule="auto"/>
        <w:contextualSpacing/>
        <w:jc w:val="both"/>
        <w:rPr>
          <w:rFonts w:ascii="Bookman Old Style" w:hAnsi="Bookman Old Style"/>
          <w:b/>
          <w:i/>
        </w:rPr>
      </w:pPr>
    </w:p>
    <w:p w:rsidR="00B2602F" w:rsidRDefault="00B2602F" w:rsidP="00D345B0">
      <w:pPr>
        <w:spacing w:afterLines="200" w:after="480" w:line="240" w:lineRule="auto"/>
        <w:contextualSpacing/>
        <w:jc w:val="both"/>
        <w:rPr>
          <w:rFonts w:ascii="Bookman Old Style" w:hAnsi="Bookman Old Style"/>
        </w:rPr>
      </w:pPr>
      <w:r>
        <w:rPr>
          <w:rFonts w:ascii="Bookman Old Style" w:hAnsi="Bookman Old Style"/>
        </w:rPr>
        <w:t>Pasco is located in the rain shadow of the Cascade Mountain Range and as such enjoys a fairly mild climate.  The area averages approximately 300 days of sunshine per year that yields an average growing season of 185 days per year.  The average precipitation, including both rain and snow fall is 9.25 inches per year.  The month of August tends to be the hottest with average temperatures in the 80’s, while the month of February tends to be the coldest with the average temperatures in the mid-20’s.</w:t>
      </w:r>
    </w:p>
    <w:p w:rsidR="00A55F12" w:rsidRDefault="00A55F12" w:rsidP="00D345B0">
      <w:pPr>
        <w:spacing w:afterLines="200" w:after="480" w:line="240" w:lineRule="auto"/>
        <w:contextualSpacing/>
        <w:jc w:val="both"/>
        <w:rPr>
          <w:rFonts w:ascii="Bookman Old Style" w:hAnsi="Bookman Old Style"/>
        </w:rPr>
      </w:pPr>
    </w:p>
    <w:p w:rsidR="00A55F12" w:rsidRDefault="00A55F12" w:rsidP="00D345B0">
      <w:pPr>
        <w:spacing w:afterLines="200" w:after="480" w:line="240" w:lineRule="auto"/>
        <w:contextualSpacing/>
        <w:jc w:val="both"/>
        <w:rPr>
          <w:rFonts w:ascii="Bookman Old Style" w:hAnsi="Bookman Old Style"/>
        </w:rPr>
      </w:pPr>
    </w:p>
    <w:p w:rsidR="00A55F12" w:rsidRDefault="00A55F12" w:rsidP="00D345B0">
      <w:pPr>
        <w:spacing w:afterLines="200" w:after="480" w:line="240" w:lineRule="auto"/>
        <w:contextualSpacing/>
        <w:jc w:val="both"/>
        <w:rPr>
          <w:rFonts w:ascii="Bookman Old Style" w:hAnsi="Bookman Old Style"/>
        </w:rPr>
      </w:pPr>
    </w:p>
    <w:p w:rsidR="00A55F12" w:rsidRDefault="00A55F12"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r>
        <w:rPr>
          <w:rFonts w:ascii="Bookman Old Style" w:hAnsi="Bookman Old Style"/>
        </w:rPr>
        <w:t>Shown below is a historical climatology graph of the Pasco.</w:t>
      </w:r>
    </w:p>
    <w:p w:rsidR="00B2602F" w:rsidRDefault="00B2602F" w:rsidP="00D345B0">
      <w:pPr>
        <w:spacing w:afterLines="200" w:after="480" w:line="240" w:lineRule="auto"/>
        <w:contextualSpacing/>
        <w:jc w:val="both"/>
        <w:rPr>
          <w:rFonts w:ascii="Bookman Old Style" w:hAnsi="Bookman Old Style"/>
        </w:rPr>
      </w:pPr>
    </w:p>
    <w:p w:rsidR="00B2602F" w:rsidRPr="00B2602F" w:rsidRDefault="00B2602F" w:rsidP="00B2602F">
      <w:pPr>
        <w:spacing w:afterLines="200" w:after="480" w:line="240" w:lineRule="auto"/>
        <w:contextualSpacing/>
        <w:jc w:val="center"/>
        <w:rPr>
          <w:rFonts w:ascii="Bookman Old Style" w:hAnsi="Bookman Old Style"/>
        </w:rPr>
      </w:pPr>
      <w:r>
        <w:rPr>
          <w:rFonts w:ascii="Bookman Old Style" w:hAnsi="Bookman Old Style"/>
          <w:noProof/>
        </w:rPr>
        <w:drawing>
          <wp:inline distT="0" distB="0" distL="0" distR="0">
            <wp:extent cx="3790950" cy="2614191"/>
            <wp:effectExtent l="0" t="0" r="0" b="0"/>
            <wp:docPr id="21" name="Picture 21" descr="C:\Users\hared\Desktop\Pasco Climate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ed\Desktop\Pasco Climate Grap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2614191"/>
                    </a:xfrm>
                    <a:prstGeom prst="rect">
                      <a:avLst/>
                    </a:prstGeom>
                    <a:noFill/>
                    <a:ln>
                      <a:noFill/>
                    </a:ln>
                  </pic:spPr>
                </pic:pic>
              </a:graphicData>
            </a:graphic>
          </wp:inline>
        </w:drawing>
      </w: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b/>
          <w:i/>
        </w:rPr>
      </w:pPr>
      <w:r>
        <w:rPr>
          <w:rFonts w:ascii="Bookman Old Style" w:hAnsi="Bookman Old Style"/>
          <w:b/>
          <w:i/>
        </w:rPr>
        <w:t>Population</w:t>
      </w:r>
    </w:p>
    <w:p w:rsidR="00B2602F" w:rsidRPr="00B2602F" w:rsidRDefault="00B2602F" w:rsidP="00D345B0">
      <w:pPr>
        <w:spacing w:afterLines="200" w:after="480" w:line="240" w:lineRule="auto"/>
        <w:contextualSpacing/>
        <w:jc w:val="both"/>
        <w:rPr>
          <w:rFonts w:ascii="Bookman Old Style" w:hAnsi="Bookman Old Style"/>
          <w:b/>
          <w:i/>
        </w:rPr>
      </w:pPr>
    </w:p>
    <w:p w:rsidR="00B2602F" w:rsidRDefault="005822DA" w:rsidP="00D345B0">
      <w:pPr>
        <w:spacing w:afterLines="200" w:after="480" w:line="240" w:lineRule="auto"/>
        <w:contextualSpacing/>
        <w:jc w:val="both"/>
        <w:rPr>
          <w:rFonts w:ascii="Bookman Old Style" w:hAnsi="Bookman Old Style"/>
        </w:rPr>
      </w:pPr>
      <w:r w:rsidRPr="00BA2BA5">
        <w:rPr>
          <w:rFonts w:ascii="Bookman Old Style" w:hAnsi="Bookman Old Style"/>
        </w:rPr>
        <w:t xml:space="preserve">The 2010 census reported a population of 59,781 with a density of 1960 inhabitants per square mile.  There were 18,782 housing units with an average density of 615.8 per square mile.  The 2016 postcensal estimate of total housing units provided by the Washington State Office of Financial Management is 22,282 at an average density of 655.4 per square mile. The 2016 population data of the city is 70,560 with a population density of 2075 per square mile. The population </w:t>
      </w:r>
      <w:r w:rsidR="00026DA3">
        <w:rPr>
          <w:rFonts w:ascii="Bookman Old Style" w:hAnsi="Bookman Old Style"/>
        </w:rPr>
        <w:t xml:space="preserve">demographic </w:t>
      </w:r>
      <w:r w:rsidR="00EF3151">
        <w:rPr>
          <w:rFonts w:ascii="Bookman Old Style" w:hAnsi="Bookman Old Style"/>
        </w:rPr>
        <w:t>is 55.4% Hispanic, 1.8% African American, .3</w:t>
      </w:r>
      <w:r w:rsidR="004128A0">
        <w:rPr>
          <w:rFonts w:ascii="Bookman Old Style" w:hAnsi="Bookman Old Style"/>
        </w:rPr>
        <w:t>% Native American, 2.2</w:t>
      </w:r>
      <w:r w:rsidRPr="00BA2BA5">
        <w:rPr>
          <w:rFonts w:ascii="Bookman Old Style" w:hAnsi="Bookman Old Style"/>
        </w:rPr>
        <w:t>% Asian,</w:t>
      </w:r>
      <w:r w:rsidR="004128A0">
        <w:rPr>
          <w:rFonts w:ascii="Bookman Old Style" w:hAnsi="Bookman Old Style"/>
        </w:rPr>
        <w:t xml:space="preserve"> 0.1% Pacific Islander, and 38.5% white alone</w:t>
      </w:r>
      <w:r w:rsidRPr="00BA2BA5">
        <w:rPr>
          <w:rFonts w:ascii="Bookman Old Style" w:hAnsi="Bookman Old Style"/>
        </w:rPr>
        <w:t xml:space="preserve">.  Hispanic or Latino of any race comprised 55.7% of the population.  </w:t>
      </w:r>
    </w:p>
    <w:p w:rsidR="00B2602F" w:rsidRDefault="006C649F" w:rsidP="00D345B0">
      <w:pPr>
        <w:spacing w:afterLines="200" w:after="480" w:line="240" w:lineRule="auto"/>
        <w:contextualSpacing/>
        <w:jc w:val="both"/>
        <w:rPr>
          <w:rFonts w:ascii="Bookman Old Style" w:hAnsi="Bookman Old Style"/>
        </w:rPr>
      </w:pPr>
      <w:r>
        <w:rPr>
          <w:noProof/>
        </w:rPr>
        <w:drawing>
          <wp:inline distT="0" distB="0" distL="0" distR="0" wp14:anchorId="53D39E1A" wp14:editId="786540DB">
            <wp:extent cx="5600700" cy="2286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p>
    <w:p w:rsidR="004128A0" w:rsidRDefault="005822DA" w:rsidP="00D345B0">
      <w:pPr>
        <w:spacing w:afterLines="200" w:after="480" w:line="240" w:lineRule="auto"/>
        <w:contextualSpacing/>
        <w:jc w:val="both"/>
        <w:rPr>
          <w:rFonts w:ascii="Bookman Old Style" w:hAnsi="Bookman Old Style"/>
        </w:rPr>
      </w:pPr>
      <w:r w:rsidRPr="00BA2BA5">
        <w:rPr>
          <w:rFonts w:ascii="Bookman Old Style" w:hAnsi="Bookman Old Style"/>
        </w:rPr>
        <w:t>The 2010 census reported the median age in the city was 27.3 years.  35.5% of residents were under the age of 18; 10.6% were between the ages of 18 and 24; 29.9% were from 25 to 44: 17.2% were from 45 to 64; and 6.7% were 65 years or older.</w:t>
      </w:r>
    </w:p>
    <w:p w:rsidR="004128A0" w:rsidRDefault="004128A0" w:rsidP="00D345B0">
      <w:pPr>
        <w:spacing w:afterLines="200" w:after="480" w:line="240" w:lineRule="auto"/>
        <w:contextualSpacing/>
        <w:jc w:val="both"/>
        <w:rPr>
          <w:rFonts w:ascii="Bookman Old Style" w:hAnsi="Bookman Old Style"/>
        </w:rPr>
      </w:pPr>
    </w:p>
    <w:p w:rsidR="005822DA" w:rsidRDefault="004128A0" w:rsidP="00D345B0">
      <w:pPr>
        <w:spacing w:afterLines="200" w:after="480" w:line="240" w:lineRule="auto"/>
        <w:contextualSpacing/>
        <w:jc w:val="both"/>
        <w:rPr>
          <w:rFonts w:ascii="Bookman Old Style" w:hAnsi="Bookman Old Style"/>
        </w:rPr>
      </w:pPr>
      <w:r>
        <w:rPr>
          <w:rFonts w:ascii="Bookman Old Style" w:hAnsi="Bookman Old Style"/>
        </w:rPr>
        <w:t>Males represented 51.8% of the population and females represented 48.2% of the population.</w:t>
      </w:r>
      <w:r w:rsidR="005822DA" w:rsidRPr="00BA2BA5">
        <w:rPr>
          <w:rFonts w:ascii="Bookman Old Style" w:hAnsi="Bookman Old Style"/>
        </w:rPr>
        <w:t xml:space="preserve"> </w:t>
      </w:r>
    </w:p>
    <w:p w:rsidR="00B2602F" w:rsidRDefault="00B2602F" w:rsidP="00D345B0">
      <w:pPr>
        <w:spacing w:afterLines="200" w:after="480" w:line="240" w:lineRule="auto"/>
        <w:contextualSpacing/>
        <w:jc w:val="both"/>
        <w:rPr>
          <w:rFonts w:ascii="Bookman Old Style" w:hAnsi="Bookman Old Style"/>
        </w:rPr>
      </w:pPr>
    </w:p>
    <w:p w:rsidR="00B2602F" w:rsidRDefault="00B2602F" w:rsidP="00D345B0">
      <w:pPr>
        <w:spacing w:afterLines="200" w:after="480" w:line="240" w:lineRule="auto"/>
        <w:contextualSpacing/>
        <w:jc w:val="both"/>
        <w:rPr>
          <w:rFonts w:ascii="Bookman Old Style" w:hAnsi="Bookman Old Style"/>
        </w:rPr>
      </w:pPr>
    </w:p>
    <w:p w:rsidR="00B2602F" w:rsidRDefault="00B2602F" w:rsidP="00B2602F">
      <w:pPr>
        <w:spacing w:afterLines="200" w:after="480" w:line="240" w:lineRule="auto"/>
        <w:contextualSpacing/>
        <w:jc w:val="center"/>
        <w:rPr>
          <w:rFonts w:ascii="Bookman Old Style" w:hAnsi="Bookman Old Style"/>
        </w:rPr>
      </w:pPr>
      <w:r>
        <w:rPr>
          <w:noProof/>
        </w:rPr>
        <w:drawing>
          <wp:inline distT="0" distB="0" distL="0" distR="0" wp14:anchorId="2B8C8BC1" wp14:editId="51E8209A">
            <wp:extent cx="4181475" cy="24098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F12" w:rsidRDefault="00A55F12" w:rsidP="00D345B0">
      <w:pPr>
        <w:spacing w:afterLines="200" w:after="480" w:line="240" w:lineRule="auto"/>
        <w:contextualSpacing/>
        <w:jc w:val="both"/>
        <w:rPr>
          <w:rFonts w:ascii="Bookman Old Style" w:hAnsi="Bookman Old Style"/>
        </w:rPr>
      </w:pPr>
    </w:p>
    <w:p w:rsidR="00B2602F" w:rsidRDefault="00B2602F" w:rsidP="005577CB">
      <w:pPr>
        <w:spacing w:line="240" w:lineRule="auto"/>
        <w:contextualSpacing/>
        <w:jc w:val="both"/>
        <w:rPr>
          <w:rFonts w:ascii="Bookman Old Style" w:hAnsi="Bookman Old Style"/>
          <w:b/>
          <w:i/>
        </w:rPr>
      </w:pPr>
      <w:r>
        <w:rPr>
          <w:rFonts w:ascii="Bookman Old Style" w:hAnsi="Bookman Old Style"/>
          <w:b/>
          <w:i/>
        </w:rPr>
        <w:t>Economics</w:t>
      </w:r>
    </w:p>
    <w:p w:rsidR="00B2602F" w:rsidRPr="00B2602F" w:rsidRDefault="00B2602F" w:rsidP="005577CB">
      <w:pPr>
        <w:spacing w:line="240" w:lineRule="auto"/>
        <w:contextualSpacing/>
        <w:jc w:val="both"/>
        <w:rPr>
          <w:rFonts w:ascii="Bookman Old Style" w:hAnsi="Bookman Old Style"/>
          <w:b/>
          <w:i/>
        </w:rPr>
      </w:pPr>
    </w:p>
    <w:p w:rsidR="005822DA" w:rsidRDefault="005822DA" w:rsidP="005577CB">
      <w:pPr>
        <w:spacing w:line="240" w:lineRule="auto"/>
        <w:contextualSpacing/>
        <w:jc w:val="both"/>
        <w:rPr>
          <w:rFonts w:ascii="Bookman Old Style" w:hAnsi="Bookman Old Style"/>
        </w:rPr>
      </w:pPr>
      <w:r w:rsidRPr="005577CB">
        <w:rPr>
          <w:rFonts w:ascii="Bookman Old Style" w:hAnsi="Bookman Old Style"/>
        </w:rPr>
        <w:t>Pasco has the lowest assessed value, lowest per capita income levels, low</w:t>
      </w:r>
      <w:r w:rsidR="005577CB">
        <w:rPr>
          <w:rFonts w:ascii="Bookman Old Style" w:hAnsi="Bookman Old Style"/>
        </w:rPr>
        <w:t xml:space="preserve">est per capita sales tax </w:t>
      </w:r>
      <w:r w:rsidRPr="005577CB">
        <w:rPr>
          <w:rFonts w:ascii="Bookman Old Style" w:hAnsi="Bookman Old Style"/>
        </w:rPr>
        <w:t xml:space="preserve">revenue and the highest unemployment rates of the </w:t>
      </w:r>
      <w:r w:rsidR="00B431F9" w:rsidRPr="005577CB">
        <w:rPr>
          <w:rFonts w:ascii="Bookman Old Style" w:hAnsi="Bookman Old Style"/>
        </w:rPr>
        <w:t>greater Tri-</w:t>
      </w:r>
      <w:r w:rsidR="00B431F9" w:rsidRPr="00BA2BA5">
        <w:rPr>
          <w:rFonts w:ascii="Bookman Old Style" w:hAnsi="Bookman Old Style"/>
        </w:rPr>
        <w:t xml:space="preserve">Cities </w:t>
      </w:r>
      <w:r w:rsidRPr="00BA2BA5">
        <w:rPr>
          <w:rFonts w:ascii="Bookman Old Style" w:hAnsi="Bookman Old Style"/>
        </w:rPr>
        <w:t xml:space="preserve">region.   The not seasonally adjusted unemployment rate for the City of Pasco is at 8.2% as of August 2013 (1% higher than the national average).  The per capita income in Pasco is 37.1% less than the Washington average and 32.7% less than the National average.  The median household income is 24.7% less than the Washington average and 14.7% less than the national average.  The poverty level in Pasco is 111.3% greater than the Washington average and 89.4% greater than the National average. </w:t>
      </w:r>
    </w:p>
    <w:p w:rsidR="00055697" w:rsidRDefault="00055697" w:rsidP="005577CB">
      <w:pPr>
        <w:spacing w:line="240" w:lineRule="auto"/>
        <w:contextualSpacing/>
        <w:jc w:val="both"/>
        <w:rPr>
          <w:rFonts w:ascii="Bookman Old Style" w:hAnsi="Bookman Old Style"/>
        </w:rPr>
      </w:pPr>
    </w:p>
    <w:p w:rsidR="00055697" w:rsidRDefault="00055697" w:rsidP="005577CB">
      <w:pPr>
        <w:spacing w:line="240" w:lineRule="auto"/>
        <w:contextualSpacing/>
        <w:jc w:val="both"/>
        <w:rPr>
          <w:rFonts w:ascii="Bookman Old Style" w:hAnsi="Bookman Old Style"/>
        </w:rPr>
      </w:pPr>
      <w:r>
        <w:rPr>
          <w:rFonts w:ascii="Bookman Old Style" w:hAnsi="Bookman Old Style"/>
        </w:rPr>
        <w:t>The City’s economy is directly based on agriculture and related food processing and transportation.  The Pasco Processing Center (a 240-acre industrial park designed for the food processing industry) was constructed in 1995. Several large food processors have built plants that utilize this facility.</w:t>
      </w:r>
    </w:p>
    <w:p w:rsidR="00055697" w:rsidRDefault="00055697" w:rsidP="005577CB">
      <w:pPr>
        <w:spacing w:line="240" w:lineRule="auto"/>
        <w:contextualSpacing/>
        <w:jc w:val="both"/>
        <w:rPr>
          <w:rFonts w:ascii="Bookman Old Style" w:hAnsi="Bookman Old Style"/>
        </w:rPr>
      </w:pPr>
    </w:p>
    <w:p w:rsidR="00055697" w:rsidRDefault="00055697" w:rsidP="005577CB">
      <w:pPr>
        <w:spacing w:line="240" w:lineRule="auto"/>
        <w:contextualSpacing/>
        <w:jc w:val="both"/>
        <w:rPr>
          <w:rFonts w:ascii="Bookman Old Style" w:hAnsi="Bookman Old Style"/>
        </w:rPr>
      </w:pPr>
      <w:r>
        <w:rPr>
          <w:rFonts w:ascii="Bookman Old Style" w:hAnsi="Bookman Old Style"/>
        </w:rPr>
        <w:t>The Hanford Reservation, located in Benton County, encompasses approximately 560 sq. miles and contains various nuclear and nuclear-related projects.  Today, the focus of the Hanford Reservation is on energy research, environmental remediation/waste management and related technology.</w:t>
      </w:r>
    </w:p>
    <w:p w:rsidR="00055697" w:rsidRDefault="00055697" w:rsidP="005577CB">
      <w:pPr>
        <w:spacing w:line="240" w:lineRule="auto"/>
        <w:contextualSpacing/>
        <w:jc w:val="both"/>
        <w:rPr>
          <w:rFonts w:ascii="Bookman Old Style" w:hAnsi="Bookman Old Style"/>
        </w:rPr>
      </w:pPr>
    </w:p>
    <w:p w:rsidR="00055697" w:rsidRDefault="00055697" w:rsidP="005577CB">
      <w:pPr>
        <w:spacing w:line="240" w:lineRule="auto"/>
        <w:contextualSpacing/>
        <w:jc w:val="both"/>
        <w:rPr>
          <w:rFonts w:ascii="Bookman Old Style" w:hAnsi="Bookman Old Style"/>
        </w:rPr>
      </w:pPr>
      <w:r>
        <w:rPr>
          <w:rFonts w:ascii="Bookman Old Style" w:hAnsi="Bookman Old Style"/>
        </w:rPr>
        <w:t>The economy of Pasco has been affected for the past several years by incidents that include; manufacturing sector slowdown, inflation increases, corporate bankruptcies, layoffs and relocations, terrorism and energy pricing.</w:t>
      </w:r>
    </w:p>
    <w:p w:rsidR="00A55F12" w:rsidRDefault="00A55F12" w:rsidP="005577CB">
      <w:pPr>
        <w:spacing w:line="240" w:lineRule="auto"/>
        <w:contextualSpacing/>
        <w:jc w:val="both"/>
        <w:rPr>
          <w:rFonts w:ascii="Bookman Old Style" w:hAnsi="Bookman Old Style"/>
        </w:rPr>
      </w:pPr>
    </w:p>
    <w:p w:rsidR="00A55F12" w:rsidRDefault="00A55F12" w:rsidP="005577CB">
      <w:pPr>
        <w:spacing w:line="240" w:lineRule="auto"/>
        <w:contextualSpacing/>
        <w:jc w:val="both"/>
        <w:rPr>
          <w:rFonts w:ascii="Bookman Old Style" w:hAnsi="Bookman Old Style"/>
        </w:rPr>
      </w:pPr>
    </w:p>
    <w:p w:rsidR="00A55F12" w:rsidRDefault="00A55F12" w:rsidP="005577CB">
      <w:pPr>
        <w:spacing w:line="240" w:lineRule="auto"/>
        <w:contextualSpacing/>
        <w:jc w:val="both"/>
        <w:rPr>
          <w:rFonts w:ascii="Bookman Old Style" w:hAnsi="Bookman Old Style"/>
        </w:rPr>
      </w:pPr>
    </w:p>
    <w:p w:rsidR="00B2602F" w:rsidRDefault="00B2602F" w:rsidP="005577CB">
      <w:pPr>
        <w:spacing w:line="240" w:lineRule="auto"/>
        <w:contextualSpacing/>
        <w:jc w:val="both"/>
        <w:rPr>
          <w:rFonts w:ascii="Bookman Old Style" w:hAnsi="Bookman Old Style"/>
        </w:rPr>
      </w:pPr>
    </w:p>
    <w:tbl>
      <w:tblPr>
        <w:tblW w:w="8101" w:type="dxa"/>
        <w:jc w:val="center"/>
        <w:tblLook w:val="04A0" w:firstRow="1" w:lastRow="0" w:firstColumn="1" w:lastColumn="0" w:noHBand="0" w:noVBand="1"/>
      </w:tblPr>
      <w:tblGrid>
        <w:gridCol w:w="4066"/>
        <w:gridCol w:w="1171"/>
        <w:gridCol w:w="1171"/>
        <w:gridCol w:w="829"/>
        <w:gridCol w:w="876"/>
      </w:tblGrid>
      <w:tr w:rsidR="00B2602F" w:rsidRPr="00B2602F" w:rsidTr="00B2602F">
        <w:trPr>
          <w:trHeight w:val="300"/>
          <w:jc w:val="center"/>
        </w:trPr>
        <w:tc>
          <w:tcPr>
            <w:tcW w:w="8101"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INCOME AND BENEFITS (IN 2015 INFLATION-ADJUSTED DOLLARS)</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 </w:t>
            </w:r>
          </w:p>
        </w:tc>
        <w:tc>
          <w:tcPr>
            <w:tcW w:w="2342"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Washington State</w:t>
            </w:r>
          </w:p>
        </w:tc>
        <w:tc>
          <w:tcPr>
            <w:tcW w:w="1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City of Pasco</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rPr>
                <w:rFonts w:ascii="Calibri" w:eastAsia="Times New Roman" w:hAnsi="Calibri" w:cs="Times New Roman"/>
                <w:b/>
                <w:color w:val="000000"/>
              </w:rPr>
            </w:pPr>
            <w:r w:rsidRPr="00B2602F">
              <w:rPr>
                <w:rFonts w:ascii="Calibri" w:eastAsia="Times New Roman" w:hAnsi="Calibri" w:cs="Times New Roman"/>
                <w:b/>
                <w:color w:val="000000"/>
              </w:rPr>
              <w:t>Total households</w:t>
            </w:r>
          </w:p>
        </w:tc>
        <w:tc>
          <w:tcPr>
            <w:tcW w:w="1171"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2,668,912</w:t>
            </w:r>
          </w:p>
        </w:tc>
        <w:tc>
          <w:tcPr>
            <w:tcW w:w="1171"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2,668,912</w:t>
            </w:r>
          </w:p>
        </w:tc>
        <w:tc>
          <w:tcPr>
            <w:tcW w:w="817"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19,522</w:t>
            </w:r>
          </w:p>
        </w:tc>
        <w:tc>
          <w:tcPr>
            <w:tcW w:w="876"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19,522</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Less than $10,000</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162,559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6.10%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1,205</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6.20%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$10,000 to $14,999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110,156</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4.10%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1,057</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5.40%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$15,000 to $24,999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234,988</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8.80%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1,876</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9.60%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$25,000 to $34,999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241,373</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9.00%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1,885</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9.70%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$35,000 to $49,999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346,476</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13.00%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2,862</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14.70%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$50,000 to $74,999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496,902</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18.60%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4,322</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22.10%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$75,000 to $99,999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358,433</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13.40%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3,154</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16.20%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$100,000 to $149,999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405,731</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15.20%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2,175</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11.10%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$150,000 to $199,999</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161,420</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6.00%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597</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3.10%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$200,000 or more</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150,874</w:t>
            </w:r>
          </w:p>
        </w:tc>
        <w:tc>
          <w:tcPr>
            <w:tcW w:w="1171" w:type="dxa"/>
            <w:tcBorders>
              <w:top w:val="nil"/>
              <w:left w:val="nil"/>
              <w:bottom w:val="single" w:sz="4" w:space="0" w:color="auto"/>
              <w:right w:val="single" w:sz="4" w:space="0" w:color="auto"/>
            </w:tcBorders>
            <w:shd w:val="clear" w:color="000000" w:fill="C5D9F1"/>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5.70%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389</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2.00%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Median household income (dollars)</w:t>
            </w:r>
          </w:p>
        </w:tc>
        <w:tc>
          <w:tcPr>
            <w:tcW w:w="2342"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61,062</w:t>
            </w:r>
          </w:p>
        </w:tc>
        <w:tc>
          <w:tcPr>
            <w:tcW w:w="16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55,319</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Mean household income (dollars)</w:t>
            </w:r>
          </w:p>
        </w:tc>
        <w:tc>
          <w:tcPr>
            <w:tcW w:w="2342"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80,789</w:t>
            </w:r>
          </w:p>
        </w:tc>
        <w:tc>
          <w:tcPr>
            <w:tcW w:w="16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64,123</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rPr>
                <w:rFonts w:ascii="Calibri" w:eastAsia="Times New Roman" w:hAnsi="Calibri" w:cs="Times New Roman"/>
                <w:b/>
                <w:color w:val="000000"/>
              </w:rPr>
            </w:pPr>
            <w:r w:rsidRPr="00B2602F">
              <w:rPr>
                <w:rFonts w:ascii="Calibri" w:eastAsia="Times New Roman" w:hAnsi="Calibri" w:cs="Times New Roman"/>
                <w:b/>
                <w:color w:val="000000"/>
              </w:rPr>
              <w:t>Families</w:t>
            </w:r>
          </w:p>
        </w:tc>
        <w:tc>
          <w:tcPr>
            <w:tcW w:w="1171"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1,722,188</w:t>
            </w:r>
          </w:p>
        </w:tc>
        <w:tc>
          <w:tcPr>
            <w:tcW w:w="1171"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1,722,188</w:t>
            </w:r>
          </w:p>
        </w:tc>
        <w:tc>
          <w:tcPr>
            <w:tcW w:w="817"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14,935</w:t>
            </w:r>
          </w:p>
        </w:tc>
        <w:tc>
          <w:tcPr>
            <w:tcW w:w="876" w:type="dxa"/>
            <w:tcBorders>
              <w:top w:val="nil"/>
              <w:left w:val="nil"/>
              <w:bottom w:val="single" w:sz="4" w:space="0" w:color="auto"/>
              <w:right w:val="single" w:sz="4" w:space="0" w:color="auto"/>
            </w:tcBorders>
            <w:shd w:val="clear" w:color="000000" w:fill="E6B8B7"/>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14,935</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Less than $10,000</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63,778</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3.70%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594</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4.00%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$10,000 to $14,999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42,099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2.40%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790</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5.30%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$15,000 to $24,999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103,856</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6.00%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1,417</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9.50%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$25,000 to $34,999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128,309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7.50%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1,193</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8.00%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$35,000 to $49,999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204,082</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11.90%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2,342</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15.70%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$50,000 to $74,999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330,194</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19.20%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3,543</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23.70%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$75,000 to $99,999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262,278</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15.20%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2,446</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16.40%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$100,000 to $149,999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323,521</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18.80%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1,803</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12.10%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$150,000 to $199,999</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135,088</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7.80%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418</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2.80%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$200,000 or more</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128,983</w:t>
            </w:r>
          </w:p>
        </w:tc>
        <w:tc>
          <w:tcPr>
            <w:tcW w:w="1171" w:type="dxa"/>
            <w:tcBorders>
              <w:top w:val="nil"/>
              <w:left w:val="nil"/>
              <w:bottom w:val="single" w:sz="4" w:space="0" w:color="auto"/>
              <w:right w:val="single" w:sz="4" w:space="0" w:color="auto"/>
            </w:tcBorders>
            <w:shd w:val="clear" w:color="000000" w:fill="B8CCE4"/>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7.50%</w:t>
            </w:r>
          </w:p>
        </w:tc>
        <w:tc>
          <w:tcPr>
            <w:tcW w:w="817"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389</w:t>
            </w:r>
          </w:p>
        </w:tc>
        <w:tc>
          <w:tcPr>
            <w:tcW w:w="876" w:type="dxa"/>
            <w:tcBorders>
              <w:top w:val="nil"/>
              <w:left w:val="nil"/>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jc w:val="right"/>
              <w:rPr>
                <w:rFonts w:ascii="Calibri" w:eastAsia="Times New Roman" w:hAnsi="Calibri" w:cs="Times New Roman"/>
                <w:color w:val="000000"/>
              </w:rPr>
            </w:pPr>
            <w:r w:rsidRPr="00B2602F">
              <w:rPr>
                <w:rFonts w:ascii="Calibri" w:eastAsia="Times New Roman" w:hAnsi="Calibri" w:cs="Times New Roman"/>
                <w:color w:val="000000"/>
              </w:rPr>
              <w:t>2.60%</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Median family income (dollars)</w:t>
            </w:r>
          </w:p>
        </w:tc>
        <w:tc>
          <w:tcPr>
            <w:tcW w:w="2342"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74,025</w:t>
            </w:r>
          </w:p>
        </w:tc>
        <w:tc>
          <w:tcPr>
            <w:tcW w:w="16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58,227</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Mean family income (dollars)</w:t>
            </w:r>
          </w:p>
        </w:tc>
        <w:tc>
          <w:tcPr>
            <w:tcW w:w="2342"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94,338</w:t>
            </w:r>
          </w:p>
        </w:tc>
        <w:tc>
          <w:tcPr>
            <w:tcW w:w="16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67,715</w:t>
            </w:r>
          </w:p>
        </w:tc>
      </w:tr>
      <w:tr w:rsidR="00B2602F" w:rsidRPr="00B2602F" w:rsidTr="00B2602F">
        <w:trPr>
          <w:trHeight w:val="300"/>
          <w:jc w:val="center"/>
        </w:trPr>
        <w:tc>
          <w:tcPr>
            <w:tcW w:w="4066" w:type="dxa"/>
            <w:tcBorders>
              <w:top w:val="nil"/>
              <w:left w:val="single" w:sz="4" w:space="0" w:color="auto"/>
              <w:bottom w:val="single" w:sz="4" w:space="0" w:color="auto"/>
              <w:right w:val="single" w:sz="4" w:space="0" w:color="auto"/>
            </w:tcBorders>
            <w:shd w:val="clear" w:color="auto" w:fill="auto"/>
            <w:noWrap/>
            <w:vAlign w:val="bottom"/>
            <w:hideMark/>
          </w:tcPr>
          <w:p w:rsidR="00B2602F" w:rsidRPr="00B2602F" w:rsidRDefault="00B2602F" w:rsidP="00B2602F">
            <w:pPr>
              <w:spacing w:after="0" w:line="240" w:lineRule="auto"/>
              <w:rPr>
                <w:rFonts w:ascii="Calibri" w:eastAsia="Times New Roman" w:hAnsi="Calibri" w:cs="Times New Roman"/>
                <w:color w:val="000000"/>
              </w:rPr>
            </w:pPr>
            <w:r w:rsidRPr="00B2602F">
              <w:rPr>
                <w:rFonts w:ascii="Calibri" w:eastAsia="Times New Roman" w:hAnsi="Calibri" w:cs="Times New Roman"/>
                <w:color w:val="000000"/>
              </w:rPr>
              <w:t>Per capita income (dollars)</w:t>
            </w:r>
          </w:p>
        </w:tc>
        <w:tc>
          <w:tcPr>
            <w:tcW w:w="2342"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31,762</w:t>
            </w:r>
          </w:p>
        </w:tc>
        <w:tc>
          <w:tcPr>
            <w:tcW w:w="16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602F" w:rsidRPr="00B2602F" w:rsidRDefault="00B2602F" w:rsidP="00B2602F">
            <w:pPr>
              <w:spacing w:after="0" w:line="240" w:lineRule="auto"/>
              <w:jc w:val="center"/>
              <w:rPr>
                <w:rFonts w:ascii="Calibri" w:eastAsia="Times New Roman" w:hAnsi="Calibri" w:cs="Times New Roman"/>
                <w:color w:val="000000"/>
              </w:rPr>
            </w:pPr>
            <w:r w:rsidRPr="00B2602F">
              <w:rPr>
                <w:rFonts w:ascii="Calibri" w:eastAsia="Times New Roman" w:hAnsi="Calibri" w:cs="Times New Roman"/>
                <w:color w:val="000000"/>
              </w:rPr>
              <w:t>19,824</w:t>
            </w:r>
          </w:p>
        </w:tc>
      </w:tr>
    </w:tbl>
    <w:p w:rsidR="00B2602F" w:rsidRDefault="00B2602F" w:rsidP="00150CEE">
      <w:pPr>
        <w:spacing w:line="240" w:lineRule="auto"/>
        <w:contextualSpacing/>
        <w:jc w:val="both"/>
        <w:rPr>
          <w:rFonts w:ascii="Bookman Old Style" w:hAnsi="Bookman Old Style"/>
        </w:rPr>
      </w:pPr>
    </w:p>
    <w:p w:rsidR="00B2602F" w:rsidRDefault="00B2602F" w:rsidP="00150CEE">
      <w:pPr>
        <w:spacing w:line="240" w:lineRule="auto"/>
        <w:contextualSpacing/>
        <w:jc w:val="both"/>
        <w:rPr>
          <w:rFonts w:ascii="Bookman Old Style" w:hAnsi="Bookman Old Style"/>
        </w:rPr>
      </w:pPr>
    </w:p>
    <w:p w:rsidR="00B2602F" w:rsidRDefault="00B2602F" w:rsidP="00150CEE">
      <w:pPr>
        <w:spacing w:line="240" w:lineRule="auto"/>
        <w:contextualSpacing/>
        <w:jc w:val="both"/>
        <w:rPr>
          <w:rFonts w:ascii="Bookman Old Style" w:hAnsi="Bookman Old Style"/>
          <w:b/>
          <w:i/>
        </w:rPr>
      </w:pPr>
      <w:r>
        <w:rPr>
          <w:rFonts w:ascii="Bookman Old Style" w:hAnsi="Bookman Old Style"/>
          <w:b/>
          <w:i/>
        </w:rPr>
        <w:t>Employment</w:t>
      </w:r>
    </w:p>
    <w:p w:rsidR="00B2602F" w:rsidRPr="00B2602F" w:rsidRDefault="00B2602F" w:rsidP="00150CEE">
      <w:pPr>
        <w:spacing w:line="240" w:lineRule="auto"/>
        <w:contextualSpacing/>
        <w:jc w:val="both"/>
        <w:rPr>
          <w:rFonts w:ascii="Bookman Old Style" w:hAnsi="Bookman Old Style"/>
          <w:b/>
          <w:i/>
        </w:rPr>
      </w:pPr>
    </w:p>
    <w:p w:rsidR="005822DA" w:rsidRDefault="005822DA" w:rsidP="00150CEE">
      <w:pPr>
        <w:spacing w:line="240" w:lineRule="auto"/>
        <w:contextualSpacing/>
        <w:jc w:val="both"/>
        <w:rPr>
          <w:rFonts w:ascii="Bookman Old Style" w:hAnsi="Bookman Old Style"/>
        </w:rPr>
      </w:pPr>
      <w:r w:rsidRPr="00BA2BA5">
        <w:rPr>
          <w:rFonts w:ascii="Bookman Old Style" w:hAnsi="Bookman Old Style"/>
        </w:rPr>
        <w:t>Several key critical infrastructures and major transportation hubs are located within the city boundaries of Pasco.  The Tri-Cities Airport, a containerized port facility which serves extensive containerized barge traffic, and the largest rail switching yards west of the Mississippi River for the BNSF railroad are all located within the city limits.  The City of Pasco is also bisected by Interstate I-182 (running east/west) and U.S. Route 395 (running north/south). Pasco is home to all of the local governmental facilities for Franklin County.  Facilities such as the courthouse, county jail, Franklin County Emergency Management and county dispatch center are all located within the city</w:t>
      </w:r>
      <w:r w:rsidR="00A55F12">
        <w:rPr>
          <w:rFonts w:ascii="Bookman Old Style" w:hAnsi="Bookman Old Style"/>
        </w:rPr>
        <w:t xml:space="preserve"> </w:t>
      </w:r>
      <w:r w:rsidR="00A55F12">
        <w:rPr>
          <w:rFonts w:ascii="Bookman Old Style" w:hAnsi="Bookman Old Style"/>
        </w:rPr>
        <w:lastRenderedPageBreak/>
        <w:t>limits.  Pasco also has over 22</w:t>
      </w:r>
      <w:r w:rsidRPr="00BA2BA5">
        <w:rPr>
          <w:rFonts w:ascii="Bookman Old Style" w:hAnsi="Bookman Old Style"/>
        </w:rPr>
        <w:t xml:space="preserve"> primary and secondary schools and is home to the largest public two-yea</w:t>
      </w:r>
      <w:r w:rsidR="00346EF8" w:rsidRPr="00BA2BA5">
        <w:rPr>
          <w:rFonts w:ascii="Bookman Old Style" w:hAnsi="Bookman Old Style"/>
        </w:rPr>
        <w:t>r community college in</w:t>
      </w:r>
      <w:r w:rsidRPr="00BA2BA5">
        <w:rPr>
          <w:rFonts w:ascii="Bookman Old Style" w:hAnsi="Bookman Old Style"/>
        </w:rPr>
        <w:t xml:space="preserve"> southeastern Washington.</w:t>
      </w:r>
    </w:p>
    <w:p w:rsidR="00270E36" w:rsidRPr="00BA2BA5" w:rsidRDefault="00270E36" w:rsidP="00150CEE">
      <w:pPr>
        <w:spacing w:line="240" w:lineRule="auto"/>
        <w:contextualSpacing/>
        <w:jc w:val="both"/>
        <w:rPr>
          <w:rFonts w:ascii="Bookman Old Style" w:hAnsi="Bookman Old Style"/>
        </w:rPr>
      </w:pPr>
    </w:p>
    <w:p w:rsidR="00286EFC" w:rsidRDefault="005822DA" w:rsidP="00150CEE">
      <w:pPr>
        <w:spacing w:line="240" w:lineRule="auto"/>
        <w:contextualSpacing/>
        <w:jc w:val="both"/>
        <w:rPr>
          <w:rFonts w:ascii="Bookman Old Style" w:hAnsi="Bookman Old Style"/>
        </w:rPr>
      </w:pPr>
      <w:r w:rsidRPr="00BA2BA5">
        <w:rPr>
          <w:rFonts w:ascii="Bookman Old Style" w:hAnsi="Bookman Old Style"/>
        </w:rPr>
        <w:t xml:space="preserve">Primarily due to the agricultural region, Pasco is home to several food processing companies such as ConAgra Foods, Reser’s Fine Foods, </w:t>
      </w:r>
      <w:r w:rsidR="00CE4581" w:rsidRPr="00BA2BA5">
        <w:rPr>
          <w:rFonts w:ascii="Bookman Old Style" w:hAnsi="Bookman Old Style"/>
        </w:rPr>
        <w:t xml:space="preserve">Pasco Processing, </w:t>
      </w:r>
      <w:r w:rsidRPr="00BA2BA5">
        <w:rPr>
          <w:rFonts w:ascii="Bookman Old Style" w:hAnsi="Bookman Old Style"/>
        </w:rPr>
        <w:t>and Twin City Foods. In recent years, the region has become a large player and provider in Washington State’s wine industry.  Gordon Brothers Cellars, Fidelitas Winery, Kamiak Vineyards and Preston Premium Wines have a presence in and around the city of Pasco.</w:t>
      </w:r>
    </w:p>
    <w:p w:rsidR="00B2602F" w:rsidRDefault="00B2602F" w:rsidP="00150CEE">
      <w:pPr>
        <w:spacing w:line="240" w:lineRule="auto"/>
        <w:contextualSpacing/>
        <w:jc w:val="both"/>
        <w:rPr>
          <w:rFonts w:ascii="Bookman Old Style" w:hAnsi="Bookman Old Style"/>
        </w:rPr>
      </w:pPr>
    </w:p>
    <w:p w:rsidR="00B2602F" w:rsidRDefault="00B2602F" w:rsidP="00150CEE">
      <w:pPr>
        <w:spacing w:line="240" w:lineRule="auto"/>
        <w:contextualSpacing/>
        <w:jc w:val="both"/>
        <w:rPr>
          <w:rFonts w:ascii="Bookman Old Style" w:hAnsi="Bookman Old Style"/>
        </w:rPr>
      </w:pPr>
      <w:r>
        <w:rPr>
          <w:rFonts w:ascii="Bookman Old Style" w:hAnsi="Bookman Old Style"/>
        </w:rPr>
        <w:t>The table below indicates employment percentage by industry for City of Pasco residents.</w:t>
      </w:r>
    </w:p>
    <w:p w:rsidR="00A55F12" w:rsidRDefault="00A55F12" w:rsidP="00150CEE">
      <w:pPr>
        <w:spacing w:line="240" w:lineRule="auto"/>
        <w:contextualSpacing/>
        <w:jc w:val="both"/>
        <w:rPr>
          <w:rFonts w:ascii="Bookman Old Style" w:hAnsi="Bookman Old Style"/>
        </w:rPr>
      </w:pPr>
    </w:p>
    <w:p w:rsidR="00A55F12" w:rsidRPr="00BA2BA5" w:rsidRDefault="00A55F12" w:rsidP="00150CEE">
      <w:pPr>
        <w:spacing w:line="240" w:lineRule="auto"/>
        <w:contextualSpacing/>
        <w:jc w:val="both"/>
        <w:rPr>
          <w:rFonts w:ascii="Bookman Old Style" w:hAnsi="Bookman Old Style"/>
        </w:rPr>
      </w:pPr>
    </w:p>
    <w:p w:rsidR="003D1199" w:rsidRDefault="003D1199" w:rsidP="005577CB">
      <w:pPr>
        <w:spacing w:line="240" w:lineRule="auto"/>
        <w:contextualSpacing/>
        <w:jc w:val="both"/>
        <w:rPr>
          <w:i/>
          <w:color w:val="808080" w:themeColor="background1" w:themeShade="80"/>
        </w:rPr>
      </w:pPr>
    </w:p>
    <w:tbl>
      <w:tblPr>
        <w:tblStyle w:val="TableGrid"/>
        <w:tblpPr w:leftFromText="180" w:rightFromText="180" w:vertAnchor="text" w:horzAnchor="margin" w:tblpXSpec="center" w:tblpY="98"/>
        <w:tblW w:w="7100" w:type="dxa"/>
        <w:tblLook w:val="04A0" w:firstRow="1" w:lastRow="0" w:firstColumn="1" w:lastColumn="0" w:noHBand="0" w:noVBand="1"/>
      </w:tblPr>
      <w:tblGrid>
        <w:gridCol w:w="6225"/>
        <w:gridCol w:w="875"/>
      </w:tblGrid>
      <w:tr w:rsidR="00B2602F" w:rsidRPr="00B2602F" w:rsidTr="00B2602F">
        <w:trPr>
          <w:trHeight w:val="300"/>
        </w:trPr>
        <w:tc>
          <w:tcPr>
            <w:tcW w:w="7100" w:type="dxa"/>
            <w:gridSpan w:val="2"/>
            <w:shd w:val="clear" w:color="auto" w:fill="BFBFBF" w:themeFill="background1" w:themeFillShade="BF"/>
            <w:hideMark/>
          </w:tcPr>
          <w:p w:rsidR="00B2602F" w:rsidRPr="00B2602F" w:rsidRDefault="00B2602F" w:rsidP="00B2602F">
            <w:pPr>
              <w:contextualSpacing/>
              <w:jc w:val="center"/>
              <w:rPr>
                <w:b/>
                <w:bCs/>
              </w:rPr>
            </w:pPr>
            <w:r w:rsidRPr="00B2602F">
              <w:rPr>
                <w:b/>
                <w:bCs/>
              </w:rPr>
              <w:t>INDUSTRY</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Agriculture, forestry, fishing and hunting, and mining</w:t>
            </w:r>
          </w:p>
        </w:tc>
        <w:tc>
          <w:tcPr>
            <w:tcW w:w="875" w:type="dxa"/>
            <w:noWrap/>
            <w:hideMark/>
          </w:tcPr>
          <w:p w:rsidR="00B2602F" w:rsidRPr="00B2602F" w:rsidRDefault="00B2602F" w:rsidP="00B2602F">
            <w:pPr>
              <w:contextualSpacing/>
              <w:jc w:val="center"/>
            </w:pPr>
            <w:r w:rsidRPr="00B2602F">
              <w:t>12.90%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Construction</w:t>
            </w:r>
          </w:p>
        </w:tc>
        <w:tc>
          <w:tcPr>
            <w:tcW w:w="875" w:type="dxa"/>
            <w:noWrap/>
            <w:hideMark/>
          </w:tcPr>
          <w:p w:rsidR="00B2602F" w:rsidRPr="00B2602F" w:rsidRDefault="00B2602F" w:rsidP="00B2602F">
            <w:pPr>
              <w:contextualSpacing/>
              <w:jc w:val="center"/>
            </w:pPr>
            <w:r w:rsidRPr="00B2602F">
              <w:t>6.40%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Manufacturing</w:t>
            </w:r>
          </w:p>
        </w:tc>
        <w:tc>
          <w:tcPr>
            <w:tcW w:w="875" w:type="dxa"/>
            <w:noWrap/>
            <w:hideMark/>
          </w:tcPr>
          <w:p w:rsidR="00B2602F" w:rsidRPr="00B2602F" w:rsidRDefault="00B2602F" w:rsidP="00B2602F">
            <w:pPr>
              <w:contextualSpacing/>
              <w:jc w:val="center"/>
            </w:pPr>
            <w:r w:rsidRPr="00B2602F">
              <w:t>12.40%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Wholesale trade</w:t>
            </w:r>
          </w:p>
        </w:tc>
        <w:tc>
          <w:tcPr>
            <w:tcW w:w="875" w:type="dxa"/>
            <w:noWrap/>
            <w:hideMark/>
          </w:tcPr>
          <w:p w:rsidR="00B2602F" w:rsidRPr="00B2602F" w:rsidRDefault="00B2602F" w:rsidP="00B2602F">
            <w:pPr>
              <w:contextualSpacing/>
              <w:jc w:val="center"/>
            </w:pPr>
            <w:r w:rsidRPr="00B2602F">
              <w:t>3.90%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Retail trade</w:t>
            </w:r>
          </w:p>
        </w:tc>
        <w:tc>
          <w:tcPr>
            <w:tcW w:w="875" w:type="dxa"/>
            <w:noWrap/>
            <w:hideMark/>
          </w:tcPr>
          <w:p w:rsidR="00B2602F" w:rsidRPr="00B2602F" w:rsidRDefault="00B2602F" w:rsidP="00B2602F">
            <w:pPr>
              <w:contextualSpacing/>
              <w:jc w:val="center"/>
            </w:pPr>
            <w:r w:rsidRPr="00B2602F">
              <w:t>9.40%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Transportation and warehousing, and utilities</w:t>
            </w:r>
          </w:p>
        </w:tc>
        <w:tc>
          <w:tcPr>
            <w:tcW w:w="875" w:type="dxa"/>
            <w:noWrap/>
            <w:hideMark/>
          </w:tcPr>
          <w:p w:rsidR="00B2602F" w:rsidRPr="00B2602F" w:rsidRDefault="00B2602F" w:rsidP="00B2602F">
            <w:pPr>
              <w:contextualSpacing/>
              <w:jc w:val="center"/>
            </w:pPr>
            <w:r w:rsidRPr="00B2602F">
              <w:t>6.90%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Information</w:t>
            </w:r>
          </w:p>
        </w:tc>
        <w:tc>
          <w:tcPr>
            <w:tcW w:w="875" w:type="dxa"/>
            <w:noWrap/>
            <w:hideMark/>
          </w:tcPr>
          <w:p w:rsidR="00B2602F" w:rsidRPr="00B2602F" w:rsidRDefault="00B2602F" w:rsidP="00B2602F">
            <w:pPr>
              <w:contextualSpacing/>
              <w:jc w:val="center"/>
            </w:pPr>
            <w:r w:rsidRPr="00B2602F">
              <w:t>0.80%</w:t>
            </w:r>
          </w:p>
        </w:tc>
      </w:tr>
      <w:tr w:rsidR="00B2602F" w:rsidRPr="00B2602F" w:rsidTr="00B2602F">
        <w:trPr>
          <w:trHeight w:val="450"/>
        </w:trPr>
        <w:tc>
          <w:tcPr>
            <w:tcW w:w="6225" w:type="dxa"/>
            <w:hideMark/>
          </w:tcPr>
          <w:p w:rsidR="00B2602F" w:rsidRPr="00B2602F" w:rsidRDefault="00B2602F" w:rsidP="00B2602F">
            <w:pPr>
              <w:contextualSpacing/>
              <w:jc w:val="center"/>
              <w:rPr>
                <w:b/>
                <w:bCs/>
              </w:rPr>
            </w:pPr>
            <w:r w:rsidRPr="00B2602F">
              <w:rPr>
                <w:b/>
                <w:bCs/>
              </w:rPr>
              <w:t>Finance and insurance, and real estate and rental and leasing</w:t>
            </w:r>
          </w:p>
        </w:tc>
        <w:tc>
          <w:tcPr>
            <w:tcW w:w="875" w:type="dxa"/>
            <w:noWrap/>
            <w:hideMark/>
          </w:tcPr>
          <w:p w:rsidR="00B2602F" w:rsidRPr="00B2602F" w:rsidRDefault="00B2602F" w:rsidP="00B2602F">
            <w:pPr>
              <w:contextualSpacing/>
              <w:jc w:val="center"/>
            </w:pPr>
            <w:r w:rsidRPr="00B2602F">
              <w:t>2.80%</w:t>
            </w:r>
          </w:p>
        </w:tc>
      </w:tr>
      <w:tr w:rsidR="00B2602F" w:rsidRPr="00B2602F" w:rsidTr="00B2602F">
        <w:trPr>
          <w:trHeight w:val="450"/>
        </w:trPr>
        <w:tc>
          <w:tcPr>
            <w:tcW w:w="6225" w:type="dxa"/>
            <w:hideMark/>
          </w:tcPr>
          <w:p w:rsidR="00B2602F" w:rsidRPr="00B2602F" w:rsidRDefault="00B2602F" w:rsidP="00B2602F">
            <w:pPr>
              <w:contextualSpacing/>
              <w:jc w:val="center"/>
              <w:rPr>
                <w:b/>
                <w:bCs/>
              </w:rPr>
            </w:pPr>
            <w:r w:rsidRPr="00B2602F">
              <w:rPr>
                <w:b/>
                <w:bCs/>
              </w:rPr>
              <w:t>Professional, scientific, and management, and administrative and waste management services</w:t>
            </w:r>
          </w:p>
        </w:tc>
        <w:tc>
          <w:tcPr>
            <w:tcW w:w="875" w:type="dxa"/>
            <w:noWrap/>
            <w:hideMark/>
          </w:tcPr>
          <w:p w:rsidR="00B2602F" w:rsidRPr="00B2602F" w:rsidRDefault="00B2602F" w:rsidP="00B2602F">
            <w:pPr>
              <w:contextualSpacing/>
              <w:jc w:val="center"/>
            </w:pPr>
            <w:r w:rsidRPr="00B2602F">
              <w:t>10.40%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Educational services, and health care and social assistance</w:t>
            </w:r>
          </w:p>
        </w:tc>
        <w:tc>
          <w:tcPr>
            <w:tcW w:w="875" w:type="dxa"/>
            <w:noWrap/>
            <w:hideMark/>
          </w:tcPr>
          <w:p w:rsidR="00B2602F" w:rsidRPr="00B2602F" w:rsidRDefault="00B2602F" w:rsidP="00B2602F">
            <w:pPr>
              <w:contextualSpacing/>
              <w:jc w:val="center"/>
            </w:pPr>
            <w:r w:rsidRPr="00B2602F">
              <w:t>17.70%</w:t>
            </w:r>
          </w:p>
        </w:tc>
      </w:tr>
      <w:tr w:rsidR="00B2602F" w:rsidRPr="00B2602F" w:rsidTr="00B2602F">
        <w:trPr>
          <w:trHeight w:val="450"/>
        </w:trPr>
        <w:tc>
          <w:tcPr>
            <w:tcW w:w="6225" w:type="dxa"/>
            <w:hideMark/>
          </w:tcPr>
          <w:p w:rsidR="00B2602F" w:rsidRPr="00B2602F" w:rsidRDefault="00B2602F" w:rsidP="00B2602F">
            <w:pPr>
              <w:contextualSpacing/>
              <w:jc w:val="center"/>
              <w:rPr>
                <w:b/>
                <w:bCs/>
              </w:rPr>
            </w:pPr>
            <w:r w:rsidRPr="00B2602F">
              <w:rPr>
                <w:b/>
                <w:bCs/>
              </w:rPr>
              <w:t>Arts, entertainment, and recreation, and accommodation and food services</w:t>
            </w:r>
          </w:p>
        </w:tc>
        <w:tc>
          <w:tcPr>
            <w:tcW w:w="875" w:type="dxa"/>
            <w:noWrap/>
            <w:hideMark/>
          </w:tcPr>
          <w:p w:rsidR="00B2602F" w:rsidRPr="00B2602F" w:rsidRDefault="00B2602F" w:rsidP="00B2602F">
            <w:pPr>
              <w:contextualSpacing/>
              <w:jc w:val="center"/>
            </w:pPr>
            <w:r w:rsidRPr="00B2602F">
              <w:t>9.30%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Other services, except public administration</w:t>
            </w:r>
          </w:p>
        </w:tc>
        <w:tc>
          <w:tcPr>
            <w:tcW w:w="875" w:type="dxa"/>
            <w:noWrap/>
            <w:hideMark/>
          </w:tcPr>
          <w:p w:rsidR="00B2602F" w:rsidRPr="00B2602F" w:rsidRDefault="00B2602F" w:rsidP="00B2602F">
            <w:pPr>
              <w:contextualSpacing/>
              <w:jc w:val="center"/>
            </w:pPr>
            <w:r w:rsidRPr="00B2602F">
              <w:t>3.30%</w:t>
            </w:r>
          </w:p>
        </w:tc>
      </w:tr>
      <w:tr w:rsidR="00B2602F" w:rsidRPr="00B2602F" w:rsidTr="00B2602F">
        <w:trPr>
          <w:trHeight w:val="300"/>
        </w:trPr>
        <w:tc>
          <w:tcPr>
            <w:tcW w:w="6225" w:type="dxa"/>
            <w:hideMark/>
          </w:tcPr>
          <w:p w:rsidR="00B2602F" w:rsidRPr="00B2602F" w:rsidRDefault="00B2602F" w:rsidP="00B2602F">
            <w:pPr>
              <w:contextualSpacing/>
              <w:jc w:val="center"/>
              <w:rPr>
                <w:b/>
                <w:bCs/>
              </w:rPr>
            </w:pPr>
            <w:r w:rsidRPr="00B2602F">
              <w:rPr>
                <w:b/>
                <w:bCs/>
              </w:rPr>
              <w:t>Public administration</w:t>
            </w:r>
          </w:p>
        </w:tc>
        <w:tc>
          <w:tcPr>
            <w:tcW w:w="875" w:type="dxa"/>
            <w:noWrap/>
            <w:hideMark/>
          </w:tcPr>
          <w:p w:rsidR="00B2602F" w:rsidRPr="00B2602F" w:rsidRDefault="00B2602F" w:rsidP="00B2602F">
            <w:pPr>
              <w:contextualSpacing/>
              <w:jc w:val="center"/>
            </w:pPr>
            <w:r w:rsidRPr="00B2602F">
              <w:t>3.70%</w:t>
            </w:r>
          </w:p>
        </w:tc>
      </w:tr>
    </w:tbl>
    <w:p w:rsidR="00B2602F" w:rsidRDefault="00B2602F" w:rsidP="00B2602F">
      <w:pPr>
        <w:spacing w:line="240" w:lineRule="auto"/>
        <w:contextualSpacing/>
        <w:jc w:val="center"/>
      </w:pPr>
      <w:r>
        <w:rPr>
          <w:color w:val="808080" w:themeColor="background1" w:themeShade="80"/>
        </w:rPr>
        <w:fldChar w:fldCharType="begin"/>
      </w:r>
      <w:r>
        <w:rPr>
          <w:color w:val="808080" w:themeColor="background1" w:themeShade="80"/>
        </w:rPr>
        <w:instrText xml:space="preserve"> LINK </w:instrText>
      </w:r>
      <w:r w:rsidR="00B42E2C">
        <w:rPr>
          <w:color w:val="808080" w:themeColor="background1" w:themeShade="80"/>
        </w:rPr>
        <w:instrText xml:space="preserve">Excel.Sheet.12 Book1 Sheet1!R295C1:R308C2 </w:instrText>
      </w:r>
      <w:r>
        <w:rPr>
          <w:color w:val="808080" w:themeColor="background1" w:themeShade="80"/>
        </w:rPr>
        <w:instrText xml:space="preserve">\a \f 5 \h  \* MERGEFORMAT </w:instrText>
      </w:r>
      <w:r>
        <w:rPr>
          <w:color w:val="808080" w:themeColor="background1" w:themeShade="80"/>
        </w:rPr>
        <w:fldChar w:fldCharType="separate"/>
      </w:r>
    </w:p>
    <w:p w:rsidR="00B2602F" w:rsidRPr="00B2602F" w:rsidRDefault="00B2602F" w:rsidP="00B2602F">
      <w:pPr>
        <w:spacing w:line="240" w:lineRule="auto"/>
        <w:contextualSpacing/>
        <w:jc w:val="center"/>
        <w:rPr>
          <w:color w:val="808080" w:themeColor="background1" w:themeShade="80"/>
        </w:rPr>
      </w:pPr>
      <w:r>
        <w:rPr>
          <w:color w:val="808080" w:themeColor="background1" w:themeShade="80"/>
        </w:rPr>
        <w:fldChar w:fldCharType="end"/>
      </w:r>
    </w:p>
    <w:p w:rsidR="00B2602F" w:rsidRPr="00B2602F" w:rsidRDefault="00B2602F" w:rsidP="00B2602F">
      <w:pPr>
        <w:spacing w:line="240" w:lineRule="auto"/>
        <w:ind w:firstLine="4590"/>
        <w:contextualSpacing/>
        <w:jc w:val="center"/>
        <w:rPr>
          <w:color w:val="808080" w:themeColor="background1" w:themeShade="80"/>
        </w:rPr>
        <w:sectPr w:rsidR="00B2602F" w:rsidRPr="00B2602F" w:rsidSect="00D345B0">
          <w:footerReference w:type="default" r:id="rId14"/>
          <w:pgSz w:w="12240" w:h="15840"/>
          <w:pgMar w:top="1440" w:right="1440" w:bottom="1440" w:left="1440" w:header="720" w:footer="720" w:gutter="0"/>
          <w:pgNumType w:start="0" w:chapStyle="1"/>
          <w:cols w:space="720"/>
          <w:titlePg/>
          <w:docGrid w:linePitch="360"/>
        </w:sectPr>
      </w:pPr>
    </w:p>
    <w:p w:rsidR="000E6665" w:rsidRPr="003746A2" w:rsidRDefault="000E6665" w:rsidP="000E6665">
      <w:pPr>
        <w:pStyle w:val="Heading1"/>
        <w:rPr>
          <w:i/>
          <w:color w:val="auto"/>
          <w:sz w:val="24"/>
          <w:szCs w:val="24"/>
        </w:rPr>
      </w:pPr>
      <w:bookmarkStart w:id="8" w:name="_Toc474159550"/>
      <w:bookmarkStart w:id="9" w:name="_Toc475003848"/>
      <w:bookmarkStart w:id="10" w:name="_Toc474159545"/>
      <w:r w:rsidRPr="003746A2">
        <w:rPr>
          <w:i/>
          <w:color w:val="auto"/>
          <w:sz w:val="24"/>
          <w:szCs w:val="24"/>
        </w:rPr>
        <w:lastRenderedPageBreak/>
        <w:t>Section III</w:t>
      </w:r>
      <w:bookmarkEnd w:id="8"/>
      <w:bookmarkEnd w:id="9"/>
    </w:p>
    <w:p w:rsidR="000E6665" w:rsidRDefault="000E6665" w:rsidP="000E6665">
      <w:pPr>
        <w:pStyle w:val="Heading2"/>
        <w:spacing w:before="0" w:after="200"/>
        <w:rPr>
          <w:i/>
          <w:color w:val="auto"/>
          <w:sz w:val="24"/>
          <w:szCs w:val="24"/>
        </w:rPr>
      </w:pPr>
      <w:bookmarkStart w:id="11" w:name="_Toc474159551"/>
      <w:bookmarkStart w:id="12" w:name="_Toc475003849"/>
      <w:r w:rsidRPr="003746A2">
        <w:rPr>
          <w:i/>
          <w:color w:val="auto"/>
          <w:sz w:val="24"/>
          <w:szCs w:val="24"/>
        </w:rPr>
        <w:t>Risk Assessment</w:t>
      </w:r>
      <w:bookmarkEnd w:id="11"/>
      <w:bookmarkEnd w:id="12"/>
    </w:p>
    <w:p w:rsidR="009F09D1" w:rsidRPr="009F09D1" w:rsidRDefault="009F09D1" w:rsidP="009F09D1">
      <w:pPr>
        <w:rPr>
          <w:rFonts w:ascii="Bookman Old Style" w:hAnsi="Bookman Old Style"/>
        </w:rPr>
      </w:pPr>
      <w:r>
        <w:rPr>
          <w:rFonts w:ascii="Bookman Old Style" w:hAnsi="Bookman Old Style"/>
        </w:rPr>
        <w:t>In order to properly quantify the risks and hazards of the City of Pasco, the overall risk profile of Franklin County must also be considered.</w:t>
      </w: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The City of Pasco is the county seat for Franklin Count</w:t>
      </w:r>
      <w:r w:rsidR="00A55F12">
        <w:rPr>
          <w:rFonts w:ascii="Bookman Old Style" w:hAnsi="Bookman Old Style"/>
        </w:rPr>
        <w:t>y in Washington State.  The</w:t>
      </w:r>
      <w:r w:rsidRPr="00BA2BA5">
        <w:rPr>
          <w:rFonts w:ascii="Bookman Old Style" w:hAnsi="Bookman Old Style"/>
        </w:rPr>
        <w:t xml:space="preserve"> County is generally characterized by a rising upland, with an elevation ranging from approximately 300 feet above sea level at its southern end to approximately 1000 feet in the northeast corner.  The County is arid and averages less than ten inches of rainfall per year.  The County is intersected by a major drainage (Esquatzel Coulee) as well as a number of lesser canyons and drainages.  The underlying stratigraphy is characterized by numerous volcanic flows of basalt alternating with sands and other loessial materials which accumulated between various periods of volcanic activity.</w:t>
      </w:r>
    </w:p>
    <w:p w:rsidR="000E6665" w:rsidRPr="00BA2BA5" w:rsidRDefault="000E6665" w:rsidP="000E6665">
      <w:pPr>
        <w:pStyle w:val="NoSpacing"/>
        <w:spacing w:after="200"/>
        <w:contextual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The area receives an average of about 10 days of snowfall and 8 days of rainfall annually. The median monthly temperatures range from a low of 30.6 degrees Fahrenheit in January to a July high of 75.7 degrees Fahrenheit (although the region typically experiences periods of excessive heat &gt;100 degrees Fahrenheit and extreme cold &lt; 10 degrees Fahrenheit).  High wind velocities, with peak gusts as high as 70 mph or higher can be expected at any time during the year.</w:t>
      </w:r>
    </w:p>
    <w:p w:rsidR="000E6665" w:rsidRPr="00BA2BA5" w:rsidRDefault="000E6665" w:rsidP="000E6665">
      <w:pPr>
        <w:pStyle w:val="NoSpacing"/>
        <w:spacing w:after="200"/>
        <w:contextual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Franklin County and the City of Pasco are accessible by several modes of transportation.  Major highways, railroads, marine ports, and an airport are located within the City of Pasco boundaries.  Interstate 182 runs through and connects the City with major markets to the east and west.  US 395 is the primary north-south highway and runs through the eastern portion of the City and connects with Interstate 182.  The Burlington Northern-Sante Fe Railroad operates a major switching yard within the City l</w:t>
      </w:r>
      <w:r w:rsidR="003B6C0D">
        <w:rPr>
          <w:rFonts w:ascii="Bookman Old Style" w:hAnsi="Bookman Old Style"/>
        </w:rPr>
        <w:t xml:space="preserve">imits along the main east-west </w:t>
      </w:r>
      <w:r w:rsidR="003B6C0D" w:rsidRPr="00BA2BA5">
        <w:rPr>
          <w:rFonts w:ascii="Bookman Old Style" w:hAnsi="Bookman Old Style"/>
        </w:rPr>
        <w:t>rail</w:t>
      </w:r>
      <w:r w:rsidRPr="00BA2BA5">
        <w:rPr>
          <w:rFonts w:ascii="Bookman Old Style" w:hAnsi="Bookman Old Style"/>
        </w:rPr>
        <w:t xml:space="preserve"> line that connects the Tri-Cities to Spokane and Portland, Ore. The Port of Pasco operates waterfront facilities that service barge traffic on the Columbia and Snake Rivers. The Port of Pasco Tri-Cities Airport (FAA Index B) is located on the northern boundary of the City.</w:t>
      </w:r>
    </w:p>
    <w:p w:rsidR="000E6665" w:rsidRPr="00BA2BA5" w:rsidRDefault="000E6665" w:rsidP="000E6665">
      <w:pPr>
        <w:pStyle w:val="NoSpacing"/>
        <w:spacing w:after="200"/>
        <w:contextual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The Pasco Airport (PSC) has three runways.  Two runways are utilized by commercial aviation with the third runway used primarily by general aviation.  PSC has experienced significant growth (34% - 2008 to 2011) in passenger enplanements.  PSC is the fourth largest airport in the state and has 150 acres of commercial and industrial property on site.</w:t>
      </w:r>
    </w:p>
    <w:p w:rsidR="000E6665" w:rsidRPr="00BA2BA5" w:rsidRDefault="000E6665" w:rsidP="000E6665">
      <w:pPr>
        <w:pStyle w:val="NoSpacing"/>
        <w:spacing w:after="200"/>
        <w:contextual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The City of Pasco planning department reported that as of 2016, there were 22,282 residential units in the city and that 35% of the urban growth area is designated as Industrial.</w:t>
      </w:r>
    </w:p>
    <w:p w:rsidR="000E6665" w:rsidRPr="00BA2BA5" w:rsidRDefault="000E6665" w:rsidP="000E6665">
      <w:pPr>
        <w:pStyle w:val="NoSpacing"/>
        <w:spacing w:after="200"/>
        <w:contextualSpacing/>
        <w:jc w:val="both"/>
        <w:rPr>
          <w:rFonts w:ascii="Bookman Old Style" w:hAnsi="Bookman Old Style"/>
        </w:rPr>
      </w:pPr>
    </w:p>
    <w:p w:rsidR="000E6665" w:rsidRDefault="000E6665" w:rsidP="000E6665">
      <w:pPr>
        <w:pStyle w:val="NoSpacing"/>
        <w:spacing w:after="200"/>
        <w:contextualSpacing/>
        <w:jc w:val="both"/>
        <w:rPr>
          <w:rFonts w:ascii="Bookman Old Style" w:hAnsi="Bookman Old Style"/>
        </w:rPr>
      </w:pPr>
      <w:r w:rsidRPr="00BA2BA5">
        <w:rPr>
          <w:rFonts w:ascii="Bookman Old Style" w:hAnsi="Bookman Old Style"/>
        </w:rPr>
        <w:t>Franklin County Emergency Management completed an extensive county-wide hazard assessment study in 2011.  This study quantified and ranked the primary hazard concerns for the City of Pasco.  The hazard concerns are listed in priority order below:</w:t>
      </w:r>
    </w:p>
    <w:p w:rsidR="009F09D1" w:rsidRPr="00BA2BA5" w:rsidRDefault="009F09D1" w:rsidP="000E6665">
      <w:pPr>
        <w:pStyle w:val="NoSpacing"/>
        <w:spacing w:after="200"/>
        <w:contextual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p>
    <w:p w:rsidR="000E6665" w:rsidRPr="00BA2BA5" w:rsidRDefault="000E6665" w:rsidP="000E6665">
      <w:pPr>
        <w:pStyle w:val="NoSpacing"/>
        <w:numPr>
          <w:ilvl w:val="0"/>
          <w:numId w:val="2"/>
        </w:numPr>
        <w:jc w:val="both"/>
        <w:rPr>
          <w:rFonts w:ascii="Bookman Old Style" w:hAnsi="Bookman Old Style"/>
        </w:rPr>
      </w:pPr>
      <w:r w:rsidRPr="00BA2BA5">
        <w:rPr>
          <w:rFonts w:ascii="Bookman Old Style" w:hAnsi="Bookman Old Style"/>
        </w:rPr>
        <w:lastRenderedPageBreak/>
        <w:t>Severe Storm</w:t>
      </w:r>
    </w:p>
    <w:p w:rsidR="000E6665" w:rsidRPr="00BA2BA5" w:rsidRDefault="000E6665" w:rsidP="000E6665">
      <w:pPr>
        <w:pStyle w:val="NoSpacing"/>
        <w:numPr>
          <w:ilvl w:val="0"/>
          <w:numId w:val="2"/>
        </w:numPr>
        <w:rPr>
          <w:rFonts w:ascii="Bookman Old Style" w:hAnsi="Bookman Old Style"/>
        </w:rPr>
      </w:pPr>
      <w:r w:rsidRPr="00BA2BA5">
        <w:rPr>
          <w:rFonts w:ascii="Bookman Old Style" w:hAnsi="Bookman Old Style"/>
        </w:rPr>
        <w:t>Flood</w:t>
      </w:r>
    </w:p>
    <w:p w:rsidR="000E6665" w:rsidRPr="00BA2BA5" w:rsidRDefault="000E6665" w:rsidP="000E6665">
      <w:pPr>
        <w:pStyle w:val="NoSpacing"/>
        <w:numPr>
          <w:ilvl w:val="0"/>
          <w:numId w:val="2"/>
        </w:numPr>
        <w:rPr>
          <w:rFonts w:ascii="Bookman Old Style" w:hAnsi="Bookman Old Style"/>
        </w:rPr>
      </w:pPr>
      <w:r w:rsidRPr="00BA2BA5">
        <w:rPr>
          <w:rFonts w:ascii="Bookman Old Style" w:hAnsi="Bookman Old Style"/>
        </w:rPr>
        <w:t>Fire</w:t>
      </w:r>
    </w:p>
    <w:p w:rsidR="000E6665" w:rsidRPr="00BA2BA5" w:rsidRDefault="000E6665" w:rsidP="000E6665">
      <w:pPr>
        <w:pStyle w:val="NoSpacing"/>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2602F">
        <w:rPr>
          <w:rFonts w:ascii="Bookman Old Style" w:hAnsi="Bookman Old Style"/>
          <w:b/>
          <w:i/>
        </w:rPr>
        <w:t>Severe Storm</w:t>
      </w:r>
      <w:r w:rsidRPr="00BA2BA5">
        <w:rPr>
          <w:rFonts w:ascii="Bookman Old Style" w:hAnsi="Bookman Old Style"/>
        </w:rPr>
        <w:t xml:space="preserve"> – The effects upon the City of Pasco resulting from a severe storm such as a thunderstorm, tornado, windstorm, ice storm, or snowstorm are likely to be similar in nature. Downed trees and power lines, interruption of transportation routes, and damage to homes, businesses, and governmental buildings are all possible and will affect emergency response forces.  The hazard assessment ranks severe storms as a high probability with associated moderate risk to lives and property.</w:t>
      </w:r>
    </w:p>
    <w:p w:rsidR="000E6665" w:rsidRPr="00BA2BA5" w:rsidRDefault="000E6665" w:rsidP="000E6665">
      <w:pPr>
        <w:pStyle w:val="No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2602F">
        <w:rPr>
          <w:rFonts w:ascii="Bookman Old Style" w:hAnsi="Bookman Old Style"/>
          <w:b/>
          <w:i/>
        </w:rPr>
        <w:t>Flood</w:t>
      </w:r>
      <w:r w:rsidRPr="00BA2BA5">
        <w:rPr>
          <w:rFonts w:ascii="Bookman Old Style" w:hAnsi="Bookman Old Style"/>
          <w:i/>
        </w:rPr>
        <w:t xml:space="preserve"> – </w:t>
      </w:r>
      <w:r w:rsidRPr="00BA2BA5">
        <w:rPr>
          <w:rFonts w:ascii="Bookman Old Style" w:hAnsi="Bookman Old Style"/>
        </w:rPr>
        <w:t>The City of Pasco is located west of the confluence of the Snake and Columbia rivers and is part of the Yakima Delta.  The threat of flooding in the City of Pasco is greatest in the months of December through February although flooding events may occur during other months of the year.  Winter flood events have the potential to produce the highest peak flows when significant snowfall is present, followed by rapidly rising temperatures and/or heavy rains.  The hazard assessment ranks flooding as a moderate probability and moderate risk to lives and property.</w:t>
      </w:r>
    </w:p>
    <w:p w:rsidR="000E6665" w:rsidRPr="00BA2BA5" w:rsidRDefault="000E6665" w:rsidP="000E6665">
      <w:pPr>
        <w:pStyle w:val="NoSpacing"/>
        <w:jc w:val="both"/>
        <w:rPr>
          <w:rFonts w:ascii="Bookman Old Style" w:hAnsi="Bookman Old Style"/>
        </w:rPr>
      </w:pPr>
    </w:p>
    <w:p w:rsidR="000E6665" w:rsidRDefault="000E6665" w:rsidP="000E6665">
      <w:pPr>
        <w:pStyle w:val="NoSpacing"/>
        <w:spacing w:after="200"/>
        <w:contextualSpacing/>
        <w:jc w:val="both"/>
        <w:rPr>
          <w:rFonts w:ascii="Bookman Old Style" w:hAnsi="Bookman Old Style"/>
        </w:rPr>
      </w:pPr>
      <w:r w:rsidRPr="00B2602F">
        <w:rPr>
          <w:rFonts w:ascii="Bookman Old Style" w:hAnsi="Bookman Old Style"/>
          <w:b/>
          <w:i/>
        </w:rPr>
        <w:t>Fire</w:t>
      </w:r>
      <w:r w:rsidRPr="00BA2BA5">
        <w:rPr>
          <w:rFonts w:ascii="Bookman Old Style" w:hAnsi="Bookman Old Style"/>
          <w:i/>
        </w:rPr>
        <w:t xml:space="preserve"> – </w:t>
      </w:r>
      <w:r w:rsidRPr="00BA2BA5">
        <w:rPr>
          <w:rFonts w:ascii="Bookman Old Style" w:hAnsi="Bookman Old Style"/>
        </w:rPr>
        <w:t xml:space="preserve">The Pasco Fire Department experiences twice the regional median average of fires per 1,000 of population. </w:t>
      </w:r>
    </w:p>
    <w:p w:rsidR="000E6665" w:rsidRDefault="000E6665" w:rsidP="000E6665">
      <w:pPr>
        <w:pStyle w:val="NoSpacing"/>
        <w:rPr>
          <w:rFonts w:ascii="Bookman Old Style" w:hAnsi="Bookman Old Style"/>
        </w:rPr>
      </w:pPr>
    </w:p>
    <w:p w:rsidR="000E6665" w:rsidRPr="00086773" w:rsidRDefault="00A91830" w:rsidP="000E6665">
      <w:pPr>
        <w:pStyle w:val="NoSpacing"/>
        <w:rPr>
          <w:rFonts w:ascii="Bookman Old Style" w:hAnsi="Bookman Old Style"/>
          <w:b/>
          <w:i/>
          <w:sz w:val="28"/>
        </w:rPr>
      </w:pPr>
      <w:r>
        <w:rPr>
          <w:rFonts w:ascii="Bookman Old Style" w:hAnsi="Bookman Old Style"/>
          <w:b/>
          <w:i/>
          <w:sz w:val="28"/>
        </w:rPr>
        <w:t>Franklin County</w:t>
      </w:r>
      <w:r w:rsidR="000E6665" w:rsidRPr="00086773">
        <w:rPr>
          <w:rFonts w:ascii="Bookman Old Style" w:hAnsi="Bookman Old Style"/>
          <w:b/>
          <w:i/>
          <w:sz w:val="28"/>
        </w:rPr>
        <w:t xml:space="preserve"> Characteristics of Risk</w:t>
      </w:r>
    </w:p>
    <w:p w:rsidR="000E6665" w:rsidRPr="00597CF9" w:rsidRDefault="000E6665" w:rsidP="000E6665">
      <w:pPr>
        <w:pStyle w:val="NoSpacing"/>
        <w:rPr>
          <w:rFonts w:ascii="Bookman Old Style" w:hAnsi="Bookman Old Style"/>
          <w:b/>
          <w:i/>
        </w:rPr>
      </w:pPr>
      <w:r>
        <w:rPr>
          <w:rFonts w:ascii="Bookman Old Style" w:hAnsi="Bookman Old Style"/>
          <w:b/>
          <w:i/>
        </w:rPr>
        <w:t>Geographic and Weather-Related Risks</w:t>
      </w:r>
      <w:r>
        <w:rPr>
          <w:rFonts w:ascii="Bookman Old Style" w:hAnsi="Bookman Old Style"/>
          <w:b/>
          <w:i/>
        </w:rPr>
        <w:tab/>
      </w:r>
      <w:r>
        <w:rPr>
          <w:rFonts w:ascii="Bookman Old Style" w:hAnsi="Bookman Old Style"/>
          <w:b/>
          <w:i/>
        </w:rPr>
        <w:tab/>
      </w:r>
      <w:r>
        <w:rPr>
          <w:rFonts w:ascii="Bookman Old Style" w:hAnsi="Bookman Old Style"/>
          <w:b/>
          <w:i/>
        </w:rPr>
        <w:tab/>
      </w:r>
      <w:r>
        <w:rPr>
          <w:rFonts w:ascii="Bookman Old Style" w:hAnsi="Bookman Old Style"/>
          <w:b/>
          <w:i/>
        </w:rPr>
        <w:tab/>
      </w:r>
      <w:r>
        <w:rPr>
          <w:rFonts w:ascii="Bookman Old Style" w:hAnsi="Bookman Old Style"/>
          <w:b/>
          <w:i/>
        </w:rPr>
        <w:tab/>
      </w:r>
    </w:p>
    <w:p w:rsidR="000E6665" w:rsidRDefault="000E6665" w:rsidP="000E6665">
      <w:pPr>
        <w:pStyle w:val="NoSpacing"/>
      </w:pPr>
    </w:p>
    <w:p w:rsidR="000E6665" w:rsidRDefault="000E6665" w:rsidP="000E6665">
      <w:pPr>
        <w:pStyle w:val="NoSpacing"/>
        <w:rPr>
          <w:rFonts w:ascii="Bookman Old Style" w:hAnsi="Bookman Old Style"/>
        </w:rPr>
      </w:pPr>
      <w:r w:rsidRPr="00597CF9">
        <w:rPr>
          <w:rFonts w:ascii="Bookman Old Style" w:hAnsi="Bookman Old Style"/>
        </w:rPr>
        <w:t xml:space="preserve">The City of Pasco is vulnerable to natural hazards such as </w:t>
      </w:r>
      <w:r w:rsidR="00B46E00">
        <w:rPr>
          <w:rFonts w:ascii="Bookman Old Style" w:hAnsi="Bookman Old Style"/>
        </w:rPr>
        <w:t>severe storms, flooding, wildland urban interface fire, earthquakes, volcanic activity, climate changes, drought/water shortage, and extreme heat events.</w:t>
      </w:r>
    </w:p>
    <w:p w:rsidR="000E6665" w:rsidRPr="00597CF9" w:rsidRDefault="000E6665" w:rsidP="000E6665">
      <w:pPr>
        <w:pStyle w:val="NoSpacing"/>
        <w:rPr>
          <w:rFonts w:ascii="Bookman Old Style" w:hAnsi="Bookman Old Style"/>
        </w:rPr>
      </w:pPr>
    </w:p>
    <w:p w:rsidR="000E6665" w:rsidRDefault="000E6665" w:rsidP="008C541A">
      <w:pPr>
        <w:spacing w:line="240" w:lineRule="auto"/>
        <w:jc w:val="both"/>
        <w:rPr>
          <w:rFonts w:ascii="Bookman Old Style" w:hAnsi="Bookman Old Style"/>
        </w:rPr>
      </w:pPr>
      <w:r>
        <w:rPr>
          <w:rFonts w:ascii="Bookman Old Style" w:hAnsi="Bookman Old Style"/>
        </w:rPr>
        <w:t>The City is also vulnerable to technological (human-caused) hazards associated with transportation accidents via rail, highway, marine and aviation, urban fire, hazardous materials, Chemical, Biological, Radiological, Nuclear, and Explosive (CBRNE) terrorism, civil disturbances, multi-casualty incidents, and risk associated with dam failure and inundation.  Additionally, the community presents a potential for active shooter incidents.</w:t>
      </w:r>
    </w:p>
    <w:p w:rsidR="00B46E00" w:rsidRPr="00086773" w:rsidRDefault="00B46E00" w:rsidP="00B46E00">
      <w:pPr>
        <w:rPr>
          <w:rFonts w:ascii="Bookman Old Style" w:hAnsi="Bookman Old Style"/>
          <w:color w:val="808080" w:themeColor="background1" w:themeShade="80"/>
        </w:rPr>
      </w:pPr>
      <w:r w:rsidRPr="00B2602F">
        <w:rPr>
          <w:rFonts w:ascii="Bookman Old Style" w:hAnsi="Bookman Old Style"/>
          <w:b/>
          <w:i/>
        </w:rPr>
        <w:t>Severe Storms</w:t>
      </w:r>
    </w:p>
    <w:p w:rsidR="00B46E00" w:rsidRPr="00B2602F" w:rsidRDefault="00B46E00" w:rsidP="00B46E00">
      <w:pPr>
        <w:autoSpaceDE w:val="0"/>
        <w:autoSpaceDN w:val="0"/>
        <w:adjustRightInd w:val="0"/>
        <w:rPr>
          <w:rFonts w:ascii="Bookman Old Style" w:hAnsi="Bookman Old Style"/>
          <w:color w:val="000000"/>
        </w:rPr>
      </w:pPr>
      <w:r w:rsidRPr="00B2602F">
        <w:rPr>
          <w:rFonts w:ascii="Bookman Old Style" w:hAnsi="Bookman Old Style"/>
          <w:color w:val="000000"/>
        </w:rPr>
        <w:t>The climate of Washington State (as well as Franklin County</w:t>
      </w:r>
      <w:r>
        <w:rPr>
          <w:rFonts w:ascii="Bookman Old Style" w:hAnsi="Bookman Old Style"/>
          <w:color w:val="000000"/>
        </w:rPr>
        <w:t xml:space="preserve"> and thus Pasco</w:t>
      </w:r>
      <w:r w:rsidRPr="00B2602F">
        <w:rPr>
          <w:rFonts w:ascii="Bookman Old Style" w:hAnsi="Bookman Old Style"/>
          <w:color w:val="000000"/>
        </w:rPr>
        <w:t>) is regulated by two primary factors:</w:t>
      </w:r>
    </w:p>
    <w:p w:rsidR="00B46E00" w:rsidRPr="00B2602F" w:rsidRDefault="00B46E00" w:rsidP="00B46E00">
      <w:pPr>
        <w:numPr>
          <w:ilvl w:val="0"/>
          <w:numId w:val="7"/>
        </w:numPr>
        <w:autoSpaceDE w:val="0"/>
        <w:autoSpaceDN w:val="0"/>
        <w:adjustRightInd w:val="0"/>
        <w:spacing w:after="0" w:line="240" w:lineRule="auto"/>
        <w:rPr>
          <w:rFonts w:ascii="Bookman Old Style" w:hAnsi="Bookman Old Style"/>
          <w:color w:val="000000"/>
        </w:rPr>
      </w:pPr>
      <w:r w:rsidRPr="00B2602F">
        <w:rPr>
          <w:rFonts w:ascii="Bookman Old Style" w:hAnsi="Bookman Old Style"/>
          <w:color w:val="000000"/>
        </w:rPr>
        <w:t>The strength of the jet stream or the storm track.</w:t>
      </w:r>
    </w:p>
    <w:p w:rsidR="00B46E00" w:rsidRDefault="00B46E00" w:rsidP="00B46E00">
      <w:pPr>
        <w:numPr>
          <w:ilvl w:val="0"/>
          <w:numId w:val="7"/>
        </w:numPr>
        <w:autoSpaceDE w:val="0"/>
        <w:autoSpaceDN w:val="0"/>
        <w:adjustRightInd w:val="0"/>
        <w:spacing w:after="0" w:line="240" w:lineRule="auto"/>
        <w:rPr>
          <w:rFonts w:ascii="Bookman Old Style" w:hAnsi="Bookman Old Style"/>
          <w:color w:val="000000"/>
        </w:rPr>
      </w:pPr>
      <w:r w:rsidRPr="00B2602F">
        <w:rPr>
          <w:rFonts w:ascii="Bookman Old Style" w:hAnsi="Bookman Old Style"/>
          <w:color w:val="000000"/>
        </w:rPr>
        <w:t>The degree to which the orographic effect of the Cascade Mountain influences the flow of maritime and continental air masses.</w:t>
      </w:r>
    </w:p>
    <w:p w:rsidR="00B46E00" w:rsidRPr="00B2602F" w:rsidRDefault="00B46E00" w:rsidP="00B46E00">
      <w:pPr>
        <w:autoSpaceDE w:val="0"/>
        <w:autoSpaceDN w:val="0"/>
        <w:adjustRightInd w:val="0"/>
        <w:spacing w:after="0" w:line="240" w:lineRule="auto"/>
        <w:ind w:left="720"/>
        <w:rPr>
          <w:rFonts w:ascii="Bookman Old Style" w:hAnsi="Bookman Old Style"/>
          <w:color w:val="000000"/>
        </w:rPr>
      </w:pPr>
    </w:p>
    <w:p w:rsidR="00B46E00" w:rsidRPr="00B2602F" w:rsidRDefault="00B46E00" w:rsidP="00B46E00">
      <w:pPr>
        <w:autoSpaceDE w:val="0"/>
        <w:autoSpaceDN w:val="0"/>
        <w:adjustRightInd w:val="0"/>
        <w:spacing w:line="240" w:lineRule="auto"/>
        <w:jc w:val="both"/>
        <w:rPr>
          <w:rFonts w:ascii="Bookman Old Style" w:hAnsi="Bookman Old Style"/>
          <w:color w:val="000000"/>
        </w:rPr>
      </w:pPr>
      <w:r w:rsidRPr="00B2602F">
        <w:rPr>
          <w:rFonts w:ascii="Bookman Old Style" w:hAnsi="Bookman Old Style"/>
          <w:color w:val="000000"/>
        </w:rPr>
        <w:t xml:space="preserve">The jet stream affects the weather of Washington State much of the year, growing stronger as autumn progresses, reaching maximum strength in winter, and subsiding again in spring.  In summer, the jet stream is usually very weak and is displaced to the north over Canada.   Rainfall in the summer is infrequent and temperatures </w:t>
      </w:r>
      <w:r w:rsidRPr="00B2602F">
        <w:rPr>
          <w:rFonts w:ascii="Bookman Old Style" w:hAnsi="Bookman Old Style"/>
          <w:color w:val="000000"/>
        </w:rPr>
        <w:lastRenderedPageBreak/>
        <w:t>across the region are determined by the extent of marine air mass intrusions from the coast. Typical summer rainfall consists of showers and associated thunderstorms coming up from Oregon. The amount of shower activity is dependent upon the degree to which hot air masses with monsoon moisture work their way north from the desert southwest.</w:t>
      </w:r>
    </w:p>
    <w:p w:rsidR="00B46E00" w:rsidRPr="00B2602F" w:rsidRDefault="00B46E00" w:rsidP="00B46E00">
      <w:pPr>
        <w:autoSpaceDE w:val="0"/>
        <w:autoSpaceDN w:val="0"/>
        <w:adjustRightInd w:val="0"/>
        <w:spacing w:line="240" w:lineRule="auto"/>
        <w:jc w:val="both"/>
        <w:rPr>
          <w:rFonts w:ascii="Bookman Old Style" w:hAnsi="Bookman Old Style"/>
          <w:color w:val="000000"/>
        </w:rPr>
      </w:pPr>
      <w:r w:rsidRPr="00B2602F">
        <w:rPr>
          <w:rFonts w:ascii="Bookman Old Style" w:hAnsi="Bookman Old Style"/>
          <w:color w:val="000000"/>
        </w:rPr>
        <w:t>The strength, position, and orientation of the jet stream can change from year to year. This is the reason some winters are mild and comparatively dry, while others are cold and wet. The semi-permanent winter low-pressure system in the Gulf of Alaska and the jet stream are also influenced by factors such as El Nino and La Nina. Southeastern Washington receives most of its precipitation during the winter and early spring.  When the jet stream sags south of Washington State, cold, dry wintertime continental air masses can sometimes blanket the entire Columbia Basin region.</w:t>
      </w:r>
    </w:p>
    <w:p w:rsidR="00B46E00" w:rsidRPr="00B2602F" w:rsidRDefault="00B46E00" w:rsidP="00B46E00">
      <w:pPr>
        <w:autoSpaceDE w:val="0"/>
        <w:autoSpaceDN w:val="0"/>
        <w:adjustRightInd w:val="0"/>
        <w:spacing w:line="240" w:lineRule="auto"/>
        <w:jc w:val="both"/>
        <w:rPr>
          <w:rFonts w:ascii="Bookman Old Style" w:hAnsi="Bookman Old Style"/>
          <w:color w:val="000000"/>
        </w:rPr>
      </w:pPr>
      <w:r>
        <w:rPr>
          <w:rFonts w:ascii="Bookman Old Style" w:hAnsi="Bookman Old Style"/>
          <w:color w:val="000000"/>
        </w:rPr>
        <w:t>Pasco</w:t>
      </w:r>
      <w:r w:rsidRPr="00B2602F">
        <w:rPr>
          <w:rFonts w:ascii="Bookman Old Style" w:hAnsi="Bookman Old Style"/>
          <w:color w:val="000000"/>
        </w:rPr>
        <w:t xml:space="preserve"> can experience all types of severe weather except hurricanes, although on occasion, windstorms exceed hurricane force winds.  There have been tornado sightings in the past.  On average, Franklin County</w:t>
      </w:r>
      <w:r>
        <w:rPr>
          <w:rFonts w:ascii="Bookman Old Style" w:hAnsi="Bookman Old Style"/>
          <w:color w:val="000000"/>
        </w:rPr>
        <w:t xml:space="preserve"> and Pasco</w:t>
      </w:r>
      <w:r w:rsidRPr="00B2602F">
        <w:rPr>
          <w:rFonts w:ascii="Bookman Old Style" w:hAnsi="Bookman Old Style"/>
          <w:color w:val="000000"/>
        </w:rPr>
        <w:t xml:space="preserve"> experiences less than 10 thunderstorm days each year.</w:t>
      </w:r>
    </w:p>
    <w:p w:rsidR="00B46E00" w:rsidRPr="00B2602F" w:rsidRDefault="00B46E00" w:rsidP="00B46E00">
      <w:pPr>
        <w:autoSpaceDE w:val="0"/>
        <w:autoSpaceDN w:val="0"/>
        <w:adjustRightInd w:val="0"/>
        <w:spacing w:line="240" w:lineRule="auto"/>
        <w:jc w:val="both"/>
        <w:rPr>
          <w:rFonts w:ascii="Bookman Old Style" w:hAnsi="Bookman Old Style"/>
          <w:color w:val="000000"/>
        </w:rPr>
      </w:pPr>
      <w:r>
        <w:rPr>
          <w:rFonts w:ascii="Bookman Old Style" w:hAnsi="Bookman Old Style"/>
          <w:color w:val="000000"/>
        </w:rPr>
        <w:t>Most storms track</w:t>
      </w:r>
      <w:r w:rsidRPr="00B2602F">
        <w:rPr>
          <w:rFonts w:ascii="Bookman Old Style" w:hAnsi="Bookman Old Style"/>
          <w:color w:val="000000"/>
        </w:rPr>
        <w:t xml:space="preserve"> into </w:t>
      </w:r>
      <w:r>
        <w:rPr>
          <w:rFonts w:ascii="Bookman Old Style" w:hAnsi="Bookman Old Style"/>
          <w:color w:val="000000"/>
        </w:rPr>
        <w:t>Pasco</w:t>
      </w:r>
      <w:r w:rsidRPr="00B2602F">
        <w:rPr>
          <w:rFonts w:ascii="Bookman Old Style" w:hAnsi="Bookman Old Style"/>
          <w:color w:val="000000"/>
        </w:rPr>
        <w:t xml:space="preserve"> with a southwest to northeast airflow. On occasion however, wind and snow events move into the county from the north</w:t>
      </w:r>
      <w:r>
        <w:rPr>
          <w:rFonts w:ascii="Bookman Old Style" w:hAnsi="Bookman Old Style"/>
          <w:color w:val="000000"/>
        </w:rPr>
        <w:t xml:space="preserve"> and are</w:t>
      </w:r>
      <w:r w:rsidRPr="00B2602F">
        <w:rPr>
          <w:rFonts w:ascii="Bookman Old Style" w:hAnsi="Bookman Old Style"/>
          <w:color w:val="000000"/>
        </w:rPr>
        <w:t xml:space="preserve"> accompanied by cold, arctic air. Windstorms with sustained winds of 50 miles per hour or greater occur somewhat regularly and are powerful enough to cause significant damage. Most of these storms cause transportation-related problems and damage to utilities. On occasion, homes and other structures are damaged either by high winds or falling trees. Furthermore, the varied </w:t>
      </w:r>
      <w:r>
        <w:rPr>
          <w:rFonts w:ascii="Bookman Old Style" w:hAnsi="Bookman Old Style"/>
          <w:color w:val="000000"/>
        </w:rPr>
        <w:t xml:space="preserve">urban </w:t>
      </w:r>
      <w:r w:rsidRPr="00B2602F">
        <w:rPr>
          <w:rFonts w:ascii="Bookman Old Style" w:hAnsi="Bookman Old Style"/>
          <w:color w:val="000000"/>
        </w:rPr>
        <w:t>topography th</w:t>
      </w:r>
      <w:r>
        <w:rPr>
          <w:rFonts w:ascii="Bookman Old Style" w:hAnsi="Bookman Old Style"/>
          <w:color w:val="000000"/>
        </w:rPr>
        <w:t>at exists within Pasco</w:t>
      </w:r>
      <w:r w:rsidRPr="00B2602F">
        <w:rPr>
          <w:rFonts w:ascii="Bookman Old Style" w:hAnsi="Bookman Old Style"/>
          <w:color w:val="000000"/>
        </w:rPr>
        <w:t xml:space="preserve"> can generate </w:t>
      </w:r>
      <w:r>
        <w:rPr>
          <w:rFonts w:ascii="Bookman Old Style" w:hAnsi="Bookman Old Style"/>
          <w:color w:val="000000"/>
        </w:rPr>
        <w:t xml:space="preserve">localized </w:t>
      </w:r>
      <w:r w:rsidRPr="00B2602F">
        <w:rPr>
          <w:rFonts w:ascii="Bookman Old Style" w:hAnsi="Bookman Old Style"/>
          <w:color w:val="000000"/>
        </w:rPr>
        <w:t>variable wind patter</w:t>
      </w:r>
      <w:r>
        <w:rPr>
          <w:rFonts w:ascii="Bookman Old Style" w:hAnsi="Bookman Old Style"/>
          <w:color w:val="000000"/>
        </w:rPr>
        <w:t>ns and velocities</w:t>
      </w:r>
      <w:r w:rsidRPr="00B2602F">
        <w:rPr>
          <w:rFonts w:ascii="Bookman Old Style" w:hAnsi="Bookman Old Style"/>
          <w:color w:val="000000"/>
        </w:rPr>
        <w:t xml:space="preserve">.  </w:t>
      </w:r>
    </w:p>
    <w:p w:rsidR="00B46E00" w:rsidRPr="00B2602F" w:rsidRDefault="00B46E00" w:rsidP="00B46E00">
      <w:pPr>
        <w:autoSpaceDE w:val="0"/>
        <w:autoSpaceDN w:val="0"/>
        <w:adjustRightInd w:val="0"/>
        <w:spacing w:line="240" w:lineRule="auto"/>
        <w:jc w:val="both"/>
        <w:rPr>
          <w:rFonts w:ascii="Bookman Old Style" w:hAnsi="Bookman Old Style"/>
          <w:color w:val="000000"/>
        </w:rPr>
      </w:pPr>
      <w:r w:rsidRPr="00B2602F">
        <w:rPr>
          <w:rFonts w:ascii="Bookman Old Style" w:hAnsi="Bookman Old Style"/>
          <w:color w:val="000000"/>
        </w:rPr>
        <w:t xml:space="preserve">While there have been many severe storms that have impacted </w:t>
      </w:r>
      <w:r>
        <w:rPr>
          <w:rFonts w:ascii="Bookman Old Style" w:hAnsi="Bookman Old Style"/>
          <w:color w:val="000000"/>
        </w:rPr>
        <w:t>Pasco</w:t>
      </w:r>
      <w:r w:rsidRPr="00B2602F">
        <w:rPr>
          <w:rFonts w:ascii="Bookman Old Style" w:hAnsi="Bookman Old Style"/>
          <w:color w:val="000000"/>
        </w:rPr>
        <w:t xml:space="preserve"> in the past, a few of the most notable storms to affect Franklin County were the 1948 Columbia River Flood</w:t>
      </w:r>
      <w:r>
        <w:rPr>
          <w:rFonts w:ascii="Bookman Old Style" w:hAnsi="Bookman Old Style"/>
          <w:color w:val="000000"/>
        </w:rPr>
        <w:t xml:space="preserve"> (see above)</w:t>
      </w:r>
      <w:r w:rsidRPr="00B2602F">
        <w:rPr>
          <w:rFonts w:ascii="Bookman Old Style" w:hAnsi="Bookman Old Style"/>
          <w:color w:val="000000"/>
        </w:rPr>
        <w:t>, the January 1950 Blizzard, and the December 1996-January 1997 Winter Storm and Flood.  A more complete listing of these events is described below.</w:t>
      </w:r>
    </w:p>
    <w:p w:rsidR="00B46E00" w:rsidRPr="00B2602F" w:rsidRDefault="00B46E00" w:rsidP="00B46E00">
      <w:pPr>
        <w:numPr>
          <w:ilvl w:val="0"/>
          <w:numId w:val="6"/>
        </w:numPr>
        <w:autoSpaceDE w:val="0"/>
        <w:autoSpaceDN w:val="0"/>
        <w:adjustRightInd w:val="0"/>
        <w:spacing w:after="0" w:line="240" w:lineRule="auto"/>
        <w:jc w:val="both"/>
        <w:rPr>
          <w:rFonts w:ascii="Bookman Old Style" w:hAnsi="Bookman Old Style"/>
          <w:color w:val="000000"/>
        </w:rPr>
      </w:pPr>
      <w:r w:rsidRPr="00B2602F">
        <w:rPr>
          <w:rFonts w:ascii="Bookman Old Style" w:hAnsi="Bookman Old Style"/>
          <w:b/>
          <w:color w:val="000000"/>
        </w:rPr>
        <w:t>January 1929</w:t>
      </w:r>
      <w:r w:rsidRPr="00B2602F">
        <w:rPr>
          <w:rFonts w:ascii="Bookman Old Style" w:hAnsi="Bookman Old Style"/>
          <w:color w:val="000000"/>
        </w:rPr>
        <w:t xml:space="preserve"> – An extreme cold front moved into the Columbia Basin.  Many homes damaged by broken pipes.  The Columbia River froze over.</w:t>
      </w:r>
    </w:p>
    <w:p w:rsidR="00B46E00" w:rsidRPr="00B2602F" w:rsidRDefault="00B46E00" w:rsidP="00B46E00">
      <w:pPr>
        <w:numPr>
          <w:ilvl w:val="0"/>
          <w:numId w:val="6"/>
        </w:numPr>
        <w:autoSpaceDE w:val="0"/>
        <w:autoSpaceDN w:val="0"/>
        <w:adjustRightInd w:val="0"/>
        <w:spacing w:after="0" w:line="240" w:lineRule="auto"/>
        <w:jc w:val="both"/>
        <w:rPr>
          <w:rFonts w:ascii="Bookman Old Style" w:hAnsi="Bookman Old Style"/>
          <w:color w:val="000000"/>
        </w:rPr>
      </w:pPr>
      <w:r w:rsidRPr="00B2602F">
        <w:rPr>
          <w:rFonts w:ascii="Bookman Old Style" w:hAnsi="Bookman Old Style"/>
          <w:b/>
          <w:color w:val="000000"/>
        </w:rPr>
        <w:t>December 1935</w:t>
      </w:r>
      <w:r w:rsidRPr="00B2602F">
        <w:rPr>
          <w:rFonts w:ascii="Bookman Old Style" w:hAnsi="Bookman Old Style"/>
          <w:color w:val="000000"/>
        </w:rPr>
        <w:t xml:space="preserve"> – Another severe cold front moved in from the Canadian Artic.  Extremely cold temperatures experienced from -10</w:t>
      </w:r>
      <w:r w:rsidR="00F013BC">
        <w:rPr>
          <w:rFonts w:ascii="Bookman Old Style" w:hAnsi="Bookman Old Style"/>
          <w:color w:val="000000"/>
        </w:rPr>
        <w:t>F</w:t>
      </w:r>
      <w:r w:rsidRPr="00B2602F">
        <w:rPr>
          <w:rFonts w:ascii="Bookman Old Style" w:hAnsi="Bookman Old Style"/>
          <w:color w:val="000000"/>
        </w:rPr>
        <w:t xml:space="preserve"> to -20</w:t>
      </w:r>
      <w:r w:rsidR="00F013BC">
        <w:rPr>
          <w:rFonts w:ascii="Bookman Old Style" w:hAnsi="Bookman Old Style"/>
          <w:color w:val="000000"/>
        </w:rPr>
        <w:t>F</w:t>
      </w:r>
      <w:r w:rsidRPr="00B2602F">
        <w:rPr>
          <w:rFonts w:ascii="Bookman Old Style" w:hAnsi="Bookman Old Style"/>
          <w:color w:val="000000"/>
        </w:rPr>
        <w:t xml:space="preserve"> ranges for a long period of time.  The Columbia River froze over again.</w:t>
      </w:r>
    </w:p>
    <w:p w:rsidR="00B46E00" w:rsidRPr="00B2602F" w:rsidRDefault="00B46E00" w:rsidP="00B46E00">
      <w:pPr>
        <w:numPr>
          <w:ilvl w:val="0"/>
          <w:numId w:val="6"/>
        </w:numPr>
        <w:autoSpaceDE w:val="0"/>
        <w:autoSpaceDN w:val="0"/>
        <w:adjustRightInd w:val="0"/>
        <w:spacing w:after="0" w:line="240" w:lineRule="auto"/>
        <w:jc w:val="both"/>
        <w:rPr>
          <w:rFonts w:ascii="Bookman Old Style" w:hAnsi="Bookman Old Style"/>
          <w:color w:val="000000"/>
        </w:rPr>
      </w:pPr>
      <w:r w:rsidRPr="00B2602F">
        <w:rPr>
          <w:rFonts w:ascii="Bookman Old Style" w:hAnsi="Bookman Old Style"/>
          <w:b/>
          <w:color w:val="000000"/>
        </w:rPr>
        <w:t>May/June 1948</w:t>
      </w:r>
      <w:r w:rsidRPr="00B2602F">
        <w:rPr>
          <w:rFonts w:ascii="Bookman Old Style" w:hAnsi="Bookman Old Style"/>
          <w:color w:val="000000"/>
        </w:rPr>
        <w:t xml:space="preserve"> – Greatest Spring Snowmelt Flooding: Snowmelt flooding on the Columbia River affected Pasco and other low lying areas along the Columbia River.  The flood lasted for 45 days.</w:t>
      </w:r>
    </w:p>
    <w:p w:rsidR="00B46E00" w:rsidRPr="00B2602F" w:rsidRDefault="00B46E00" w:rsidP="00B46E00">
      <w:pPr>
        <w:numPr>
          <w:ilvl w:val="0"/>
          <w:numId w:val="6"/>
        </w:numPr>
        <w:autoSpaceDE w:val="0"/>
        <w:autoSpaceDN w:val="0"/>
        <w:adjustRightInd w:val="0"/>
        <w:spacing w:after="0" w:line="240" w:lineRule="auto"/>
        <w:jc w:val="both"/>
        <w:rPr>
          <w:rFonts w:ascii="Bookman Old Style" w:hAnsi="Bookman Old Style"/>
          <w:color w:val="000000"/>
        </w:rPr>
      </w:pPr>
      <w:r w:rsidRPr="00B2602F">
        <w:rPr>
          <w:rFonts w:ascii="Bookman Old Style" w:hAnsi="Bookman Old Style"/>
          <w:b/>
          <w:color w:val="000000"/>
        </w:rPr>
        <w:t>January 1949</w:t>
      </w:r>
      <w:r w:rsidRPr="00B2602F">
        <w:rPr>
          <w:rFonts w:ascii="Bookman Old Style" w:hAnsi="Bookman Old Style"/>
          <w:color w:val="000000"/>
        </w:rPr>
        <w:t xml:space="preserve"> – An “artic blast” moved down from Canada bringing extremely cold temperatures.  The Columbia River froze over.  The Tri-City Hera</w:t>
      </w:r>
      <w:r w:rsidR="00026DA3">
        <w:rPr>
          <w:rFonts w:ascii="Bookman Old Style" w:hAnsi="Bookman Old Style"/>
          <w:color w:val="000000"/>
        </w:rPr>
        <w:t>ld prints pictures of people dri</w:t>
      </w:r>
      <w:r w:rsidRPr="00B2602F">
        <w:rPr>
          <w:rFonts w:ascii="Bookman Old Style" w:hAnsi="Bookman Old Style"/>
          <w:color w:val="000000"/>
        </w:rPr>
        <w:t>ving vehicles over the ice between Kennewick and Pasco.</w:t>
      </w:r>
    </w:p>
    <w:p w:rsidR="00B46E00" w:rsidRPr="00B2602F" w:rsidRDefault="00B46E00" w:rsidP="00B46E00">
      <w:pPr>
        <w:numPr>
          <w:ilvl w:val="0"/>
          <w:numId w:val="6"/>
        </w:numPr>
        <w:autoSpaceDE w:val="0"/>
        <w:autoSpaceDN w:val="0"/>
        <w:adjustRightInd w:val="0"/>
        <w:spacing w:after="0" w:line="240" w:lineRule="auto"/>
        <w:jc w:val="both"/>
        <w:rPr>
          <w:rFonts w:ascii="Bookman Old Style" w:hAnsi="Bookman Old Style"/>
          <w:color w:val="000000"/>
        </w:rPr>
      </w:pPr>
      <w:r w:rsidRPr="00B2602F">
        <w:rPr>
          <w:rFonts w:ascii="Bookman Old Style" w:hAnsi="Bookman Old Style"/>
          <w:b/>
          <w:color w:val="000000"/>
        </w:rPr>
        <w:t>January 13, 1950</w:t>
      </w:r>
      <w:r w:rsidRPr="00B2602F">
        <w:rPr>
          <w:rFonts w:ascii="Bookman Old Style" w:hAnsi="Bookman Old Style"/>
          <w:color w:val="000000"/>
        </w:rPr>
        <w:t xml:space="preserve"> – The January 1950 Blizzard: A massive winter storm caused blizzard conditions in much of eastern Washington.  Record snow fall and a long period of subzero temperatures occurred throughout the Columbia Basin.  Several dozen fatalities occurred.</w:t>
      </w:r>
    </w:p>
    <w:p w:rsidR="00B46E00" w:rsidRPr="00B2602F" w:rsidRDefault="00B46E00" w:rsidP="00B46E00">
      <w:pPr>
        <w:numPr>
          <w:ilvl w:val="0"/>
          <w:numId w:val="6"/>
        </w:numPr>
        <w:autoSpaceDE w:val="0"/>
        <w:autoSpaceDN w:val="0"/>
        <w:adjustRightInd w:val="0"/>
        <w:spacing w:after="0" w:line="240" w:lineRule="auto"/>
        <w:jc w:val="both"/>
        <w:rPr>
          <w:rFonts w:ascii="Bookman Old Style" w:hAnsi="Bookman Old Style"/>
          <w:color w:val="000000"/>
        </w:rPr>
      </w:pPr>
      <w:r w:rsidRPr="00B2602F">
        <w:rPr>
          <w:rFonts w:ascii="Bookman Old Style" w:hAnsi="Bookman Old Style"/>
          <w:b/>
          <w:color w:val="000000"/>
        </w:rPr>
        <w:t>December 1996 &amp; January 1997</w:t>
      </w:r>
      <w:r w:rsidRPr="00B2602F">
        <w:rPr>
          <w:rFonts w:ascii="Bookman Old Style" w:hAnsi="Bookman Old Style"/>
          <w:color w:val="000000"/>
        </w:rPr>
        <w:t xml:space="preserve"> – Snow &amp; Wind:  Heavy accumulations of snow fell throughout eastern Washington including Franklin County.  Franklin </w:t>
      </w:r>
      <w:r w:rsidRPr="00B2602F">
        <w:rPr>
          <w:rFonts w:ascii="Bookman Old Style" w:hAnsi="Bookman Old Style"/>
          <w:color w:val="000000"/>
        </w:rPr>
        <w:lastRenderedPageBreak/>
        <w:t>County received several days’ accumulation of snow followed by high winds and rain. (FEMA Disaster Declaration #1159).</w:t>
      </w:r>
    </w:p>
    <w:p w:rsidR="00B46E00" w:rsidRDefault="00B46E00" w:rsidP="00B46E00">
      <w:pPr>
        <w:autoSpaceDE w:val="0"/>
        <w:autoSpaceDN w:val="0"/>
        <w:adjustRightInd w:val="0"/>
        <w:spacing w:after="0" w:line="240" w:lineRule="auto"/>
        <w:ind w:left="720"/>
        <w:rPr>
          <w:color w:val="000000"/>
        </w:rPr>
      </w:pPr>
    </w:p>
    <w:p w:rsidR="00B46E00" w:rsidRDefault="00B46E00" w:rsidP="00B46E00">
      <w:pPr>
        <w:pStyle w:val="NoSpacing"/>
        <w:spacing w:afterLines="100" w:after="240"/>
        <w:contextualSpacing/>
        <w:jc w:val="both"/>
        <w:rPr>
          <w:rFonts w:ascii="Bookman Old Style" w:hAnsi="Bookman Old Style"/>
        </w:rPr>
      </w:pPr>
      <w:r w:rsidRPr="00B2602F">
        <w:rPr>
          <w:rFonts w:ascii="Bookman Old Style" w:hAnsi="Bookman Old Style"/>
        </w:rPr>
        <w:t>Data or frequency of severe storm events was obtained from the Special Hazard Events and Losses Database for the United States (SHELDUS) developed by the Hazard Research Lab at the University of South Carolina, and from the National Climatic Data Center (NCDC) of the National Oceanic and Atmospheric Administration (NOAA.)  SHELDUS uses a variety of NOAA data sources.  It covered severe weather events from 1960 through 2000 that caused more than $50,000 in property and/or crop damage.</w:t>
      </w:r>
    </w:p>
    <w:p w:rsidR="00B46E00" w:rsidRDefault="00B46E00" w:rsidP="00B46E00">
      <w:pPr>
        <w:pStyle w:val="NoSpacing"/>
        <w:spacing w:afterLines="100" w:after="240"/>
        <w:contextualSpacing/>
        <w:jc w:val="both"/>
        <w:rPr>
          <w:rFonts w:ascii="Bookman Old Style" w:hAnsi="Bookman Old Style"/>
        </w:rPr>
      </w:pPr>
    </w:p>
    <w:p w:rsidR="00B46E00" w:rsidRDefault="00B46E00" w:rsidP="00B46E00">
      <w:pPr>
        <w:pStyle w:val="NoSpacing"/>
        <w:spacing w:afterLines="100" w:after="240"/>
        <w:contextualSpacing/>
        <w:jc w:val="both"/>
        <w:rPr>
          <w:rFonts w:ascii="Bookman Old Style" w:hAnsi="Bookman Old Style"/>
        </w:rPr>
      </w:pPr>
      <w:r w:rsidRPr="00B2602F">
        <w:rPr>
          <w:rFonts w:ascii="Bookman Old Style" w:hAnsi="Bookman Old Style"/>
        </w:rPr>
        <w:t>The results showed that Franklin County had 80 events that met the criteria.  Of the 80 events listed in SHELDUS, there were 39 high wind events, eleven thunderstorms, eight floods, seventeen winter weather events, one tornado, one volcanic event, one hailstorm, and one fog event.</w:t>
      </w:r>
    </w:p>
    <w:p w:rsidR="00B46E00" w:rsidRDefault="00B46E00" w:rsidP="00B46E00">
      <w:pPr>
        <w:pStyle w:val="NoSpacing"/>
        <w:spacing w:afterLines="100" w:after="240"/>
        <w:contextualSpacing/>
        <w:jc w:val="both"/>
        <w:rPr>
          <w:rFonts w:ascii="Bookman Old Style" w:hAnsi="Bookman Old Style"/>
        </w:rPr>
      </w:pPr>
    </w:p>
    <w:p w:rsidR="00B46E00" w:rsidRDefault="00B46E00" w:rsidP="00B46E00">
      <w:pPr>
        <w:pStyle w:val="NoSpacing"/>
        <w:spacing w:afterLines="100" w:after="240"/>
        <w:contextualSpacing/>
        <w:jc w:val="both"/>
        <w:rPr>
          <w:rFonts w:ascii="Bookman Old Style" w:hAnsi="Bookman Old Style"/>
          <w:color w:val="000000"/>
        </w:rPr>
      </w:pPr>
      <w:r w:rsidRPr="00B2602F">
        <w:rPr>
          <w:rFonts w:ascii="Bookman Old Style" w:hAnsi="Bookman Old Style"/>
          <w:color w:val="000000"/>
        </w:rPr>
        <w:t xml:space="preserve">The effects upon </w:t>
      </w:r>
      <w:r>
        <w:rPr>
          <w:rFonts w:ascii="Bookman Old Style" w:hAnsi="Bookman Old Style"/>
          <w:color w:val="000000"/>
        </w:rPr>
        <w:t>City of Pasco</w:t>
      </w:r>
      <w:r w:rsidRPr="00B2602F">
        <w:rPr>
          <w:rFonts w:ascii="Bookman Old Style" w:hAnsi="Bookman Old Style"/>
          <w:color w:val="000000"/>
        </w:rPr>
        <w:t xml:space="preserve"> resulting from a severe storm such as a thunderstorm, tornado, windstorm, ice storm, or snowstorm are</w:t>
      </w:r>
      <w:r>
        <w:rPr>
          <w:rFonts w:ascii="Bookman Old Style" w:hAnsi="Bookman Old Style"/>
          <w:color w:val="000000"/>
        </w:rPr>
        <w:t xml:space="preserve"> likely to be</w:t>
      </w:r>
      <w:r w:rsidRPr="00B2602F">
        <w:rPr>
          <w:rFonts w:ascii="Bookman Old Style" w:hAnsi="Bookman Old Style"/>
          <w:color w:val="000000"/>
        </w:rPr>
        <w:t xml:space="preserve"> </w:t>
      </w:r>
      <w:r>
        <w:rPr>
          <w:rFonts w:ascii="Bookman Old Style" w:hAnsi="Bookman Old Style"/>
          <w:color w:val="000000"/>
        </w:rPr>
        <w:t>d</w:t>
      </w:r>
      <w:r w:rsidRPr="00B2602F">
        <w:rPr>
          <w:rFonts w:ascii="Bookman Old Style" w:hAnsi="Bookman Old Style"/>
          <w:color w:val="000000"/>
        </w:rPr>
        <w:t>owned trees and power lines, the interruption of transportation routes, and damage to homes, businesses, and governmental buildings are all possible.  Fatalities as a result of such events are uncommon in</w:t>
      </w:r>
      <w:r>
        <w:rPr>
          <w:rFonts w:ascii="Bookman Old Style" w:hAnsi="Bookman Old Style"/>
          <w:color w:val="000000"/>
        </w:rPr>
        <w:t xml:space="preserve"> Pasco</w:t>
      </w:r>
      <w:r w:rsidRPr="00B2602F">
        <w:rPr>
          <w:rFonts w:ascii="Bookman Old Style" w:hAnsi="Bookman Old Style"/>
          <w:color w:val="000000"/>
        </w:rPr>
        <w:t>, but they can occur.  Electrical power outages are common with almost all types of severe storm events.  Possible problems may be loss of heat, refrigeration, light, cooking, computers, cash registers, gasoline pumps, restaurant cooking, milking machines, chicken warmers, and green houses.  In addition, persons could be electrocuted by coming in contact with downed electrical lines.</w:t>
      </w:r>
    </w:p>
    <w:p w:rsidR="00B46E00" w:rsidRPr="00B46E00" w:rsidRDefault="00B46E00" w:rsidP="00B46E00">
      <w:pPr>
        <w:autoSpaceDE w:val="0"/>
        <w:autoSpaceDN w:val="0"/>
        <w:adjustRightInd w:val="0"/>
        <w:spacing w:line="240" w:lineRule="auto"/>
        <w:jc w:val="both"/>
        <w:rPr>
          <w:rFonts w:ascii="Bookman Old Style" w:hAnsi="Bookman Old Style"/>
          <w:b/>
          <w:bCs/>
          <w:color w:val="000000"/>
        </w:rPr>
      </w:pPr>
      <w:r w:rsidRPr="00B2602F">
        <w:rPr>
          <w:rFonts w:ascii="Bookman Old Style" w:hAnsi="Bookman Old Style"/>
          <w:bCs/>
          <w:color w:val="000000"/>
        </w:rPr>
        <w:t>Of all natural hazards, severe local storms, especially severe wind storms are very likely to affect Pasco.  These storms have the ability to cause considerable destruction and can impact the lives of large numbers of people</w:t>
      </w:r>
      <w:r>
        <w:rPr>
          <w:rFonts w:ascii="Bookman Old Style" w:hAnsi="Bookman Old Style"/>
          <w:b/>
          <w:bCs/>
          <w:color w:val="000000"/>
        </w:rPr>
        <w:t>.</w:t>
      </w:r>
    </w:p>
    <w:p w:rsidR="000E6665" w:rsidRDefault="000E6665" w:rsidP="000E6665">
      <w:pPr>
        <w:rPr>
          <w:rFonts w:ascii="Bookman Old Style" w:hAnsi="Bookman Old Style"/>
          <w:b/>
          <w:i/>
        </w:rPr>
      </w:pPr>
      <w:r>
        <w:rPr>
          <w:rFonts w:ascii="Bookman Old Style" w:hAnsi="Bookman Old Style"/>
          <w:b/>
          <w:i/>
        </w:rPr>
        <w:t>Floods</w:t>
      </w:r>
    </w:p>
    <w:p w:rsidR="000E6665" w:rsidRPr="00B2602F" w:rsidRDefault="000E6665" w:rsidP="008C541A">
      <w:pPr>
        <w:autoSpaceDE w:val="0"/>
        <w:autoSpaceDN w:val="0"/>
        <w:adjustRightInd w:val="0"/>
        <w:spacing w:line="240" w:lineRule="auto"/>
        <w:jc w:val="both"/>
        <w:rPr>
          <w:rFonts w:ascii="Bookman Old Style" w:eastAsia="Times New Roman" w:hAnsi="Bookman Old Style" w:cs="Times New Roman"/>
          <w:color w:val="000000"/>
          <w:szCs w:val="24"/>
        </w:rPr>
      </w:pPr>
      <w:r w:rsidRPr="00B2602F">
        <w:rPr>
          <w:rFonts w:ascii="Bookman Old Style" w:eastAsia="Times New Roman" w:hAnsi="Bookman Old Style" w:cs="Times New Roman"/>
          <w:color w:val="000000"/>
          <w:szCs w:val="24"/>
        </w:rPr>
        <w:t>Flooding occurs on rivers and streams when excessive water discharge causes river or stream channels t</w:t>
      </w:r>
      <w:r>
        <w:rPr>
          <w:rFonts w:ascii="Bookman Old Style" w:eastAsia="Times New Roman" w:hAnsi="Bookman Old Style" w:cs="Times New Roman"/>
          <w:color w:val="000000"/>
          <w:szCs w:val="24"/>
        </w:rPr>
        <w:t xml:space="preserve">o overflow. The Columbia River and </w:t>
      </w:r>
      <w:r w:rsidRPr="00B2602F">
        <w:rPr>
          <w:rFonts w:ascii="Bookman Old Style" w:eastAsia="Times New Roman" w:hAnsi="Bookman Old Style" w:cs="Times New Roman"/>
          <w:color w:val="000000"/>
          <w:szCs w:val="24"/>
        </w:rPr>
        <w:t>Snake Riv</w:t>
      </w:r>
      <w:r>
        <w:rPr>
          <w:rFonts w:ascii="Bookman Old Style" w:eastAsia="Times New Roman" w:hAnsi="Bookman Old Style" w:cs="Times New Roman"/>
          <w:color w:val="000000"/>
          <w:szCs w:val="24"/>
        </w:rPr>
        <w:t xml:space="preserve">ers are </w:t>
      </w:r>
      <w:r w:rsidRPr="00B2602F">
        <w:rPr>
          <w:rFonts w:ascii="Bookman Old Style" w:eastAsia="Times New Roman" w:hAnsi="Bookman Old Style" w:cs="Times New Roman"/>
          <w:color w:val="000000"/>
          <w:szCs w:val="24"/>
        </w:rPr>
        <w:t>susceptible to flooding.</w:t>
      </w:r>
    </w:p>
    <w:p w:rsidR="000E6665" w:rsidRPr="00B2602F" w:rsidRDefault="000E6665" w:rsidP="008C541A">
      <w:pPr>
        <w:autoSpaceDE w:val="0"/>
        <w:autoSpaceDN w:val="0"/>
        <w:adjustRightInd w:val="0"/>
        <w:spacing w:line="240" w:lineRule="auto"/>
        <w:jc w:val="both"/>
        <w:rPr>
          <w:rFonts w:ascii="Bookman Old Style" w:eastAsia="Times New Roman" w:hAnsi="Bookman Old Style" w:cs="Times New Roman"/>
          <w:color w:val="000000"/>
          <w:szCs w:val="24"/>
        </w:rPr>
      </w:pPr>
      <w:r w:rsidRPr="00B2602F">
        <w:rPr>
          <w:rFonts w:ascii="Bookman Old Style" w:eastAsia="Times New Roman" w:hAnsi="Bookman Old Style" w:cs="Times New Roman"/>
          <w:color w:val="000000"/>
          <w:szCs w:val="24"/>
        </w:rPr>
        <w:t>Th</w:t>
      </w:r>
      <w:r>
        <w:rPr>
          <w:rFonts w:ascii="Bookman Old Style" w:eastAsia="Times New Roman" w:hAnsi="Bookman Old Style" w:cs="Times New Roman"/>
          <w:color w:val="000000"/>
          <w:szCs w:val="24"/>
        </w:rPr>
        <w:t>e threat of flooding in Pasco</w:t>
      </w:r>
      <w:r w:rsidRPr="00B2602F">
        <w:rPr>
          <w:rFonts w:ascii="Bookman Old Style" w:eastAsia="Times New Roman" w:hAnsi="Bookman Old Style" w:cs="Times New Roman"/>
          <w:color w:val="000000"/>
          <w:szCs w:val="24"/>
        </w:rPr>
        <w:t xml:space="preserve"> is greatest in the months of December through February although flood events may occur during other months of the year. Winter flood events have the potential to produce the highest peak flows when significant snowfall is present, followed by rapidly rising temperature and/or heavy rain.  In addition, increased flow rates from the hydroelectric dams further increase the potential of flooding due to their effect on river discharge flows.  The Columbia River is the second largest river system in the United States behind the Mississippi River.  The river drains an area of approximately 250,000 square miles.</w:t>
      </w:r>
    </w:p>
    <w:p w:rsidR="000E6665" w:rsidRPr="00B2602F" w:rsidRDefault="000E6665" w:rsidP="000E6665">
      <w:pPr>
        <w:autoSpaceDE w:val="0"/>
        <w:autoSpaceDN w:val="0"/>
        <w:adjustRightInd w:val="0"/>
        <w:spacing w:after="0" w:line="240" w:lineRule="auto"/>
        <w:rPr>
          <w:rFonts w:ascii="Bookman Old Style" w:eastAsia="Times New Roman" w:hAnsi="Bookman Old Style" w:cs="Times New Roman"/>
          <w:color w:val="000000"/>
          <w:szCs w:val="24"/>
        </w:rPr>
      </w:pPr>
    </w:p>
    <w:p w:rsidR="008C541A" w:rsidRDefault="000E6665" w:rsidP="008C541A">
      <w:pPr>
        <w:autoSpaceDE w:val="0"/>
        <w:autoSpaceDN w:val="0"/>
        <w:adjustRightInd w:val="0"/>
        <w:spacing w:afterLines="100" w:after="240" w:line="240" w:lineRule="auto"/>
        <w:jc w:val="both"/>
        <w:rPr>
          <w:rFonts w:ascii="Bookman Old Style" w:eastAsia="Times New Roman" w:hAnsi="Bookman Old Style" w:cs="Times New Roman"/>
          <w:color w:val="000000"/>
          <w:szCs w:val="24"/>
        </w:rPr>
      </w:pPr>
      <w:r w:rsidRPr="00B2602F">
        <w:rPr>
          <w:rFonts w:ascii="Bookman Old Style" w:eastAsia="Times New Roman" w:hAnsi="Bookman Old Style" w:cs="Times New Roman"/>
          <w:color w:val="000000"/>
          <w:szCs w:val="24"/>
        </w:rPr>
        <w:t xml:space="preserve">The Snake River runs along </w:t>
      </w:r>
      <w:r>
        <w:rPr>
          <w:rFonts w:ascii="Bookman Old Style" w:eastAsia="Times New Roman" w:hAnsi="Bookman Old Style" w:cs="Times New Roman"/>
          <w:color w:val="000000"/>
          <w:szCs w:val="24"/>
        </w:rPr>
        <w:t>the eastern boundary of Pasco</w:t>
      </w:r>
      <w:r w:rsidRPr="00B2602F">
        <w:rPr>
          <w:rFonts w:ascii="Bookman Old Style" w:eastAsia="Times New Roman" w:hAnsi="Bookman Old Style" w:cs="Times New Roman"/>
          <w:color w:val="000000"/>
          <w:szCs w:val="24"/>
        </w:rPr>
        <w:t xml:space="preserve"> and includes two dams operated by the US Army Corps of Engineers.  The height and composition of the terrain on the Franklin County side of the Snake River makes very unlikely that Franklin County would ever receive much, if any, damage from a flood.  </w:t>
      </w:r>
    </w:p>
    <w:p w:rsidR="00B46E00" w:rsidRPr="00EE3482" w:rsidRDefault="000E6665" w:rsidP="008C541A">
      <w:pPr>
        <w:autoSpaceDE w:val="0"/>
        <w:autoSpaceDN w:val="0"/>
        <w:adjustRightInd w:val="0"/>
        <w:spacing w:afterLines="100" w:after="240" w:line="240" w:lineRule="auto"/>
        <w:jc w:val="both"/>
        <w:rPr>
          <w:rFonts w:ascii="Bookman Old Style" w:hAnsi="Bookman Old Style"/>
          <w:color w:val="000000"/>
        </w:rPr>
      </w:pPr>
      <w:r w:rsidRPr="00B2602F">
        <w:rPr>
          <w:rFonts w:ascii="Bookman Old Style" w:hAnsi="Bookman Old Style"/>
          <w:color w:val="000000"/>
        </w:rPr>
        <w:lastRenderedPageBreak/>
        <w:t xml:space="preserve">The Columbia River has a history of flood events.  Floods have occurred in 1894, 1948, 1964, 1974, and 1979.  However, since several dams have been erected in the Columbia and Snake Rivers, the likelihood of river flooding occurring has been drastically reduced. </w:t>
      </w:r>
    </w:p>
    <w:p w:rsidR="000E6665" w:rsidRDefault="000E6665" w:rsidP="000E6665">
      <w:pPr>
        <w:autoSpaceDE w:val="0"/>
        <w:autoSpaceDN w:val="0"/>
        <w:adjustRightInd w:val="0"/>
        <w:rPr>
          <w:b/>
          <w:bCs/>
          <w:color w:val="000000"/>
          <w:sz w:val="20"/>
          <w:szCs w:val="20"/>
        </w:rPr>
      </w:pPr>
      <w:r w:rsidRPr="005B4F8F">
        <w:rPr>
          <w:b/>
          <w:bCs/>
          <w:color w:val="000000"/>
          <w:sz w:val="20"/>
          <w:szCs w:val="20"/>
        </w:rPr>
        <w:t xml:space="preserve">(Information obtained from </w:t>
      </w:r>
      <w:r>
        <w:rPr>
          <w:b/>
          <w:bCs/>
          <w:color w:val="000000"/>
          <w:sz w:val="20"/>
          <w:szCs w:val="20"/>
        </w:rPr>
        <w:t xml:space="preserve">Washington State </w:t>
      </w:r>
      <w:r w:rsidRPr="005B4F8F">
        <w:rPr>
          <w:b/>
          <w:bCs/>
          <w:color w:val="000000"/>
          <w:sz w:val="20"/>
          <w:szCs w:val="20"/>
        </w:rPr>
        <w:t xml:space="preserve">Emergency Management </w:t>
      </w:r>
      <w:r>
        <w:rPr>
          <w:b/>
          <w:bCs/>
          <w:color w:val="000000"/>
          <w:sz w:val="20"/>
          <w:szCs w:val="20"/>
        </w:rPr>
        <w:t xml:space="preserve">Division </w:t>
      </w:r>
      <w:r w:rsidRPr="005B4F8F">
        <w:rPr>
          <w:b/>
          <w:bCs/>
          <w:color w:val="000000"/>
          <w:sz w:val="20"/>
          <w:szCs w:val="20"/>
        </w:rPr>
        <w:t>files)</w:t>
      </w:r>
    </w:p>
    <w:p w:rsidR="000E6665" w:rsidRPr="00B2602F" w:rsidRDefault="000E6665" w:rsidP="000E6665">
      <w:pPr>
        <w:autoSpaceDE w:val="0"/>
        <w:autoSpaceDN w:val="0"/>
        <w:adjustRightInd w:val="0"/>
        <w:rPr>
          <w:rFonts w:ascii="Bookman Old Style" w:hAnsi="Bookman Old Style"/>
          <w:bCs/>
          <w:color w:val="000000"/>
        </w:rPr>
      </w:pPr>
      <w:r w:rsidRPr="00B2602F">
        <w:rPr>
          <w:rFonts w:ascii="Bookman Old Style" w:hAnsi="Bookman Old Style"/>
          <w:b/>
          <w:bCs/>
          <w:color w:val="000000"/>
          <w:szCs w:val="20"/>
          <w:u w:val="single"/>
        </w:rPr>
        <w:t>March 26, 1948</w:t>
      </w:r>
      <w:r>
        <w:rPr>
          <w:b/>
          <w:bCs/>
          <w:color w:val="000000"/>
          <w:sz w:val="20"/>
          <w:szCs w:val="20"/>
        </w:rPr>
        <w:t xml:space="preserve"> – </w:t>
      </w:r>
      <w:r>
        <w:rPr>
          <w:rFonts w:ascii="Bookman Old Style" w:hAnsi="Bookman Old Style"/>
          <w:bCs/>
          <w:color w:val="000000"/>
        </w:rPr>
        <w:t xml:space="preserve">(Tri-City Herald News Article)  Flooding due to heavy rainfall.  </w:t>
      </w:r>
    </w:p>
    <w:p w:rsidR="000E6665" w:rsidRPr="00B2602F" w:rsidRDefault="000E6665" w:rsidP="008C541A">
      <w:pPr>
        <w:autoSpaceDE w:val="0"/>
        <w:autoSpaceDN w:val="0"/>
        <w:adjustRightInd w:val="0"/>
        <w:spacing w:line="240" w:lineRule="auto"/>
        <w:jc w:val="both"/>
        <w:rPr>
          <w:rFonts w:ascii="Bookman Old Style" w:hAnsi="Bookman Old Style"/>
          <w:bCs/>
          <w:color w:val="000000"/>
        </w:rPr>
      </w:pPr>
      <w:r w:rsidRPr="00B2602F">
        <w:rPr>
          <w:rFonts w:ascii="Bookman Old Style" w:hAnsi="Bookman Old Style"/>
          <w:b/>
          <w:bCs/>
          <w:color w:val="000000"/>
          <w:u w:val="single"/>
        </w:rPr>
        <w:t>February 1956</w:t>
      </w:r>
      <w:r w:rsidRPr="00B2602F">
        <w:rPr>
          <w:rFonts w:ascii="Bookman Old Style" w:hAnsi="Bookman Old Style"/>
          <w:bCs/>
          <w:color w:val="000000"/>
        </w:rPr>
        <w:t xml:space="preserve"> – (Major Disaster Declaration #50) Flooding due to heavy snowfall followed by rapid raise in temperature.  No public or individual assistance records available.</w:t>
      </w:r>
    </w:p>
    <w:p w:rsidR="000E6665" w:rsidRPr="00B2602F" w:rsidRDefault="000E6665" w:rsidP="008C541A">
      <w:pPr>
        <w:autoSpaceDE w:val="0"/>
        <w:autoSpaceDN w:val="0"/>
        <w:adjustRightInd w:val="0"/>
        <w:spacing w:line="240" w:lineRule="auto"/>
        <w:jc w:val="both"/>
        <w:rPr>
          <w:rFonts w:ascii="Bookman Old Style" w:hAnsi="Bookman Old Style"/>
          <w:bCs/>
          <w:color w:val="000000"/>
        </w:rPr>
      </w:pPr>
      <w:r w:rsidRPr="00B2602F">
        <w:rPr>
          <w:rFonts w:ascii="Bookman Old Style" w:hAnsi="Bookman Old Style"/>
          <w:b/>
          <w:bCs/>
          <w:color w:val="000000"/>
          <w:u w:val="single"/>
        </w:rPr>
        <w:t xml:space="preserve">December </w:t>
      </w:r>
      <w:r w:rsidR="003E1951">
        <w:rPr>
          <w:rFonts w:ascii="Bookman Old Style" w:hAnsi="Bookman Old Style"/>
          <w:b/>
          <w:bCs/>
          <w:color w:val="000000"/>
          <w:u w:val="single"/>
        </w:rPr>
        <w:t>19</w:t>
      </w:r>
      <w:r w:rsidRPr="00B2602F">
        <w:rPr>
          <w:rFonts w:ascii="Bookman Old Style" w:hAnsi="Bookman Old Style"/>
          <w:b/>
          <w:bCs/>
          <w:color w:val="000000"/>
          <w:u w:val="single"/>
        </w:rPr>
        <w:t>96 – February 1997</w:t>
      </w:r>
      <w:r w:rsidRPr="00B2602F">
        <w:rPr>
          <w:rFonts w:ascii="Bookman Old Style" w:hAnsi="Bookman Old Style"/>
          <w:bCs/>
          <w:color w:val="000000"/>
        </w:rPr>
        <w:t xml:space="preserve"> </w:t>
      </w:r>
      <w:r>
        <w:rPr>
          <w:rFonts w:ascii="Bookman Old Style" w:hAnsi="Bookman Old Style"/>
          <w:bCs/>
          <w:color w:val="000000"/>
        </w:rPr>
        <w:t xml:space="preserve"> - </w:t>
      </w:r>
      <w:r w:rsidRPr="00B2602F">
        <w:rPr>
          <w:rFonts w:ascii="Bookman Old Style" w:hAnsi="Bookman Old Style"/>
          <w:bCs/>
          <w:color w:val="000000"/>
        </w:rPr>
        <w:t>(Major Disaster Declaration #1159) – Public Assistance $350,912 (Does not include Individual Assistance or Small Business Administration Loans Information)</w:t>
      </w:r>
      <w:r w:rsidR="008C541A">
        <w:rPr>
          <w:rFonts w:ascii="Bookman Old Style" w:hAnsi="Bookman Old Style"/>
          <w:bCs/>
          <w:color w:val="000000"/>
        </w:rPr>
        <w:t>.</w:t>
      </w:r>
    </w:p>
    <w:p w:rsidR="008C541A" w:rsidRDefault="000E6665" w:rsidP="00B46E00">
      <w:pPr>
        <w:autoSpaceDE w:val="0"/>
        <w:autoSpaceDN w:val="0"/>
        <w:adjustRightInd w:val="0"/>
        <w:spacing w:line="240" w:lineRule="auto"/>
        <w:jc w:val="both"/>
        <w:rPr>
          <w:rFonts w:ascii="Bookman Old Style" w:hAnsi="Bookman Old Style"/>
          <w:color w:val="000000"/>
        </w:rPr>
      </w:pPr>
      <w:r w:rsidRPr="00B2602F">
        <w:rPr>
          <w:rFonts w:ascii="Bookman Old Style" w:hAnsi="Bookman Old Style"/>
          <w:color w:val="000000"/>
        </w:rPr>
        <w:t>Major intersections of our transportation and communication infrastructure are also located in the floodplain. A major Columbia River flood event that causes portions of the City of Pasco to be inundated with water has the potential to severely impact the overall economy of Franklin County as well as other communities within the Tri-Cities region.</w:t>
      </w:r>
      <w:r>
        <w:rPr>
          <w:rFonts w:ascii="Bookman Old Style" w:hAnsi="Bookman Old Style"/>
          <w:color w:val="000000"/>
        </w:rPr>
        <w:t xml:space="preserve">  </w:t>
      </w:r>
      <w:r w:rsidRPr="00B2602F">
        <w:rPr>
          <w:rFonts w:ascii="Bookman Old Style" w:hAnsi="Bookman Old Style"/>
          <w:color w:val="000000"/>
        </w:rPr>
        <w:t xml:space="preserve">With the dramatic increases in population and commercial development in the </w:t>
      </w:r>
      <w:r>
        <w:rPr>
          <w:rFonts w:ascii="Bookman Old Style" w:hAnsi="Bookman Old Style"/>
          <w:color w:val="000000"/>
        </w:rPr>
        <w:t xml:space="preserve">City of Pasco </w:t>
      </w:r>
      <w:r w:rsidRPr="00B2602F">
        <w:rPr>
          <w:rFonts w:ascii="Bookman Old Style" w:hAnsi="Bookman Old Style"/>
          <w:color w:val="000000"/>
        </w:rPr>
        <w:t>that has occurred in recent years, the effects of a major flood event could be long-term and very difficult to overcome.</w:t>
      </w:r>
    </w:p>
    <w:p w:rsidR="00B46E00" w:rsidRDefault="000E6665" w:rsidP="00B46E00">
      <w:pPr>
        <w:autoSpaceDE w:val="0"/>
        <w:autoSpaceDN w:val="0"/>
        <w:adjustRightInd w:val="0"/>
        <w:spacing w:line="240" w:lineRule="auto"/>
        <w:jc w:val="both"/>
        <w:rPr>
          <w:rFonts w:ascii="Bookman Old Style" w:hAnsi="Bookman Old Style"/>
          <w:color w:val="000000"/>
        </w:rPr>
      </w:pPr>
      <w:r>
        <w:rPr>
          <w:rFonts w:ascii="Bookman Old Style" w:hAnsi="Bookman Old Style"/>
          <w:color w:val="000000"/>
        </w:rPr>
        <w:t>The map below indicates the Flood Map of the Columbia River and the Esquatzel Coulee for the City of Pasco.</w:t>
      </w:r>
    </w:p>
    <w:p w:rsidR="000E6665" w:rsidRPr="00B2602F" w:rsidRDefault="000E6665" w:rsidP="00B46E00">
      <w:pPr>
        <w:autoSpaceDE w:val="0"/>
        <w:autoSpaceDN w:val="0"/>
        <w:adjustRightInd w:val="0"/>
        <w:spacing w:line="240" w:lineRule="auto"/>
        <w:jc w:val="center"/>
        <w:rPr>
          <w:rFonts w:ascii="Bookman Old Style" w:hAnsi="Bookman Old Style"/>
          <w:color w:val="000000"/>
        </w:rPr>
      </w:pPr>
      <w:r>
        <w:rPr>
          <w:rFonts w:ascii="Bookman Old Style" w:hAnsi="Bookman Old Style"/>
          <w:noProof/>
          <w:color w:val="000000"/>
        </w:rPr>
        <w:drawing>
          <wp:inline distT="0" distB="0" distL="0" distR="0" wp14:anchorId="69B80A14" wp14:editId="546783DF">
            <wp:extent cx="5275954" cy="3676248"/>
            <wp:effectExtent l="0" t="0" r="1270" b="635"/>
            <wp:docPr id="32" name="Picture 32" descr="C:\Users\hared\Desktop\Flood Map City of P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ed\Desktop\Flood Map City of Pas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505" cy="3678026"/>
                    </a:xfrm>
                    <a:prstGeom prst="rect">
                      <a:avLst/>
                    </a:prstGeom>
                    <a:noFill/>
                    <a:ln>
                      <a:noFill/>
                    </a:ln>
                  </pic:spPr>
                </pic:pic>
              </a:graphicData>
            </a:graphic>
          </wp:inline>
        </w:drawing>
      </w:r>
    </w:p>
    <w:p w:rsidR="00B46E00" w:rsidRDefault="00B46E00" w:rsidP="000E6665">
      <w:pPr>
        <w:rPr>
          <w:rFonts w:ascii="Bookman Old Style" w:hAnsi="Bookman Old Style"/>
          <w:b/>
          <w:i/>
        </w:rPr>
      </w:pPr>
    </w:p>
    <w:p w:rsidR="000E6665" w:rsidRPr="00DA10F6" w:rsidRDefault="000E6665" w:rsidP="000E6665">
      <w:pPr>
        <w:rPr>
          <w:rFonts w:ascii="Bookman Old Style" w:hAnsi="Bookman Old Style"/>
          <w:b/>
          <w:i/>
        </w:rPr>
      </w:pPr>
      <w:r w:rsidRPr="00DA10F6">
        <w:rPr>
          <w:rFonts w:ascii="Bookman Old Style" w:hAnsi="Bookman Old Style"/>
          <w:b/>
          <w:i/>
        </w:rPr>
        <w:t>Earthquake Potential</w:t>
      </w:r>
      <w:r>
        <w:rPr>
          <w:rFonts w:ascii="Bookman Old Style" w:hAnsi="Bookman Old Style"/>
          <w:b/>
          <w:i/>
        </w:rPr>
        <w:tab/>
      </w:r>
      <w:r>
        <w:rPr>
          <w:rFonts w:ascii="Bookman Old Style" w:hAnsi="Bookman Old Style"/>
          <w:b/>
          <w:i/>
        </w:rPr>
        <w:tab/>
      </w:r>
      <w:r>
        <w:rPr>
          <w:rFonts w:ascii="Bookman Old Style" w:hAnsi="Bookman Old Style"/>
          <w:b/>
          <w:i/>
        </w:rPr>
        <w:tab/>
      </w:r>
      <w:r>
        <w:rPr>
          <w:rFonts w:ascii="Bookman Old Style" w:hAnsi="Bookman Old Style"/>
          <w:b/>
          <w:i/>
        </w:rPr>
        <w:tab/>
      </w:r>
      <w:r>
        <w:rPr>
          <w:rFonts w:ascii="Bookman Old Style" w:hAnsi="Bookman Old Style"/>
          <w:b/>
          <w:i/>
        </w:rPr>
        <w:tab/>
      </w:r>
    </w:p>
    <w:p w:rsidR="000E6665" w:rsidRDefault="000E6665" w:rsidP="008C541A">
      <w:pPr>
        <w:spacing w:line="240" w:lineRule="auto"/>
        <w:jc w:val="both"/>
        <w:rPr>
          <w:rFonts w:ascii="Bookman Old Style" w:hAnsi="Bookman Old Style"/>
        </w:rPr>
      </w:pPr>
      <w:r>
        <w:rPr>
          <w:rFonts w:ascii="Bookman Old Style" w:hAnsi="Bookman Old Style"/>
        </w:rPr>
        <w:t xml:space="preserve">Washington ranks second in the nation (after California) among states susceptible to earthquake loss according to a Federal Emergency Management Agency (FEMA) study. More than 1, 000 earthquakes are recorded in the state annually, the vast majority of these occurring west of the Cascade Mountains.  Most of these earthquakes are so small that only sensitive instruments can detect them.  </w:t>
      </w:r>
    </w:p>
    <w:p w:rsidR="000E6665" w:rsidRDefault="000E6665" w:rsidP="008C541A">
      <w:pPr>
        <w:spacing w:line="240" w:lineRule="auto"/>
        <w:jc w:val="both"/>
        <w:rPr>
          <w:rFonts w:ascii="Bookman Old Style" w:hAnsi="Bookman Old Style"/>
        </w:rPr>
      </w:pPr>
      <w:r>
        <w:rPr>
          <w:rFonts w:ascii="Bookman Old Style" w:hAnsi="Bookman Old Style"/>
        </w:rPr>
        <w:t>Eastern Washington has experienced damaging earthquakes in the past.  Since 1872, there have only been two significant earthquakes (magnitude 5+).  However, since 1997, there have been 20+ notable (greater than magnitude 3) earthquakes in eastern Washington. The City of Pasco is located within close proximity to the Wallula Gap and Saddle Mountain geological fault lines. Both fault lines were previously believed to be inactive. However, recent analysis by the USGS has determined that the Wallula Gap fault is active and the Saddle Mountain fault line is highly probable.  USGS data indicates that the region has experienced sixteen magnitude 3 or higher earthquakes between 1970 and 2011.</w:t>
      </w:r>
    </w:p>
    <w:p w:rsidR="008C541A" w:rsidRDefault="008C541A" w:rsidP="000E6665">
      <w:pPr>
        <w:rPr>
          <w:rFonts w:ascii="Bookman Old Style" w:hAnsi="Bookman Old Style"/>
        </w:rPr>
      </w:pPr>
    </w:p>
    <w:p w:rsidR="000E6665" w:rsidRDefault="000E6665" w:rsidP="008C541A">
      <w:pPr>
        <w:spacing w:line="240" w:lineRule="auto"/>
        <w:jc w:val="both"/>
        <w:rPr>
          <w:rFonts w:ascii="Bookman Old Style" w:hAnsi="Bookman Old Style"/>
        </w:rPr>
      </w:pPr>
      <w:r>
        <w:rPr>
          <w:rFonts w:ascii="Bookman Old Style" w:hAnsi="Bookman Old Style"/>
        </w:rPr>
        <w:t>Recent studies indicate that a large magnitude event would significantly impact the critical infrastructure and response capabilities of the Tri-Cities region.</w:t>
      </w:r>
    </w:p>
    <w:p w:rsidR="000E6665" w:rsidRDefault="000E6665" w:rsidP="000E6665">
      <w:pPr>
        <w:jc w:val="center"/>
        <w:rPr>
          <w:rFonts w:ascii="Bookman Old Style" w:hAnsi="Bookman Old Style"/>
          <w:color w:val="808080" w:themeColor="background1" w:themeShade="80"/>
        </w:rPr>
      </w:pPr>
      <w:r>
        <w:rPr>
          <w:rFonts w:ascii="Bookman Old Style" w:hAnsi="Bookman Old Style"/>
          <w:noProof/>
          <w:color w:val="808080" w:themeColor="background1" w:themeShade="80"/>
        </w:rPr>
        <w:drawing>
          <wp:inline distT="0" distB="0" distL="0" distR="0" wp14:anchorId="223ADD5A" wp14:editId="474A8948">
            <wp:extent cx="3895725" cy="32630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Faults.JPG"/>
                    <pic:cNvPicPr/>
                  </pic:nvPicPr>
                  <pic:blipFill>
                    <a:blip r:embed="rId16">
                      <a:extLst>
                        <a:ext uri="{28A0092B-C50C-407E-A947-70E740481C1C}">
                          <a14:useLocalDpi xmlns:a14="http://schemas.microsoft.com/office/drawing/2010/main" val="0"/>
                        </a:ext>
                      </a:extLst>
                    </a:blip>
                    <a:stretch>
                      <a:fillRect/>
                    </a:stretch>
                  </pic:blipFill>
                  <pic:spPr>
                    <a:xfrm>
                      <a:off x="0" y="0"/>
                      <a:ext cx="3895725" cy="3263086"/>
                    </a:xfrm>
                    <a:prstGeom prst="rect">
                      <a:avLst/>
                    </a:prstGeom>
                  </pic:spPr>
                </pic:pic>
              </a:graphicData>
            </a:graphic>
          </wp:inline>
        </w:drawing>
      </w:r>
    </w:p>
    <w:p w:rsidR="000E6665" w:rsidRPr="00EE3482" w:rsidRDefault="000E6665" w:rsidP="000E6665">
      <w:pPr>
        <w:jc w:val="center"/>
        <w:rPr>
          <w:rFonts w:ascii="Bookman Old Style" w:hAnsi="Bookman Old Style"/>
          <w:b/>
          <w:color w:val="808080" w:themeColor="background1" w:themeShade="80"/>
        </w:rPr>
      </w:pPr>
      <w:r w:rsidRPr="00EE3482">
        <w:rPr>
          <w:rFonts w:ascii="Bookman Old Style" w:hAnsi="Bookman Old Style"/>
          <w:b/>
        </w:rPr>
        <w:t>Active Fault Lines within proximity of the City of Pasco</w:t>
      </w:r>
    </w:p>
    <w:p w:rsidR="000E6665" w:rsidRDefault="000E6665" w:rsidP="000E6665">
      <w:pPr>
        <w:jc w:val="center"/>
        <w:rPr>
          <w:rFonts w:ascii="Bookman Old Style" w:hAnsi="Bookman Old Style"/>
          <w:color w:val="808080" w:themeColor="background1" w:themeShade="80"/>
        </w:rPr>
      </w:pPr>
      <w:r>
        <w:rPr>
          <w:rFonts w:ascii="Bookman Old Style" w:hAnsi="Bookman Old Style"/>
          <w:noProof/>
          <w:color w:val="808080" w:themeColor="background1" w:themeShade="80"/>
        </w:rPr>
        <w:lastRenderedPageBreak/>
        <w:drawing>
          <wp:inline distT="0" distB="0" distL="0" distR="0" wp14:anchorId="118162DB" wp14:editId="2BBA1AEA">
            <wp:extent cx="4356059" cy="338106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quake Mags.png"/>
                    <pic:cNvPicPr/>
                  </pic:nvPicPr>
                  <pic:blipFill>
                    <a:blip r:embed="rId17">
                      <a:extLst>
                        <a:ext uri="{28A0092B-C50C-407E-A947-70E740481C1C}">
                          <a14:useLocalDpi xmlns:a14="http://schemas.microsoft.com/office/drawing/2010/main" val="0"/>
                        </a:ext>
                      </a:extLst>
                    </a:blip>
                    <a:stretch>
                      <a:fillRect/>
                    </a:stretch>
                  </pic:blipFill>
                  <pic:spPr>
                    <a:xfrm>
                      <a:off x="0" y="0"/>
                      <a:ext cx="4361427" cy="3385232"/>
                    </a:xfrm>
                    <a:prstGeom prst="rect">
                      <a:avLst/>
                    </a:prstGeom>
                  </pic:spPr>
                </pic:pic>
              </a:graphicData>
            </a:graphic>
          </wp:inline>
        </w:drawing>
      </w:r>
    </w:p>
    <w:p w:rsidR="000E6665" w:rsidRPr="00EE3482" w:rsidRDefault="000E6665" w:rsidP="000E6665">
      <w:pPr>
        <w:jc w:val="center"/>
        <w:rPr>
          <w:rFonts w:ascii="Bookman Old Style" w:hAnsi="Bookman Old Style"/>
          <w:b/>
          <w:color w:val="808080" w:themeColor="background1" w:themeShade="80"/>
        </w:rPr>
      </w:pPr>
      <w:r w:rsidRPr="00EE3482">
        <w:rPr>
          <w:rFonts w:ascii="Bookman Old Style" w:hAnsi="Bookman Old Style"/>
          <w:b/>
        </w:rPr>
        <w:t>Historical Earthquakes in Franklin County Sept. 1969 – Sept. 2011</w:t>
      </w:r>
    </w:p>
    <w:p w:rsidR="000E6665" w:rsidRDefault="000E6665" w:rsidP="008C541A">
      <w:pPr>
        <w:spacing w:line="240" w:lineRule="auto"/>
        <w:jc w:val="both"/>
        <w:rPr>
          <w:rFonts w:ascii="Bookman Old Style" w:hAnsi="Bookman Old Style"/>
          <w:color w:val="808080" w:themeColor="background1" w:themeShade="80"/>
        </w:rPr>
      </w:pPr>
      <w:r>
        <w:rPr>
          <w:rFonts w:ascii="Bookman Old Style" w:hAnsi="Bookman Old Style"/>
        </w:rPr>
        <w:t>The HAZUS-MH Earthquake Event Report dated March 10, 2010, simulated a magnitude 7.35 earthquake event on the Saddle Mountain Fault line.  In summary, this report indicated that most of the structures within the City of Pasco would receive slight to moderate damage and approximately 50 structures would receive extensive damage.  Critical roadway networks (bridges) would be damaged, thus limiting the availability of auto and mutual aid resources and call-back of off-duty personnel.  Extensive electrical power outages would be reported with 20-60% of the utilities experiencing moderate damage.</w:t>
      </w:r>
    </w:p>
    <w:p w:rsidR="000E6665" w:rsidRDefault="000E6665" w:rsidP="000E6665">
      <w:pPr>
        <w:autoSpaceDE w:val="0"/>
        <w:autoSpaceDN w:val="0"/>
        <w:adjustRightInd w:val="0"/>
        <w:rPr>
          <w:rFonts w:ascii="Bookman Old Style" w:hAnsi="Bookman Old Style"/>
          <w:b/>
          <w:i/>
          <w:color w:val="000000"/>
        </w:rPr>
      </w:pPr>
      <w:r>
        <w:rPr>
          <w:rFonts w:ascii="Bookman Old Style" w:hAnsi="Bookman Old Style"/>
          <w:b/>
          <w:i/>
          <w:color w:val="000000"/>
        </w:rPr>
        <w:t>Volcanic Activity</w:t>
      </w:r>
    </w:p>
    <w:p w:rsidR="000E6665" w:rsidRDefault="000E6665" w:rsidP="008C541A">
      <w:pPr>
        <w:autoSpaceDE w:val="0"/>
        <w:autoSpaceDN w:val="0"/>
        <w:adjustRightInd w:val="0"/>
        <w:spacing w:line="240" w:lineRule="auto"/>
        <w:contextualSpacing/>
        <w:jc w:val="both"/>
        <w:rPr>
          <w:rFonts w:ascii="Bookman Old Style" w:hAnsi="Bookman Old Style"/>
          <w:color w:val="000000"/>
        </w:rPr>
      </w:pPr>
      <w:r>
        <w:rPr>
          <w:rFonts w:ascii="Bookman Old Style" w:hAnsi="Bookman Old Style"/>
          <w:color w:val="000000"/>
        </w:rPr>
        <w:t>The City of Pasco</w:t>
      </w:r>
      <w:r w:rsidRPr="00B2602F">
        <w:rPr>
          <w:rFonts w:ascii="Bookman Old Style" w:hAnsi="Bookman Old Style"/>
          <w:color w:val="000000"/>
        </w:rPr>
        <w:t xml:space="preserve"> can be affected by </w:t>
      </w:r>
      <w:r w:rsidR="00B46E00">
        <w:rPr>
          <w:rFonts w:ascii="Bookman Old Style" w:hAnsi="Bookman Old Style"/>
          <w:color w:val="000000"/>
        </w:rPr>
        <w:t xml:space="preserve">the </w:t>
      </w:r>
      <w:r w:rsidRPr="00B2602F">
        <w:rPr>
          <w:rFonts w:ascii="Bookman Old Style" w:hAnsi="Bookman Old Style"/>
          <w:color w:val="000000"/>
        </w:rPr>
        <w:t>tephra</w:t>
      </w:r>
      <w:r w:rsidR="00B46E00">
        <w:rPr>
          <w:rFonts w:ascii="Bookman Old Style" w:hAnsi="Bookman Old Style"/>
          <w:color w:val="000000"/>
        </w:rPr>
        <w:t xml:space="preserve"> outflow</w:t>
      </w:r>
      <w:r w:rsidRPr="00B2602F">
        <w:rPr>
          <w:rFonts w:ascii="Bookman Old Style" w:hAnsi="Bookman Old Style"/>
          <w:color w:val="000000"/>
        </w:rPr>
        <w:t xml:space="preserve"> associated with a volcanic eruption from the Cascade Range volcanoes.  All of the other hazards associated with volcanoes (pyroclastic flow, lahars, lateral blast, lava flow, etc.) are too remote to be conside</w:t>
      </w:r>
      <w:r>
        <w:rPr>
          <w:rFonts w:ascii="Bookman Old Style" w:hAnsi="Bookman Old Style"/>
          <w:color w:val="000000"/>
        </w:rPr>
        <w:t xml:space="preserve">red a serious threat. </w:t>
      </w:r>
    </w:p>
    <w:p w:rsidR="008C541A" w:rsidRPr="00B2602F" w:rsidRDefault="008C541A" w:rsidP="008C541A">
      <w:pPr>
        <w:autoSpaceDE w:val="0"/>
        <w:autoSpaceDN w:val="0"/>
        <w:adjustRightInd w:val="0"/>
        <w:spacing w:line="240" w:lineRule="auto"/>
        <w:contextualSpacing/>
        <w:jc w:val="both"/>
        <w:rPr>
          <w:rFonts w:ascii="Bookman Old Style" w:hAnsi="Bookman Old Style"/>
          <w:color w:val="000000"/>
        </w:rPr>
      </w:pPr>
    </w:p>
    <w:p w:rsidR="000E6665" w:rsidRDefault="000E6665" w:rsidP="008C541A">
      <w:pPr>
        <w:autoSpaceDE w:val="0"/>
        <w:autoSpaceDN w:val="0"/>
        <w:adjustRightInd w:val="0"/>
        <w:spacing w:line="240" w:lineRule="auto"/>
        <w:contextualSpacing/>
        <w:jc w:val="both"/>
        <w:rPr>
          <w:rFonts w:ascii="Bookman Old Style" w:hAnsi="Bookman Old Style"/>
          <w:color w:val="000000"/>
        </w:rPr>
      </w:pPr>
      <w:r w:rsidRPr="00B2602F">
        <w:rPr>
          <w:rFonts w:ascii="Bookman Old Style" w:hAnsi="Bookman Old Style"/>
          <w:color w:val="000000"/>
        </w:rPr>
        <w:t xml:space="preserve">Geologic evidence indicates that most of the Cascade Range volcanoes have erupted in the past 4,000 years and will no doubt erupt again in the foreseeable future. Due to the topography of the region and the prevailing weather patterns, eruption events on Mount St. Helens, Mount Rainier, Mount Hood, and Mount Adams are the volcanoes most likely to produce conditions that would adversely impact portions of </w:t>
      </w:r>
      <w:r>
        <w:rPr>
          <w:rFonts w:ascii="Bookman Old Style" w:hAnsi="Bookman Old Style"/>
          <w:color w:val="000000"/>
        </w:rPr>
        <w:t>the City of Pasco</w:t>
      </w:r>
      <w:r w:rsidRPr="00B2602F">
        <w:rPr>
          <w:rFonts w:ascii="Bookman Old Style" w:hAnsi="Bookman Old Style"/>
          <w:color w:val="000000"/>
        </w:rPr>
        <w:t>.</w:t>
      </w:r>
    </w:p>
    <w:p w:rsidR="008C541A" w:rsidRPr="00B2602F" w:rsidRDefault="008C541A" w:rsidP="008C541A">
      <w:pPr>
        <w:autoSpaceDE w:val="0"/>
        <w:autoSpaceDN w:val="0"/>
        <w:adjustRightInd w:val="0"/>
        <w:spacing w:line="240" w:lineRule="auto"/>
        <w:contextualSpacing/>
        <w:jc w:val="both"/>
        <w:rPr>
          <w:rFonts w:ascii="Bookman Old Style" w:hAnsi="Bookman Old Style"/>
          <w:color w:val="000000"/>
        </w:rPr>
      </w:pPr>
    </w:p>
    <w:p w:rsidR="000E6665" w:rsidRDefault="000E6665" w:rsidP="008C541A">
      <w:pPr>
        <w:autoSpaceDE w:val="0"/>
        <w:autoSpaceDN w:val="0"/>
        <w:adjustRightInd w:val="0"/>
        <w:spacing w:line="240" w:lineRule="auto"/>
        <w:contextualSpacing/>
        <w:jc w:val="both"/>
        <w:rPr>
          <w:rFonts w:ascii="Bookman Old Style" w:hAnsi="Bookman Old Style"/>
          <w:color w:val="000000"/>
        </w:rPr>
      </w:pPr>
      <w:r w:rsidRPr="00B2602F">
        <w:rPr>
          <w:rFonts w:ascii="Bookman Old Style" w:hAnsi="Bookman Old Style"/>
          <w:color w:val="000000"/>
        </w:rPr>
        <w:t>Eruptions in the Cascades have occurred at an average rate of 1-2 per century during the past 4,000 years, and future eruptions are certain. Seven volcanoes in the Cascades have erupted within the past 225</w:t>
      </w:r>
      <w:r>
        <w:rPr>
          <w:rFonts w:ascii="Bookman Old Style" w:hAnsi="Bookman Old Style"/>
          <w:color w:val="000000"/>
        </w:rPr>
        <w:t xml:space="preserve"> years.</w:t>
      </w:r>
      <w:r w:rsidRPr="00B2602F">
        <w:rPr>
          <w:rFonts w:ascii="Bookman Old Style" w:hAnsi="Bookman Old Style"/>
          <w:color w:val="000000"/>
        </w:rPr>
        <w:t xml:space="preserve"> The most recent volcanic eruption </w:t>
      </w:r>
      <w:r w:rsidRPr="00B2602F">
        <w:rPr>
          <w:rFonts w:ascii="Bookman Old Style" w:hAnsi="Bookman Old Style"/>
          <w:color w:val="000000"/>
        </w:rPr>
        <w:lastRenderedPageBreak/>
        <w:t>events within the Cascade Range occurred at Mount St. Helens in Washington (1980-1986) and at Lassen Peak in California (1914-1917).</w:t>
      </w:r>
    </w:p>
    <w:p w:rsidR="008C541A" w:rsidRPr="00B2602F" w:rsidRDefault="008C541A" w:rsidP="008C541A">
      <w:pPr>
        <w:autoSpaceDE w:val="0"/>
        <w:autoSpaceDN w:val="0"/>
        <w:adjustRightInd w:val="0"/>
        <w:spacing w:line="240" w:lineRule="auto"/>
        <w:contextualSpacing/>
        <w:jc w:val="both"/>
        <w:rPr>
          <w:rFonts w:ascii="Bookman Old Style" w:hAnsi="Bookman Old Style"/>
          <w:b/>
          <w:bCs/>
          <w:color w:val="000000"/>
        </w:rPr>
      </w:pPr>
    </w:p>
    <w:p w:rsidR="000E6665" w:rsidRDefault="000E6665" w:rsidP="008C541A">
      <w:pPr>
        <w:autoSpaceDE w:val="0"/>
        <w:autoSpaceDN w:val="0"/>
        <w:adjustRightInd w:val="0"/>
        <w:spacing w:line="240" w:lineRule="auto"/>
        <w:contextualSpacing/>
        <w:jc w:val="both"/>
        <w:rPr>
          <w:rFonts w:ascii="Bookman Old Style" w:hAnsi="Bookman Old Style"/>
        </w:rPr>
      </w:pPr>
      <w:r w:rsidRPr="00B2602F">
        <w:rPr>
          <w:rFonts w:ascii="Bookman Old Style" w:hAnsi="Bookman Old Style"/>
        </w:rPr>
        <w:t>Tephra hazards vary from a nuisance to life-threatening. Tephra plumes pose a serious hazard to aviation because particles in plumes can damage aircraft systems and jet engines, resulting in loss of power and damage to equipment.  In addition, particles in a plume can sandblast aircraft windshields such that visibility is lost.  On the ground, the hazards to life from tephra vary depending upon the amount that falls and the health of individuals.  In general tephra hazards diminish downwind.  High concentrations of tephra, such as ash, can make breathing difficult for people and livestock.  Burial by tephra can collapse roofs of buildings and other structures, break power and telephone lines, and damage or kill vegetation.  Wet tephra is 2 to 3 times heavier than dry uncompacted tephra and adheres better to sloping surfaces. Ten centimeters (4 inches) of wet tephra impose a load in the range of 20 to 25 lb/ft</w:t>
      </w:r>
      <w:r w:rsidRPr="00B2602F">
        <w:rPr>
          <w:rFonts w:ascii="Bookman Old Style" w:hAnsi="Bookman Old Style"/>
          <w:vertAlign w:val="superscript"/>
        </w:rPr>
        <w:t>2</w:t>
      </w:r>
      <w:r w:rsidRPr="00B2602F">
        <w:rPr>
          <w:rFonts w:ascii="Bookman Old Style" w:hAnsi="Bookman Old Style"/>
        </w:rPr>
        <w:t xml:space="preserve"> , this equates to between 2,000 and 2,500 pounds for a 10’ x 10’ area; sufficient to cause some roofs to collapse.  Minor amounts of tephra pose little threat to healthy individuals but may affect people with respiratory problems, the elderly, infants, and the infirm.  Even minor tephra falls, however, can be detrimental to machinery (cars, lawn mowers, computers, etc.), can short out power transformers and electric lines, can be a nuisance to remove from roads and airports, can cause panic due to darkness during daylight hours, can cause traffic accidents because of reduced visibility, clog waterways such as municipal water system uptakes, wastewater treatment plants, irriga</w:t>
      </w:r>
      <w:r>
        <w:rPr>
          <w:rFonts w:ascii="Bookman Old Style" w:hAnsi="Bookman Old Style"/>
        </w:rPr>
        <w:t>tion ditches and machinery.</w:t>
      </w:r>
    </w:p>
    <w:p w:rsidR="008C541A" w:rsidRPr="00B2602F" w:rsidRDefault="008C541A" w:rsidP="008C541A">
      <w:pPr>
        <w:autoSpaceDE w:val="0"/>
        <w:autoSpaceDN w:val="0"/>
        <w:adjustRightInd w:val="0"/>
        <w:spacing w:line="240" w:lineRule="auto"/>
        <w:contextualSpacing/>
        <w:jc w:val="both"/>
        <w:rPr>
          <w:rFonts w:ascii="Bookman Old Style" w:hAnsi="Bookman Old Style" w:cs="AvantGardeMdBT-NormalItalic"/>
          <w:sz w:val="20"/>
          <w:szCs w:val="20"/>
        </w:rPr>
      </w:pPr>
    </w:p>
    <w:p w:rsidR="008C541A" w:rsidRDefault="000E6665" w:rsidP="008C541A">
      <w:pPr>
        <w:autoSpaceDE w:val="0"/>
        <w:autoSpaceDN w:val="0"/>
        <w:adjustRightInd w:val="0"/>
        <w:spacing w:line="240" w:lineRule="auto"/>
        <w:contextualSpacing/>
        <w:jc w:val="both"/>
        <w:rPr>
          <w:rFonts w:ascii="Bookman Old Style" w:hAnsi="Bookman Old Style"/>
          <w:color w:val="000000"/>
        </w:rPr>
      </w:pPr>
      <w:r w:rsidRPr="00B2602F">
        <w:rPr>
          <w:rFonts w:ascii="Bookman Old Style" w:hAnsi="Bookman Old Style"/>
          <w:color w:val="000000"/>
        </w:rPr>
        <w:t xml:space="preserve">Ash can clog and/or restrict breathing passages and may cause death; however, a short period of exposure has not been found to be harmful to persons in normal health.  When an ash cloud mixes with rain, sulfur dioxide combines with water to form diluted sulfuric acid that may cause minor (but painful) burns to skin, eyes, nose, throat, and mucous membranes. </w:t>
      </w:r>
    </w:p>
    <w:p w:rsidR="00EE3482" w:rsidRDefault="00EE3482" w:rsidP="008C541A">
      <w:pPr>
        <w:autoSpaceDE w:val="0"/>
        <w:autoSpaceDN w:val="0"/>
        <w:adjustRightInd w:val="0"/>
        <w:spacing w:line="240" w:lineRule="auto"/>
        <w:contextualSpacing/>
        <w:jc w:val="both"/>
        <w:rPr>
          <w:rFonts w:ascii="Bookman Old Style" w:hAnsi="Bookman Old Style"/>
          <w:color w:val="000000"/>
        </w:rPr>
      </w:pPr>
    </w:p>
    <w:p w:rsidR="000E6665" w:rsidRDefault="000E6665" w:rsidP="008C541A">
      <w:pPr>
        <w:autoSpaceDE w:val="0"/>
        <w:autoSpaceDN w:val="0"/>
        <w:adjustRightInd w:val="0"/>
        <w:spacing w:line="240" w:lineRule="auto"/>
        <w:contextualSpacing/>
        <w:jc w:val="both"/>
        <w:rPr>
          <w:rFonts w:ascii="Bookman Old Style" w:hAnsi="Bookman Old Style"/>
        </w:rPr>
      </w:pPr>
      <w:r w:rsidRPr="00B2602F">
        <w:rPr>
          <w:rFonts w:ascii="Bookman Old Style" w:hAnsi="Bookman Old Style"/>
          <w:color w:val="000000"/>
        </w:rPr>
        <w:t xml:space="preserve">In addition, acid rains may also affect water supplies and agricultural products.  </w:t>
      </w:r>
      <w:r w:rsidRPr="00B2602F">
        <w:rPr>
          <w:rFonts w:ascii="Bookman Old Style" w:hAnsi="Bookman Old Style"/>
        </w:rPr>
        <w:t>Even fairly small concentrations of ash fall can effectively wipe out all crops in a large area for at least one season, longer if the concentrations are deep enough.</w:t>
      </w:r>
    </w:p>
    <w:p w:rsidR="000E6665" w:rsidRDefault="000E6665" w:rsidP="008C541A">
      <w:pPr>
        <w:autoSpaceDE w:val="0"/>
        <w:autoSpaceDN w:val="0"/>
        <w:adjustRightInd w:val="0"/>
        <w:spacing w:line="240" w:lineRule="auto"/>
        <w:jc w:val="both"/>
        <w:rPr>
          <w:rFonts w:ascii="Bookman Old Style" w:hAnsi="Bookman Old Style"/>
          <w:color w:val="000000"/>
        </w:rPr>
      </w:pPr>
      <w:r w:rsidRPr="00B2602F">
        <w:rPr>
          <w:rFonts w:ascii="Bookman Old Style" w:hAnsi="Bookman Old Style"/>
          <w:color w:val="000000"/>
        </w:rPr>
        <w:t xml:space="preserve">Because of the flow direction of prevailing winds, the majority of airborne ash would most likely be carried toward the population </w:t>
      </w:r>
      <w:r>
        <w:rPr>
          <w:rFonts w:ascii="Bookman Old Style" w:hAnsi="Bookman Old Style"/>
          <w:color w:val="000000"/>
        </w:rPr>
        <w:t>of Pasco</w:t>
      </w:r>
      <w:r w:rsidRPr="00B2602F">
        <w:rPr>
          <w:rFonts w:ascii="Bookman Old Style" w:hAnsi="Bookman Old Style"/>
          <w:color w:val="000000"/>
        </w:rPr>
        <w:t xml:space="preserve"> should an eruption occur. </w:t>
      </w:r>
      <w:r>
        <w:rPr>
          <w:rFonts w:ascii="Bookman Old Style" w:hAnsi="Bookman Old Style"/>
          <w:color w:val="000000"/>
        </w:rPr>
        <w:t xml:space="preserve"> The City of Pasco</w:t>
      </w:r>
      <w:r w:rsidRPr="00B2602F">
        <w:rPr>
          <w:rFonts w:ascii="Bookman Old Style" w:hAnsi="Bookman Old Style"/>
          <w:color w:val="000000"/>
        </w:rPr>
        <w:t xml:space="preserve"> could receive tephra and ash from any number of Cascadian volcanoes however; Mount Adams, Mount St. Helens, Mount Rainier, and Mount Hood are the primary volcanoes of concern.  The 1980 eruption of Mount St. Helens produced enough ash fall to cover the northern portion of Franklin County</w:t>
      </w:r>
      <w:r>
        <w:rPr>
          <w:rFonts w:ascii="Bookman Old Style" w:hAnsi="Bookman Old Style"/>
          <w:color w:val="000000"/>
        </w:rPr>
        <w:t xml:space="preserve"> about ¼-inch.  The figure</w:t>
      </w:r>
      <w:r w:rsidRPr="00B2602F">
        <w:rPr>
          <w:rFonts w:ascii="Bookman Old Style" w:hAnsi="Bookman Old Style"/>
          <w:color w:val="000000"/>
        </w:rPr>
        <w:t xml:space="preserve"> that follow</w:t>
      </w:r>
      <w:r>
        <w:rPr>
          <w:rFonts w:ascii="Bookman Old Style" w:hAnsi="Bookman Old Style"/>
          <w:color w:val="000000"/>
        </w:rPr>
        <w:t>s</w:t>
      </w:r>
      <w:r w:rsidRPr="00B2602F">
        <w:rPr>
          <w:rFonts w:ascii="Bookman Old Style" w:hAnsi="Bookman Old Style"/>
          <w:color w:val="000000"/>
        </w:rPr>
        <w:t xml:space="preserve"> detail</w:t>
      </w:r>
      <w:r>
        <w:rPr>
          <w:rFonts w:ascii="Bookman Old Style" w:hAnsi="Bookman Old Style"/>
          <w:color w:val="000000"/>
        </w:rPr>
        <w:t>s</w:t>
      </w:r>
      <w:r w:rsidRPr="00B2602F">
        <w:rPr>
          <w:rFonts w:ascii="Bookman Old Style" w:hAnsi="Bookman Old Style"/>
          <w:color w:val="000000"/>
        </w:rPr>
        <w:t xml:space="preserve"> the probability of ash accumulation</w:t>
      </w:r>
      <w:r>
        <w:rPr>
          <w:rFonts w:ascii="Bookman Old Style" w:hAnsi="Bookman Old Style"/>
          <w:color w:val="000000"/>
        </w:rPr>
        <w:t>.</w:t>
      </w:r>
      <w:r w:rsidR="00EE3482">
        <w:rPr>
          <w:rFonts w:ascii="Bookman Old Style" w:hAnsi="Bookman Old Style"/>
          <w:color w:val="000000"/>
        </w:rPr>
        <w:t xml:space="preserve"> </w:t>
      </w:r>
      <w:r>
        <w:rPr>
          <w:rFonts w:ascii="Bookman Old Style" w:hAnsi="Bookman Old Style"/>
          <w:color w:val="000000"/>
        </w:rPr>
        <w:t>I</w:t>
      </w:r>
      <w:r w:rsidRPr="00B2602F">
        <w:rPr>
          <w:rFonts w:ascii="Bookman Old Style" w:hAnsi="Bookman Old Style"/>
          <w:color w:val="000000"/>
        </w:rPr>
        <w:t>f an eruption were to occur, the greatest threat to life, property, infrastructure, and the environment in Franklin County would most likely be from tephra originating from Mount Adams, Mount Hood, Mount Rainier, or Mount St. Helens.  Based on past events and especially the 1980 eruption of Mount St. Helens, future eruptions from any of these volcanoes</w:t>
      </w:r>
      <w:r>
        <w:rPr>
          <w:color w:val="000000"/>
        </w:rPr>
        <w:t xml:space="preserve"> </w:t>
      </w:r>
      <w:r w:rsidRPr="00B2602F">
        <w:rPr>
          <w:rFonts w:ascii="Bookman Old Style" w:hAnsi="Bookman Old Style"/>
          <w:color w:val="000000"/>
        </w:rPr>
        <w:t>will almost certainly be preceded by an increase i</w:t>
      </w:r>
      <w:r>
        <w:rPr>
          <w:rFonts w:ascii="Bookman Old Style" w:hAnsi="Bookman Old Style"/>
          <w:color w:val="000000"/>
        </w:rPr>
        <w:t>n seismic (earthquake) activity.</w:t>
      </w:r>
    </w:p>
    <w:p w:rsidR="00EE3482" w:rsidRDefault="00EE3482" w:rsidP="008C541A">
      <w:pPr>
        <w:autoSpaceDE w:val="0"/>
        <w:autoSpaceDN w:val="0"/>
        <w:adjustRightInd w:val="0"/>
        <w:spacing w:line="240" w:lineRule="auto"/>
        <w:jc w:val="both"/>
        <w:rPr>
          <w:rFonts w:ascii="Bookman Old Style" w:hAnsi="Bookman Old Style"/>
          <w:color w:val="000000"/>
        </w:rPr>
      </w:pPr>
    </w:p>
    <w:p w:rsidR="00EE3482" w:rsidRDefault="00EE3482" w:rsidP="008C541A">
      <w:pPr>
        <w:autoSpaceDE w:val="0"/>
        <w:autoSpaceDN w:val="0"/>
        <w:adjustRightInd w:val="0"/>
        <w:spacing w:line="240" w:lineRule="auto"/>
        <w:jc w:val="both"/>
        <w:rPr>
          <w:rFonts w:ascii="Bookman Old Style" w:hAnsi="Bookman Old Style"/>
          <w:color w:val="000000"/>
        </w:rPr>
      </w:pPr>
    </w:p>
    <w:p w:rsidR="00EE3482" w:rsidRDefault="00EE3482" w:rsidP="00EE3482">
      <w:pPr>
        <w:autoSpaceDE w:val="0"/>
        <w:autoSpaceDN w:val="0"/>
        <w:adjustRightInd w:val="0"/>
        <w:spacing w:line="240" w:lineRule="auto"/>
        <w:jc w:val="center"/>
        <w:rPr>
          <w:rFonts w:ascii="Bookman Old Style" w:hAnsi="Bookman Old Style"/>
          <w:color w:val="000000"/>
        </w:rPr>
      </w:pPr>
      <w:r>
        <w:rPr>
          <w:rFonts w:ascii="Bookman Old Style" w:hAnsi="Bookman Old Style"/>
          <w:noProof/>
          <w:color w:val="000000"/>
        </w:rPr>
        <w:lastRenderedPageBreak/>
        <w:drawing>
          <wp:inline distT="0" distB="0" distL="0" distR="0" wp14:anchorId="1DA7550F" wp14:editId="3776CFF4">
            <wp:extent cx="3865245" cy="28530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5245" cy="2853055"/>
                    </a:xfrm>
                    <a:prstGeom prst="rect">
                      <a:avLst/>
                    </a:prstGeom>
                    <a:noFill/>
                  </pic:spPr>
                </pic:pic>
              </a:graphicData>
            </a:graphic>
          </wp:inline>
        </w:drawing>
      </w:r>
    </w:p>
    <w:p w:rsidR="008C541A" w:rsidRDefault="008C541A" w:rsidP="008C541A">
      <w:pPr>
        <w:autoSpaceDE w:val="0"/>
        <w:autoSpaceDN w:val="0"/>
        <w:adjustRightInd w:val="0"/>
        <w:spacing w:line="240" w:lineRule="auto"/>
        <w:contextualSpacing/>
        <w:rPr>
          <w:rFonts w:ascii="Bookman Old Style" w:hAnsi="Bookman Old Style"/>
          <w:b/>
          <w:i/>
          <w:color w:val="000000"/>
        </w:rPr>
      </w:pPr>
    </w:p>
    <w:p w:rsidR="00EE3482" w:rsidRDefault="00EE3482" w:rsidP="008C541A">
      <w:pPr>
        <w:autoSpaceDE w:val="0"/>
        <w:autoSpaceDN w:val="0"/>
        <w:adjustRightInd w:val="0"/>
        <w:spacing w:line="240" w:lineRule="auto"/>
        <w:contextualSpacing/>
        <w:rPr>
          <w:rFonts w:ascii="Bookman Old Style" w:hAnsi="Bookman Old Style"/>
          <w:b/>
          <w:i/>
          <w:color w:val="000000"/>
        </w:rPr>
      </w:pPr>
    </w:p>
    <w:p w:rsidR="000E6665" w:rsidRDefault="000E6665" w:rsidP="008C541A">
      <w:pPr>
        <w:autoSpaceDE w:val="0"/>
        <w:autoSpaceDN w:val="0"/>
        <w:adjustRightInd w:val="0"/>
        <w:spacing w:line="240" w:lineRule="auto"/>
        <w:contextualSpacing/>
        <w:rPr>
          <w:rFonts w:ascii="Bookman Old Style" w:hAnsi="Bookman Old Style"/>
          <w:b/>
          <w:i/>
          <w:color w:val="000000"/>
        </w:rPr>
      </w:pPr>
      <w:r w:rsidRPr="00086773">
        <w:rPr>
          <w:rFonts w:ascii="Bookman Old Style" w:hAnsi="Bookman Old Style"/>
          <w:b/>
          <w:i/>
          <w:color w:val="000000"/>
        </w:rPr>
        <w:t>Climate Change</w:t>
      </w:r>
    </w:p>
    <w:p w:rsidR="00EE3482" w:rsidRDefault="00EE3482" w:rsidP="008C541A">
      <w:pPr>
        <w:autoSpaceDE w:val="0"/>
        <w:autoSpaceDN w:val="0"/>
        <w:adjustRightInd w:val="0"/>
        <w:spacing w:line="240" w:lineRule="auto"/>
        <w:contextualSpacing/>
        <w:rPr>
          <w:rFonts w:ascii="Bookman Old Style" w:hAnsi="Bookman Old Style"/>
          <w:b/>
          <w:i/>
          <w:color w:val="000000"/>
        </w:rPr>
      </w:pPr>
    </w:p>
    <w:p w:rsidR="000E6665" w:rsidRDefault="000E6665" w:rsidP="008C541A">
      <w:pPr>
        <w:autoSpaceDE w:val="0"/>
        <w:autoSpaceDN w:val="0"/>
        <w:adjustRightInd w:val="0"/>
        <w:spacing w:line="240" w:lineRule="auto"/>
        <w:contextualSpacing/>
        <w:jc w:val="both"/>
        <w:rPr>
          <w:rFonts w:ascii="Bookman Old Style" w:hAnsi="Bookman Old Style"/>
          <w:color w:val="000000"/>
        </w:rPr>
      </w:pPr>
      <w:r>
        <w:rPr>
          <w:rFonts w:ascii="Bookman Old Style" w:hAnsi="Bookman Old Style"/>
          <w:color w:val="000000"/>
        </w:rPr>
        <w:t>The nature and extent of this threat contains limited documentation.  The most important effect is that climate change will likely have a measurable impact on the occurrence and severity of natural hazards.  The change most closely associated with this risk is that projected temperature warming is expected to increase extreme heat events and decrease extreme cold events.  There will likely be changes in typical weather patterns and the development and longevity of El Nino and El Nina events.</w:t>
      </w:r>
    </w:p>
    <w:p w:rsidR="00705AA5" w:rsidRDefault="00705AA5" w:rsidP="008C541A">
      <w:pPr>
        <w:autoSpaceDE w:val="0"/>
        <w:autoSpaceDN w:val="0"/>
        <w:adjustRightInd w:val="0"/>
        <w:spacing w:line="240" w:lineRule="auto"/>
        <w:contextualSpacing/>
        <w:jc w:val="both"/>
        <w:rPr>
          <w:rFonts w:ascii="Bookman Old Style" w:hAnsi="Bookman Old Style"/>
          <w:color w:val="000000"/>
        </w:rPr>
      </w:pPr>
    </w:p>
    <w:p w:rsidR="000E6665" w:rsidRDefault="000E6665" w:rsidP="008C541A">
      <w:pPr>
        <w:autoSpaceDE w:val="0"/>
        <w:autoSpaceDN w:val="0"/>
        <w:adjustRightInd w:val="0"/>
        <w:spacing w:line="240" w:lineRule="auto"/>
        <w:contextualSpacing/>
        <w:rPr>
          <w:rFonts w:ascii="Bookman Old Style" w:hAnsi="Bookman Old Style"/>
          <w:b/>
          <w:i/>
          <w:color w:val="000000"/>
        </w:rPr>
      </w:pPr>
      <w:r w:rsidRPr="00086773">
        <w:rPr>
          <w:rFonts w:ascii="Bookman Old Style" w:hAnsi="Bookman Old Style"/>
          <w:b/>
          <w:i/>
          <w:color w:val="000000"/>
        </w:rPr>
        <w:t>Drought and Water Shortage</w:t>
      </w:r>
    </w:p>
    <w:p w:rsidR="00705AA5" w:rsidRDefault="00705AA5" w:rsidP="008C541A">
      <w:pPr>
        <w:autoSpaceDE w:val="0"/>
        <w:autoSpaceDN w:val="0"/>
        <w:adjustRightInd w:val="0"/>
        <w:spacing w:line="240" w:lineRule="auto"/>
        <w:contextualSpacing/>
        <w:rPr>
          <w:rFonts w:ascii="Bookman Old Style" w:hAnsi="Bookman Old Style"/>
          <w:b/>
          <w:i/>
          <w:color w:val="000000"/>
        </w:rPr>
      </w:pPr>
    </w:p>
    <w:p w:rsidR="000E6665" w:rsidRDefault="000E6665" w:rsidP="00705AA5">
      <w:pPr>
        <w:autoSpaceDE w:val="0"/>
        <w:autoSpaceDN w:val="0"/>
        <w:adjustRightInd w:val="0"/>
        <w:spacing w:line="240" w:lineRule="auto"/>
        <w:contextualSpacing/>
        <w:jc w:val="both"/>
        <w:rPr>
          <w:rFonts w:ascii="Bookman Old Style" w:hAnsi="Bookman Old Style"/>
          <w:color w:val="000000"/>
        </w:rPr>
      </w:pPr>
      <w:r>
        <w:rPr>
          <w:rFonts w:ascii="Bookman Old Style" w:hAnsi="Bookman Old Style"/>
          <w:color w:val="000000"/>
        </w:rPr>
        <w:t>D</w:t>
      </w:r>
      <w:r w:rsidRPr="00086773">
        <w:rPr>
          <w:rFonts w:ascii="Bookman Old Style" w:hAnsi="Bookman Old Style"/>
          <w:color w:val="000000"/>
        </w:rPr>
        <w:t>rought originates from a deficiency of precipitation over an extended period of time, usually a season or more; drought is also related to the timing and the intensity or number of rainfall events. Other climactic factors such as high temperature, high wind, and low relative humidity are associated with drought in many regions of the world and can significantly aggravate the severity of a drought. Drought differs from aridity, a permanent climactic feature common to regions with low rainfall.</w:t>
      </w:r>
    </w:p>
    <w:p w:rsidR="00705AA5" w:rsidRPr="00086773" w:rsidRDefault="00705AA5" w:rsidP="00705AA5">
      <w:pPr>
        <w:autoSpaceDE w:val="0"/>
        <w:autoSpaceDN w:val="0"/>
        <w:adjustRightInd w:val="0"/>
        <w:spacing w:line="240" w:lineRule="auto"/>
        <w:contextualSpacing/>
        <w:jc w:val="both"/>
        <w:rPr>
          <w:rFonts w:ascii="Bookman Old Style" w:hAnsi="Bookman Old Style"/>
          <w:color w:val="000000"/>
        </w:rPr>
      </w:pPr>
    </w:p>
    <w:p w:rsidR="000E6665" w:rsidRPr="00EE3482" w:rsidRDefault="000E6665" w:rsidP="00705AA5">
      <w:pPr>
        <w:autoSpaceDE w:val="0"/>
        <w:autoSpaceDN w:val="0"/>
        <w:adjustRightInd w:val="0"/>
        <w:spacing w:line="240" w:lineRule="auto"/>
        <w:contextualSpacing/>
        <w:jc w:val="both"/>
        <w:rPr>
          <w:rFonts w:ascii="Bookman Old Style" w:hAnsi="Bookman Old Style"/>
          <w:color w:val="000000"/>
          <w:u w:val="single"/>
        </w:rPr>
      </w:pPr>
      <w:r w:rsidRPr="00086773">
        <w:rPr>
          <w:rFonts w:ascii="Bookman Old Style" w:hAnsi="Bookman Old Style"/>
          <w:color w:val="000000"/>
        </w:rPr>
        <w:t>In 1989, the Washington State Legislature gave permanent drought relief authority to the</w:t>
      </w:r>
      <w:r>
        <w:rPr>
          <w:rFonts w:ascii="Bookman Old Style" w:hAnsi="Bookman Old Style"/>
          <w:color w:val="000000"/>
        </w:rPr>
        <w:t xml:space="preserve"> </w:t>
      </w:r>
      <w:r w:rsidRPr="00086773">
        <w:rPr>
          <w:rFonts w:ascii="Bookman Old Style" w:hAnsi="Bookman Old Style"/>
          <w:color w:val="000000"/>
        </w:rPr>
        <w:t>Department of Ecology and enabled them to issue orders decl</w:t>
      </w:r>
      <w:r w:rsidR="00705AA5">
        <w:rPr>
          <w:rFonts w:ascii="Bookman Old Style" w:hAnsi="Bookman Old Style"/>
          <w:color w:val="000000"/>
        </w:rPr>
        <w:t>aring drought emergencies. (RCW</w:t>
      </w:r>
      <w:r w:rsidRPr="00086773">
        <w:rPr>
          <w:rFonts w:ascii="Bookman Old Style" w:hAnsi="Bookman Old Style"/>
          <w:color w:val="000000"/>
        </w:rPr>
        <w:t xml:space="preserve">43.83B.400-430 and Chapter 173-166 WAC)  In Washington State, the statutory criteria for drought is a </w:t>
      </w:r>
      <w:r w:rsidRPr="00086773">
        <w:rPr>
          <w:rFonts w:ascii="Bookman Old Style" w:hAnsi="Bookman Old Style"/>
          <w:color w:val="000000"/>
          <w:u w:val="single"/>
        </w:rPr>
        <w:t xml:space="preserve">water supply below 75% of </w:t>
      </w:r>
      <w:r w:rsidRPr="00EE3482">
        <w:rPr>
          <w:rFonts w:ascii="Bookman Old Style" w:hAnsi="Bookman Old Style"/>
          <w:color w:val="000000"/>
          <w:u w:val="single"/>
        </w:rPr>
        <w:t>normal and a shortage expected to create undue hardship for some water users.</w:t>
      </w:r>
    </w:p>
    <w:p w:rsidR="00705AA5" w:rsidRDefault="00705AA5" w:rsidP="00705AA5">
      <w:pPr>
        <w:autoSpaceDE w:val="0"/>
        <w:autoSpaceDN w:val="0"/>
        <w:adjustRightInd w:val="0"/>
        <w:spacing w:line="240" w:lineRule="auto"/>
        <w:contextualSpacing/>
        <w:jc w:val="both"/>
        <w:rPr>
          <w:rFonts w:ascii="Bookman Old Style" w:hAnsi="Bookman Old Style"/>
          <w:color w:val="000000"/>
        </w:rPr>
      </w:pPr>
    </w:p>
    <w:p w:rsidR="000E6665" w:rsidRDefault="000E6665" w:rsidP="00705AA5">
      <w:pPr>
        <w:autoSpaceDE w:val="0"/>
        <w:autoSpaceDN w:val="0"/>
        <w:adjustRightInd w:val="0"/>
        <w:spacing w:line="240" w:lineRule="auto"/>
        <w:contextualSpacing/>
        <w:jc w:val="both"/>
        <w:rPr>
          <w:rFonts w:ascii="Bookman Old Style" w:hAnsi="Bookman Old Style"/>
          <w:color w:val="000000"/>
        </w:rPr>
      </w:pPr>
      <w:r>
        <w:rPr>
          <w:rFonts w:ascii="Bookman Old Style" w:hAnsi="Bookman Old Style"/>
          <w:color w:val="000000"/>
        </w:rPr>
        <w:t>D</w:t>
      </w:r>
      <w:r w:rsidRPr="00086773">
        <w:rPr>
          <w:rFonts w:ascii="Bookman Old Style" w:hAnsi="Bookman Old Style"/>
          <w:color w:val="000000"/>
        </w:rPr>
        <w:t xml:space="preserve">roughts are a natural part of the climate cycle.  In the last century, there have been a number of drought episodes, including several that have lasted for </w:t>
      </w:r>
      <w:r>
        <w:rPr>
          <w:rFonts w:ascii="Bookman Old Style" w:hAnsi="Bookman Old Style"/>
          <w:color w:val="000000"/>
        </w:rPr>
        <w:t>more than</w:t>
      </w:r>
      <w:r w:rsidRPr="00086773">
        <w:rPr>
          <w:rFonts w:ascii="Bookman Old Style" w:hAnsi="Bookman Old Style"/>
          <w:color w:val="000000"/>
        </w:rPr>
        <w:t xml:space="preserve"> a single season, such as the dry periods between 1928-1932 and 1992-1994. Severe drought episodes occurred in 1977, 2001, 2014 and 2015. The 1977 event set records </w:t>
      </w:r>
      <w:r w:rsidRPr="00086773">
        <w:rPr>
          <w:rFonts w:ascii="Bookman Old Style" w:hAnsi="Bookman Old Style"/>
          <w:color w:val="000000"/>
        </w:rPr>
        <w:lastRenderedPageBreak/>
        <w:t>for low precipitation, snow-pack, and stream flow totals that still stand</w:t>
      </w:r>
      <w:r>
        <w:rPr>
          <w:rFonts w:ascii="Bookman Old Style" w:hAnsi="Bookman Old Style"/>
          <w:color w:val="000000"/>
        </w:rPr>
        <w:t>s</w:t>
      </w:r>
      <w:r w:rsidRPr="00086773">
        <w:rPr>
          <w:rFonts w:ascii="Bookman Old Style" w:hAnsi="Bookman Old Style"/>
          <w:color w:val="000000"/>
        </w:rPr>
        <w:t xml:space="preserve"> today. The 2001 event was the second-worst drought year in state recorded history.</w:t>
      </w:r>
    </w:p>
    <w:p w:rsidR="00EE3482" w:rsidRPr="00086773" w:rsidRDefault="00EE3482" w:rsidP="00705AA5">
      <w:pPr>
        <w:autoSpaceDE w:val="0"/>
        <w:autoSpaceDN w:val="0"/>
        <w:adjustRightInd w:val="0"/>
        <w:spacing w:line="240" w:lineRule="auto"/>
        <w:contextualSpacing/>
        <w:jc w:val="both"/>
        <w:rPr>
          <w:rFonts w:ascii="Bookman Old Style" w:hAnsi="Bookman Old Style"/>
          <w:color w:val="000000"/>
        </w:rPr>
      </w:pPr>
    </w:p>
    <w:p w:rsidR="00705AA5" w:rsidRDefault="000E6665" w:rsidP="00705AA5">
      <w:pPr>
        <w:autoSpaceDE w:val="0"/>
        <w:autoSpaceDN w:val="0"/>
        <w:adjustRightInd w:val="0"/>
        <w:spacing w:line="240" w:lineRule="auto"/>
        <w:contextualSpacing/>
        <w:jc w:val="both"/>
        <w:rPr>
          <w:rFonts w:ascii="Bookman Old Style" w:hAnsi="Bookman Old Style"/>
          <w:color w:val="000000"/>
        </w:rPr>
      </w:pPr>
      <w:r w:rsidRPr="00086773">
        <w:rPr>
          <w:rFonts w:ascii="Bookman Old Style" w:hAnsi="Bookman Old Style"/>
          <w:color w:val="000000"/>
        </w:rPr>
        <w:t>Washington State usually experiences drought during a regional climate event characterized by a period of be</w:t>
      </w:r>
      <w:r>
        <w:rPr>
          <w:rFonts w:ascii="Bookman Old Style" w:hAnsi="Bookman Old Style"/>
          <w:color w:val="000000"/>
        </w:rPr>
        <w:t>low-normal precipitation. Pasco</w:t>
      </w:r>
      <w:r w:rsidRPr="00086773">
        <w:rPr>
          <w:rFonts w:ascii="Bookman Old Style" w:hAnsi="Bookman Old Style"/>
          <w:color w:val="000000"/>
        </w:rPr>
        <w:t xml:space="preserve"> has experienced some periods of drought in the past, these events are typically low to moderate in severity and relatively short in duration. The agricultural industry usually experiences the greatest impact from a dr</w:t>
      </w:r>
      <w:r w:rsidR="00705AA5">
        <w:rPr>
          <w:rFonts w:ascii="Bookman Old Style" w:hAnsi="Bookman Old Style"/>
          <w:color w:val="000000"/>
        </w:rPr>
        <w:t>ought event in Franklin County.</w:t>
      </w:r>
    </w:p>
    <w:p w:rsidR="00705AA5" w:rsidRDefault="00705AA5" w:rsidP="00705AA5">
      <w:pPr>
        <w:autoSpaceDE w:val="0"/>
        <w:autoSpaceDN w:val="0"/>
        <w:adjustRightInd w:val="0"/>
        <w:spacing w:line="240" w:lineRule="auto"/>
        <w:contextualSpacing/>
        <w:jc w:val="both"/>
        <w:rPr>
          <w:rFonts w:ascii="Bookman Old Style" w:hAnsi="Bookman Old Style"/>
          <w:color w:val="000000"/>
        </w:rPr>
      </w:pPr>
    </w:p>
    <w:p w:rsidR="000E6665" w:rsidRDefault="000E6665" w:rsidP="00705AA5">
      <w:pPr>
        <w:autoSpaceDE w:val="0"/>
        <w:autoSpaceDN w:val="0"/>
        <w:adjustRightInd w:val="0"/>
        <w:spacing w:line="240" w:lineRule="auto"/>
        <w:contextualSpacing/>
        <w:jc w:val="both"/>
        <w:rPr>
          <w:rFonts w:ascii="Bookman Old Style" w:hAnsi="Bookman Old Style"/>
          <w:b/>
          <w:i/>
          <w:color w:val="000000"/>
        </w:rPr>
      </w:pPr>
      <w:r>
        <w:rPr>
          <w:rFonts w:ascii="Bookman Old Style" w:hAnsi="Bookman Old Style"/>
          <w:b/>
          <w:i/>
          <w:color w:val="000000"/>
        </w:rPr>
        <w:t>Extreme Heat</w:t>
      </w:r>
    </w:p>
    <w:p w:rsidR="00705AA5" w:rsidRPr="00705AA5" w:rsidRDefault="00705AA5" w:rsidP="00705AA5">
      <w:pPr>
        <w:autoSpaceDE w:val="0"/>
        <w:autoSpaceDN w:val="0"/>
        <w:adjustRightInd w:val="0"/>
        <w:spacing w:line="240" w:lineRule="auto"/>
        <w:contextualSpacing/>
        <w:jc w:val="both"/>
        <w:rPr>
          <w:rFonts w:ascii="Bookman Old Style" w:hAnsi="Bookman Old Style"/>
          <w:color w:val="000000"/>
        </w:rPr>
      </w:pPr>
    </w:p>
    <w:p w:rsidR="000E6665" w:rsidRDefault="000E6665" w:rsidP="00705AA5">
      <w:pPr>
        <w:autoSpaceDE w:val="0"/>
        <w:autoSpaceDN w:val="0"/>
        <w:adjustRightInd w:val="0"/>
        <w:spacing w:line="240" w:lineRule="auto"/>
        <w:contextualSpacing/>
        <w:jc w:val="both"/>
        <w:rPr>
          <w:rFonts w:ascii="Bookman Old Style" w:hAnsi="Bookman Old Style"/>
          <w:color w:val="000000"/>
        </w:rPr>
      </w:pPr>
      <w:r>
        <w:rPr>
          <w:rFonts w:ascii="Bookman Old Style" w:hAnsi="Bookman Old Style"/>
          <w:color w:val="000000"/>
        </w:rPr>
        <w:t>Extreme heat is characterized as extended periods of 100</w:t>
      </w:r>
      <w:r>
        <w:rPr>
          <w:rFonts w:ascii="Bookman Old Style" w:hAnsi="Bookman Old Style"/>
          <w:color w:val="000000"/>
          <w:vertAlign w:val="superscript"/>
        </w:rPr>
        <w:t xml:space="preserve">o </w:t>
      </w:r>
      <w:r>
        <w:rPr>
          <w:rFonts w:ascii="Bookman Old Style" w:hAnsi="Bookman Old Style"/>
          <w:color w:val="000000"/>
        </w:rPr>
        <w:t>F.  The City of Pasco experiences annual periods of extreme heat mostly during the July-September months.  The primary concerns with this hazard are the increased likelihood of extreme fire behavior and health care impacts for the elderly and poverty-stricken.  Power outages are a likely outcome of this event.</w:t>
      </w:r>
    </w:p>
    <w:p w:rsidR="00705AA5" w:rsidRPr="00086773" w:rsidRDefault="00705AA5" w:rsidP="00705AA5">
      <w:pPr>
        <w:autoSpaceDE w:val="0"/>
        <w:autoSpaceDN w:val="0"/>
        <w:adjustRightInd w:val="0"/>
        <w:spacing w:line="240" w:lineRule="auto"/>
        <w:contextualSpacing/>
        <w:jc w:val="both"/>
        <w:rPr>
          <w:rFonts w:ascii="Bookman Old Style" w:hAnsi="Bookman Old Style"/>
          <w:color w:val="000000"/>
        </w:rPr>
      </w:pPr>
    </w:p>
    <w:p w:rsidR="000E6665" w:rsidRDefault="000E6665" w:rsidP="00705AA5">
      <w:pPr>
        <w:autoSpaceDE w:val="0"/>
        <w:autoSpaceDN w:val="0"/>
        <w:adjustRightInd w:val="0"/>
        <w:spacing w:line="240" w:lineRule="auto"/>
        <w:contextualSpacing/>
        <w:jc w:val="center"/>
        <w:rPr>
          <w:rFonts w:ascii="Bookman Old Style" w:hAnsi="Bookman Old Style"/>
          <w:b/>
          <w:i/>
          <w:color w:val="000000"/>
        </w:rPr>
      </w:pPr>
      <w:r>
        <w:rPr>
          <w:rFonts w:ascii="Bookman Old Style" w:hAnsi="Bookman Old Style"/>
          <w:b/>
          <w:i/>
          <w:color w:val="000000"/>
        </w:rPr>
        <w:t>Summary of Geographic and Weather Related Risks</w:t>
      </w:r>
    </w:p>
    <w:tbl>
      <w:tblPr>
        <w:tblStyle w:val="MediumShading1-Accent5"/>
        <w:tblW w:w="0" w:type="auto"/>
        <w:tblLook w:val="04A0" w:firstRow="1" w:lastRow="0" w:firstColumn="1" w:lastColumn="0" w:noHBand="0" w:noVBand="1"/>
      </w:tblPr>
      <w:tblGrid>
        <w:gridCol w:w="3192"/>
        <w:gridCol w:w="3192"/>
        <w:gridCol w:w="3192"/>
      </w:tblGrid>
      <w:tr w:rsidR="000E6665" w:rsidTr="00B97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705AA5" w:rsidRDefault="000E6665" w:rsidP="00812E4C">
            <w:pPr>
              <w:autoSpaceDE w:val="0"/>
              <w:autoSpaceDN w:val="0"/>
              <w:adjustRightInd w:val="0"/>
              <w:jc w:val="center"/>
              <w:rPr>
                <w:rFonts w:ascii="Bookman Old Style" w:hAnsi="Bookman Old Style"/>
                <w:color w:val="000000"/>
              </w:rPr>
            </w:pPr>
            <w:r w:rsidRPr="00705AA5">
              <w:rPr>
                <w:rFonts w:ascii="Bookman Old Style" w:hAnsi="Bookman Old Style"/>
                <w:color w:val="000000"/>
              </w:rPr>
              <w:t>Hazard</w:t>
            </w:r>
          </w:p>
        </w:tc>
        <w:tc>
          <w:tcPr>
            <w:tcW w:w="3192" w:type="dxa"/>
          </w:tcPr>
          <w:p w:rsidR="000E6665" w:rsidRPr="00705AA5" w:rsidRDefault="000E6665" w:rsidP="00812E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rPr>
            </w:pPr>
            <w:r w:rsidRPr="00705AA5">
              <w:rPr>
                <w:rFonts w:ascii="Bookman Old Style" w:hAnsi="Bookman Old Style"/>
                <w:color w:val="000000"/>
              </w:rPr>
              <w:t>Probability</w:t>
            </w:r>
          </w:p>
        </w:tc>
        <w:tc>
          <w:tcPr>
            <w:tcW w:w="3192" w:type="dxa"/>
          </w:tcPr>
          <w:p w:rsidR="000E6665" w:rsidRPr="00705AA5" w:rsidRDefault="000E6665" w:rsidP="00812E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0000"/>
              </w:rPr>
            </w:pPr>
            <w:r w:rsidRPr="00705AA5">
              <w:rPr>
                <w:rFonts w:ascii="Bookman Old Style" w:hAnsi="Bookman Old Style"/>
                <w:color w:val="000000"/>
              </w:rPr>
              <w:t>Risk</w:t>
            </w:r>
          </w:p>
        </w:tc>
      </w:tr>
      <w:tr w:rsidR="00EE3482" w:rsidTr="00B97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E3482" w:rsidRDefault="00EE3482" w:rsidP="00812E4C">
            <w:pPr>
              <w:autoSpaceDE w:val="0"/>
              <w:autoSpaceDN w:val="0"/>
              <w:adjustRightInd w:val="0"/>
              <w:jc w:val="center"/>
              <w:rPr>
                <w:rFonts w:ascii="Bookman Old Style" w:hAnsi="Bookman Old Style"/>
                <w:color w:val="000000"/>
              </w:rPr>
            </w:pPr>
            <w:r>
              <w:rPr>
                <w:rFonts w:ascii="Bookman Old Style" w:hAnsi="Bookman Old Style"/>
                <w:color w:val="000000"/>
              </w:rPr>
              <w:t>Severe Storm</w:t>
            </w:r>
          </w:p>
        </w:tc>
        <w:tc>
          <w:tcPr>
            <w:tcW w:w="3192" w:type="dxa"/>
          </w:tcPr>
          <w:p w:rsidR="00EE3482" w:rsidRDefault="00EE3482"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High</w:t>
            </w:r>
          </w:p>
        </w:tc>
        <w:tc>
          <w:tcPr>
            <w:tcW w:w="3192" w:type="dxa"/>
          </w:tcPr>
          <w:p w:rsidR="00EE3482" w:rsidRDefault="00EE3482"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r>
      <w:tr w:rsidR="000E6665" w:rsidTr="00B97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Default="000E6665" w:rsidP="00812E4C">
            <w:pPr>
              <w:autoSpaceDE w:val="0"/>
              <w:autoSpaceDN w:val="0"/>
              <w:adjustRightInd w:val="0"/>
              <w:jc w:val="center"/>
              <w:rPr>
                <w:rFonts w:ascii="Bookman Old Style" w:hAnsi="Bookman Old Style"/>
                <w:color w:val="000000"/>
              </w:rPr>
            </w:pPr>
            <w:r>
              <w:rPr>
                <w:rFonts w:ascii="Bookman Old Style" w:hAnsi="Bookman Old Style"/>
                <w:color w:val="000000"/>
              </w:rPr>
              <w:t>Flood</w:t>
            </w:r>
          </w:p>
        </w:tc>
        <w:tc>
          <w:tcPr>
            <w:tcW w:w="3192" w:type="dxa"/>
          </w:tcPr>
          <w:p w:rsidR="000E6665" w:rsidRDefault="000E6665" w:rsidP="00812E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c>
          <w:tcPr>
            <w:tcW w:w="3192" w:type="dxa"/>
          </w:tcPr>
          <w:p w:rsidR="000E6665" w:rsidRDefault="000E6665" w:rsidP="00812E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r>
      <w:tr w:rsidR="000E6665" w:rsidTr="00B97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Default="000E6665" w:rsidP="00812E4C">
            <w:pPr>
              <w:autoSpaceDE w:val="0"/>
              <w:autoSpaceDN w:val="0"/>
              <w:adjustRightInd w:val="0"/>
              <w:jc w:val="center"/>
              <w:rPr>
                <w:rFonts w:ascii="Bookman Old Style" w:hAnsi="Bookman Old Style"/>
                <w:color w:val="000000"/>
              </w:rPr>
            </w:pPr>
            <w:r>
              <w:rPr>
                <w:rFonts w:ascii="Bookman Old Style" w:hAnsi="Bookman Old Style"/>
                <w:color w:val="000000"/>
              </w:rPr>
              <w:t>Earthquake</w:t>
            </w:r>
          </w:p>
        </w:tc>
        <w:tc>
          <w:tcPr>
            <w:tcW w:w="3192" w:type="dxa"/>
          </w:tcPr>
          <w:p w:rsidR="000E6665" w:rsidRDefault="000E6665"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c>
          <w:tcPr>
            <w:tcW w:w="3192" w:type="dxa"/>
          </w:tcPr>
          <w:p w:rsidR="000E6665" w:rsidRDefault="000E6665"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r>
      <w:tr w:rsidR="000E6665" w:rsidTr="00B97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Default="000E6665" w:rsidP="00812E4C">
            <w:pPr>
              <w:autoSpaceDE w:val="0"/>
              <w:autoSpaceDN w:val="0"/>
              <w:adjustRightInd w:val="0"/>
              <w:jc w:val="center"/>
              <w:rPr>
                <w:rFonts w:ascii="Bookman Old Style" w:hAnsi="Bookman Old Style"/>
                <w:color w:val="000000"/>
              </w:rPr>
            </w:pPr>
            <w:r>
              <w:rPr>
                <w:rFonts w:ascii="Bookman Old Style" w:hAnsi="Bookman Old Style"/>
                <w:color w:val="000000"/>
              </w:rPr>
              <w:t>Volcanic Activity</w:t>
            </w:r>
          </w:p>
        </w:tc>
        <w:tc>
          <w:tcPr>
            <w:tcW w:w="3192" w:type="dxa"/>
          </w:tcPr>
          <w:p w:rsidR="000E6665" w:rsidRDefault="000E6665" w:rsidP="00812E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olor w:val="000000"/>
              </w:rPr>
            </w:pPr>
            <w:r>
              <w:rPr>
                <w:rFonts w:ascii="Bookman Old Style" w:hAnsi="Bookman Old Style"/>
                <w:color w:val="000000"/>
              </w:rPr>
              <w:t>Low</w:t>
            </w:r>
          </w:p>
        </w:tc>
        <w:tc>
          <w:tcPr>
            <w:tcW w:w="3192" w:type="dxa"/>
          </w:tcPr>
          <w:p w:rsidR="000E6665" w:rsidRDefault="000E6665" w:rsidP="00812E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r>
      <w:tr w:rsidR="000E6665" w:rsidTr="00B97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Default="000E6665" w:rsidP="00812E4C">
            <w:pPr>
              <w:autoSpaceDE w:val="0"/>
              <w:autoSpaceDN w:val="0"/>
              <w:adjustRightInd w:val="0"/>
              <w:jc w:val="center"/>
              <w:rPr>
                <w:rFonts w:ascii="Bookman Old Style" w:hAnsi="Bookman Old Style"/>
                <w:color w:val="000000"/>
              </w:rPr>
            </w:pPr>
            <w:r>
              <w:rPr>
                <w:rFonts w:ascii="Bookman Old Style" w:hAnsi="Bookman Old Style"/>
                <w:color w:val="000000"/>
              </w:rPr>
              <w:t>Climate Change</w:t>
            </w:r>
          </w:p>
        </w:tc>
        <w:tc>
          <w:tcPr>
            <w:tcW w:w="3192" w:type="dxa"/>
          </w:tcPr>
          <w:p w:rsidR="000E6665" w:rsidRDefault="000E6665"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Low</w:t>
            </w:r>
          </w:p>
        </w:tc>
        <w:tc>
          <w:tcPr>
            <w:tcW w:w="3192" w:type="dxa"/>
          </w:tcPr>
          <w:p w:rsidR="000E6665" w:rsidRDefault="000E6665"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Low</w:t>
            </w:r>
          </w:p>
        </w:tc>
      </w:tr>
      <w:tr w:rsidR="000E6665" w:rsidTr="00B97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Default="000E6665" w:rsidP="00812E4C">
            <w:pPr>
              <w:autoSpaceDE w:val="0"/>
              <w:autoSpaceDN w:val="0"/>
              <w:adjustRightInd w:val="0"/>
              <w:jc w:val="center"/>
              <w:rPr>
                <w:rFonts w:ascii="Bookman Old Style" w:hAnsi="Bookman Old Style"/>
                <w:color w:val="000000"/>
              </w:rPr>
            </w:pPr>
            <w:r>
              <w:rPr>
                <w:rFonts w:ascii="Bookman Old Style" w:hAnsi="Bookman Old Style"/>
                <w:color w:val="000000"/>
              </w:rPr>
              <w:t>Drought</w:t>
            </w:r>
          </w:p>
        </w:tc>
        <w:tc>
          <w:tcPr>
            <w:tcW w:w="3192" w:type="dxa"/>
          </w:tcPr>
          <w:p w:rsidR="000E6665" w:rsidRDefault="000E6665" w:rsidP="00812E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olor w:val="000000"/>
              </w:rPr>
            </w:pPr>
            <w:r>
              <w:rPr>
                <w:rFonts w:ascii="Bookman Old Style" w:hAnsi="Bookman Old Style"/>
                <w:color w:val="000000"/>
              </w:rPr>
              <w:t>Moderate</w:t>
            </w:r>
          </w:p>
        </w:tc>
        <w:tc>
          <w:tcPr>
            <w:tcW w:w="3192" w:type="dxa"/>
          </w:tcPr>
          <w:p w:rsidR="000E6665" w:rsidRDefault="000E6665" w:rsidP="00812E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olor w:val="000000"/>
              </w:rPr>
            </w:pPr>
            <w:r>
              <w:rPr>
                <w:rFonts w:ascii="Bookman Old Style" w:hAnsi="Bookman Old Style"/>
                <w:color w:val="000000"/>
              </w:rPr>
              <w:t>Low</w:t>
            </w:r>
          </w:p>
        </w:tc>
      </w:tr>
      <w:tr w:rsidR="000E6665" w:rsidTr="00B97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Default="000E6665" w:rsidP="00812E4C">
            <w:pPr>
              <w:autoSpaceDE w:val="0"/>
              <w:autoSpaceDN w:val="0"/>
              <w:adjustRightInd w:val="0"/>
              <w:jc w:val="center"/>
              <w:rPr>
                <w:rFonts w:ascii="Bookman Old Style" w:hAnsi="Bookman Old Style"/>
                <w:color w:val="000000"/>
              </w:rPr>
            </w:pPr>
            <w:r>
              <w:rPr>
                <w:rFonts w:ascii="Bookman Old Style" w:hAnsi="Bookman Old Style"/>
                <w:color w:val="000000"/>
              </w:rPr>
              <w:t>Extreme Heat</w:t>
            </w:r>
          </w:p>
        </w:tc>
        <w:tc>
          <w:tcPr>
            <w:tcW w:w="3192" w:type="dxa"/>
          </w:tcPr>
          <w:p w:rsidR="000E6665" w:rsidRDefault="000E6665"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High</w:t>
            </w:r>
          </w:p>
        </w:tc>
        <w:tc>
          <w:tcPr>
            <w:tcW w:w="3192" w:type="dxa"/>
          </w:tcPr>
          <w:p w:rsidR="000E6665" w:rsidRDefault="000E6665" w:rsidP="00812E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rPr>
            </w:pPr>
            <w:r>
              <w:rPr>
                <w:rFonts w:ascii="Bookman Old Style" w:hAnsi="Bookman Old Style"/>
                <w:color w:val="000000"/>
              </w:rPr>
              <w:t>Low</w:t>
            </w:r>
          </w:p>
        </w:tc>
      </w:tr>
    </w:tbl>
    <w:p w:rsidR="000E6665" w:rsidRDefault="000E6665" w:rsidP="000E6665">
      <w:pPr>
        <w:autoSpaceDE w:val="0"/>
        <w:autoSpaceDN w:val="0"/>
        <w:adjustRightInd w:val="0"/>
        <w:jc w:val="center"/>
        <w:rPr>
          <w:rFonts w:ascii="Bookman Old Style" w:hAnsi="Bookman Old Style"/>
          <w:color w:val="000000"/>
        </w:rPr>
      </w:pPr>
    </w:p>
    <w:p w:rsidR="00075F68" w:rsidRDefault="00D45972" w:rsidP="000E6665">
      <w:pPr>
        <w:pStyle w:val="NoSpacing"/>
        <w:rPr>
          <w:rFonts w:ascii="Bookman Old Style" w:hAnsi="Bookman Old Style"/>
          <w:b/>
          <w:i/>
          <w:sz w:val="24"/>
        </w:rPr>
      </w:pPr>
      <w:r>
        <w:rPr>
          <w:rFonts w:ascii="Bookman Old Style" w:hAnsi="Bookman Old Style"/>
          <w:b/>
          <w:i/>
          <w:sz w:val="24"/>
        </w:rPr>
        <w:t>Geographic and Weather Related Risk – Conclusion</w:t>
      </w:r>
      <w:bookmarkStart w:id="13" w:name="_GoBack"/>
      <w:bookmarkEnd w:id="13"/>
    </w:p>
    <w:p w:rsidR="00D45972" w:rsidRDefault="00D45972" w:rsidP="000E6665">
      <w:pPr>
        <w:pStyle w:val="NoSpacing"/>
        <w:rPr>
          <w:rFonts w:ascii="Bookman Old Style" w:hAnsi="Bookman Old Style"/>
          <w:sz w:val="24"/>
        </w:rPr>
      </w:pPr>
    </w:p>
    <w:p w:rsidR="00D45972" w:rsidRPr="00D45972" w:rsidRDefault="00D45972" w:rsidP="000E6665">
      <w:pPr>
        <w:pStyle w:val="NoSpacing"/>
        <w:rPr>
          <w:rFonts w:ascii="Bookman Old Style" w:hAnsi="Bookman Old Style"/>
        </w:rPr>
      </w:pPr>
      <w:r w:rsidRPr="00D45972">
        <w:rPr>
          <w:rFonts w:ascii="Bookman Old Style" w:hAnsi="Bookman Old Style"/>
        </w:rPr>
        <w:t>The City of Pasco is not immune from the</w:t>
      </w:r>
      <w:r>
        <w:rPr>
          <w:rFonts w:ascii="Bookman Old Style" w:hAnsi="Bookman Old Style"/>
        </w:rPr>
        <w:t>se</w:t>
      </w:r>
      <w:r w:rsidRPr="00D45972">
        <w:rPr>
          <w:rFonts w:ascii="Bookman Old Style" w:hAnsi="Bookman Old Style"/>
        </w:rPr>
        <w:t xml:space="preserve"> naturally occurring risks</w:t>
      </w:r>
      <w:r>
        <w:rPr>
          <w:rFonts w:ascii="Bookman Old Style" w:hAnsi="Bookman Old Style"/>
        </w:rPr>
        <w:t xml:space="preserve">.  The effects of these hazards are typically wide-spread, long-term </w:t>
      </w:r>
      <w:r w:rsidR="009B2A81">
        <w:rPr>
          <w:rFonts w:ascii="Bookman Old Style" w:hAnsi="Bookman Old Style"/>
        </w:rPr>
        <w:t xml:space="preserve">(two weeks or more) </w:t>
      </w:r>
      <w:r>
        <w:rPr>
          <w:rFonts w:ascii="Bookman Old Style" w:hAnsi="Bookman Old Style"/>
        </w:rPr>
        <w:t>and economic, however, given the severity, and in some cases the lack of wa</w:t>
      </w:r>
      <w:r w:rsidR="003702B5">
        <w:rPr>
          <w:rFonts w:ascii="Bookman Old Style" w:hAnsi="Bookman Old Style"/>
        </w:rPr>
        <w:t>rning and preparation</w:t>
      </w:r>
      <w:r>
        <w:rPr>
          <w:rFonts w:ascii="Bookman Old Style" w:hAnsi="Bookman Old Style"/>
        </w:rPr>
        <w:t xml:space="preserve">, there may be an urgent need to protect lives, property and the environment.  The potential magnitude of the three primary weather and geological hazards identified by Franklin County Emergency </w:t>
      </w:r>
      <w:r w:rsidR="00704588">
        <w:rPr>
          <w:rFonts w:ascii="Bookman Old Style" w:hAnsi="Bookman Old Style"/>
        </w:rPr>
        <w:t xml:space="preserve">(severe storm, flood, and earthquake) </w:t>
      </w:r>
      <w:r>
        <w:rPr>
          <w:rFonts w:ascii="Bookman Old Style" w:hAnsi="Bookman Old Style"/>
        </w:rPr>
        <w:t xml:space="preserve">will require the fire department to maintain a multi-disciplined response profile. </w:t>
      </w:r>
    </w:p>
    <w:p w:rsidR="00075F68" w:rsidRDefault="00075F68" w:rsidP="000E6665">
      <w:pPr>
        <w:pStyle w:val="NoSpacing"/>
        <w:rPr>
          <w:rFonts w:ascii="Bookman Old Style" w:hAnsi="Bookman Old Style"/>
          <w:b/>
          <w:i/>
          <w:sz w:val="32"/>
        </w:rPr>
      </w:pPr>
    </w:p>
    <w:p w:rsidR="000E6665" w:rsidRPr="00086773" w:rsidRDefault="000E6665" w:rsidP="000E6665">
      <w:pPr>
        <w:pStyle w:val="NoSpacing"/>
        <w:rPr>
          <w:rFonts w:ascii="Bookman Old Style" w:hAnsi="Bookman Old Style"/>
          <w:b/>
          <w:i/>
          <w:sz w:val="32"/>
        </w:rPr>
      </w:pPr>
      <w:r w:rsidRPr="00086773">
        <w:rPr>
          <w:rFonts w:ascii="Bookman Old Style" w:hAnsi="Bookman Old Style"/>
          <w:b/>
          <w:i/>
          <w:sz w:val="32"/>
        </w:rPr>
        <w:t>Human and Technological Hazards</w:t>
      </w:r>
    </w:p>
    <w:p w:rsidR="000E6665" w:rsidRDefault="000E6665" w:rsidP="000E6665">
      <w:pPr>
        <w:pStyle w:val="NoSpacing"/>
        <w:rPr>
          <w:rFonts w:ascii="Bookman Old Style" w:hAnsi="Bookman Old Style"/>
          <w:b/>
          <w:bCs/>
          <w:i/>
        </w:rPr>
      </w:pPr>
      <w:r w:rsidRPr="00086773">
        <w:rPr>
          <w:rFonts w:ascii="Bookman Old Style" w:hAnsi="Bookman Old Style"/>
          <w:b/>
          <w:bCs/>
          <w:i/>
        </w:rPr>
        <w:t>Hazardous Materials</w:t>
      </w:r>
    </w:p>
    <w:p w:rsidR="000E6665" w:rsidRPr="00086773" w:rsidRDefault="000E6665" w:rsidP="000E6665">
      <w:pPr>
        <w:pStyle w:val="NoSpacing"/>
        <w:rPr>
          <w:rFonts w:ascii="Bookman Old Style" w:hAnsi="Bookman Old Style"/>
          <w:b/>
          <w:i/>
        </w:rPr>
      </w:pPr>
    </w:p>
    <w:p w:rsidR="000E6665" w:rsidRDefault="000E6665" w:rsidP="00705AA5">
      <w:pPr>
        <w:spacing w:line="240" w:lineRule="auto"/>
        <w:contextualSpacing/>
        <w:jc w:val="both"/>
        <w:rPr>
          <w:rFonts w:ascii="Bookman Old Style" w:hAnsi="Bookman Old Style"/>
        </w:rPr>
      </w:pPr>
      <w:r>
        <w:rPr>
          <w:rFonts w:ascii="Bookman Old Style" w:hAnsi="Bookman Old Style"/>
        </w:rPr>
        <w:t xml:space="preserve">Hazardous materials incidents pose a significant threat to the City of Pasco. </w:t>
      </w:r>
      <w:r w:rsidRPr="00086773">
        <w:rPr>
          <w:rFonts w:ascii="Bookman Old Style" w:hAnsi="Bookman Old Style"/>
        </w:rPr>
        <w:t>A hazardous materials incident can originate from a fixed facility or from any transportation medium.  The manufacture, use, transportation, storage and disposal of hazardous material products and dangerous wastes poses a potential risk to the public health, safety and welfare, private and governmental properties, and the environment.</w:t>
      </w:r>
    </w:p>
    <w:p w:rsidR="004B3FF3" w:rsidRPr="00086773" w:rsidRDefault="004B3FF3" w:rsidP="00705AA5">
      <w:pPr>
        <w:spacing w:line="240" w:lineRule="auto"/>
        <w:contextualSpacing/>
        <w:jc w:val="both"/>
        <w:rPr>
          <w:rFonts w:ascii="Bookman Old Style" w:hAnsi="Bookman Old Style"/>
        </w:rPr>
      </w:pPr>
    </w:p>
    <w:p w:rsidR="000E6665" w:rsidRDefault="000E6665" w:rsidP="004B3FF3">
      <w:pPr>
        <w:spacing w:line="240" w:lineRule="auto"/>
        <w:contextualSpacing/>
        <w:jc w:val="both"/>
        <w:rPr>
          <w:rFonts w:ascii="Bookman Old Style" w:hAnsi="Bookman Old Style"/>
        </w:rPr>
      </w:pPr>
      <w:r w:rsidRPr="00086773">
        <w:rPr>
          <w:rFonts w:ascii="Bookman Old Style" w:hAnsi="Bookman Old Style"/>
        </w:rPr>
        <w:lastRenderedPageBreak/>
        <w:t>The U.S. Department of Transportation classifies a material as hazardous if it is corrosive, explosive, toxic, flammable, biologically irritating, radioactive, or packaged in a dangerous container.</w:t>
      </w:r>
    </w:p>
    <w:p w:rsidR="004B3FF3" w:rsidRPr="00086773" w:rsidRDefault="004B3FF3" w:rsidP="004B3FF3">
      <w:pPr>
        <w:spacing w:line="240" w:lineRule="auto"/>
        <w:contextualSpacing/>
        <w:jc w:val="both"/>
        <w:rPr>
          <w:rFonts w:ascii="Bookman Old Style" w:hAnsi="Bookman Old Style"/>
        </w:rPr>
      </w:pPr>
    </w:p>
    <w:p w:rsidR="000E6665" w:rsidRPr="00086773" w:rsidRDefault="000E6665" w:rsidP="004B3FF3">
      <w:pPr>
        <w:spacing w:line="240" w:lineRule="auto"/>
        <w:contextualSpacing/>
        <w:rPr>
          <w:rFonts w:ascii="Bookman Old Style" w:hAnsi="Bookman Old Style"/>
        </w:rPr>
      </w:pPr>
      <w:r w:rsidRPr="00086773">
        <w:rPr>
          <w:rFonts w:ascii="Bookman Old Style" w:hAnsi="Bookman Old Style"/>
        </w:rPr>
        <w:t>These materials are regulated while in transit, and when stored on site by a variety of local, state, and federal guidelines.  Federal regulations, such as Title III of the Superfund Amendments and Reauthorization Act, have made it easier for local governmental agencies to track the presence of hazardous materials in their jurisdictions.</w:t>
      </w:r>
    </w:p>
    <w:p w:rsidR="00D45972" w:rsidRDefault="00D45972" w:rsidP="004B3FF3">
      <w:pPr>
        <w:spacing w:line="240" w:lineRule="auto"/>
        <w:contextualSpacing/>
        <w:jc w:val="both"/>
        <w:rPr>
          <w:rFonts w:ascii="Bookman Old Style" w:hAnsi="Bookman Old Style"/>
        </w:rPr>
      </w:pPr>
    </w:p>
    <w:p w:rsidR="000E6665" w:rsidRDefault="000E6665" w:rsidP="004B3FF3">
      <w:pPr>
        <w:spacing w:line="240" w:lineRule="auto"/>
        <w:contextualSpacing/>
        <w:jc w:val="both"/>
        <w:rPr>
          <w:rFonts w:ascii="Bookman Old Style" w:hAnsi="Bookman Old Style"/>
        </w:rPr>
      </w:pPr>
      <w:r w:rsidRPr="00086773">
        <w:rPr>
          <w:rFonts w:ascii="Bookman Old Style" w:hAnsi="Bookman Old Style"/>
        </w:rPr>
        <w:t>Franklin County has suffered both transportation and fixed facility hazardous materials accidents. Most incidents involve petroleum products, or agricultural products such as anhydrous ammonia. There has been a massive increase of the transportation of Baakan Crude Oil and Coal through Franklin County and the cities of Connell, Mesa and Pasco.</w:t>
      </w:r>
    </w:p>
    <w:p w:rsidR="004B3FF3" w:rsidRPr="00086773" w:rsidRDefault="004B3FF3" w:rsidP="004B3FF3">
      <w:pPr>
        <w:spacing w:line="240" w:lineRule="auto"/>
        <w:contextualSpacing/>
        <w:jc w:val="both"/>
        <w:rPr>
          <w:rFonts w:ascii="Bookman Old Style" w:hAnsi="Bookman Old Style"/>
        </w:rPr>
      </w:pPr>
    </w:p>
    <w:p w:rsidR="000E6665" w:rsidRPr="00086773" w:rsidRDefault="000E6665" w:rsidP="004B3FF3">
      <w:pPr>
        <w:jc w:val="both"/>
        <w:rPr>
          <w:rFonts w:ascii="Bookman Old Style" w:hAnsi="Bookman Old Style"/>
        </w:rPr>
      </w:pPr>
      <w:r w:rsidRPr="00086773">
        <w:rPr>
          <w:rFonts w:ascii="Bookman Old Style" w:hAnsi="Bookman Old Style"/>
        </w:rPr>
        <w:t xml:space="preserve">Major incidents include a 1996 release of 2000 gallons of anhydrous ammonia in downtown Pasco, forcing residential evacuation and sending over 100 people to be evaluated at the hospital, and a </w:t>
      </w:r>
      <w:r>
        <w:rPr>
          <w:rFonts w:ascii="Bookman Old Style" w:hAnsi="Bookman Old Style"/>
        </w:rPr>
        <w:t xml:space="preserve">July 2011 train derailment </w:t>
      </w:r>
      <w:r w:rsidR="003B6C0D">
        <w:rPr>
          <w:rFonts w:ascii="Bookman Old Style" w:hAnsi="Bookman Old Style"/>
        </w:rPr>
        <w:t xml:space="preserve">involving methane gas </w:t>
      </w:r>
      <w:r>
        <w:rPr>
          <w:rFonts w:ascii="Bookman Old Style" w:hAnsi="Bookman Old Style"/>
        </w:rPr>
        <w:t>on the Ainsworth artery.</w:t>
      </w:r>
    </w:p>
    <w:p w:rsidR="000E6665" w:rsidRDefault="000E6665" w:rsidP="004B3FF3">
      <w:pPr>
        <w:spacing w:line="240" w:lineRule="auto"/>
        <w:contextualSpacing/>
        <w:jc w:val="both"/>
        <w:rPr>
          <w:rFonts w:ascii="Bookman Old Style" w:hAnsi="Bookman Old Style"/>
        </w:rPr>
      </w:pPr>
      <w:r w:rsidRPr="00086773">
        <w:rPr>
          <w:rFonts w:ascii="Bookman Old Style" w:hAnsi="Bookman Old Style"/>
        </w:rPr>
        <w:t>Hazardous materials incidents occur suddenly and can cause damage to people and property without any warning.  The impact of this type of emergency can last from a few minutes to weeks, months and even years before damage to the environment could be repaired.</w:t>
      </w:r>
    </w:p>
    <w:p w:rsidR="004B3FF3" w:rsidRPr="00086773" w:rsidRDefault="004B3FF3" w:rsidP="004B3FF3">
      <w:pPr>
        <w:spacing w:line="240" w:lineRule="auto"/>
        <w:contextualSpacing/>
        <w:jc w:val="both"/>
        <w:rPr>
          <w:rFonts w:ascii="Bookman Old Style" w:hAnsi="Bookman Old Style"/>
        </w:rPr>
      </w:pPr>
    </w:p>
    <w:p w:rsidR="00F22FC3" w:rsidRDefault="000E6665" w:rsidP="004B3FF3">
      <w:pPr>
        <w:spacing w:line="240" w:lineRule="auto"/>
        <w:contextualSpacing/>
        <w:rPr>
          <w:rFonts w:ascii="Bookman Old Style" w:hAnsi="Bookman Old Style"/>
        </w:rPr>
      </w:pPr>
      <w:r w:rsidRPr="00086773">
        <w:rPr>
          <w:rFonts w:ascii="Bookman Old Style" w:hAnsi="Bookman Old Style"/>
        </w:rPr>
        <w:t>Any incident in which hazardous materials are involved has the potential for escalation from a relatively minor incident into a full scale disaster.  The hazardous properties of chemicals, motor fuels, radioactive substances and other potentially dangerous materials range from highly flammable to explosive to poisonous.  These chemicals have the ability to contaminate the environment with quantities harmful to human, animal and plant life.  The potential for loss of life, extensive property damage, environmental contamination, and economic loss always remains high when hazardous materials are involved.</w:t>
      </w:r>
    </w:p>
    <w:p w:rsidR="004B3FF3" w:rsidRPr="00086773" w:rsidRDefault="004B3FF3" w:rsidP="004B3FF3">
      <w:pPr>
        <w:spacing w:line="240" w:lineRule="auto"/>
        <w:contextualSpacing/>
        <w:rPr>
          <w:rFonts w:ascii="Bookman Old Style" w:hAnsi="Bookman Old Style"/>
        </w:rPr>
      </w:pPr>
    </w:p>
    <w:p w:rsidR="00F22FC3" w:rsidRPr="00086773" w:rsidRDefault="000E6665" w:rsidP="00F22FC3">
      <w:pPr>
        <w:spacing w:line="240" w:lineRule="auto"/>
        <w:contextualSpacing/>
        <w:jc w:val="both"/>
        <w:rPr>
          <w:rFonts w:ascii="Bookman Old Style" w:hAnsi="Bookman Old Style"/>
        </w:rPr>
      </w:pPr>
      <w:r w:rsidRPr="00086773">
        <w:rPr>
          <w:rFonts w:ascii="Bookman Old Style" w:hAnsi="Bookman Old Style"/>
        </w:rPr>
        <w:t>The effects of a hazardous materials incident vary depending on such factors as the type and quantity of material(s) involved, the location, time of day, and weather conditions.  In the case of airborne contaminants, wind speed and direction are extremely important for response procedures and capabilities.  Mass evacuation or widespread shelter-in-place should be considered a high priority when dealing with airborne or potential airborne contamination</w:t>
      </w:r>
      <w:r w:rsidR="004B3FF3">
        <w:rPr>
          <w:rFonts w:ascii="Bookman Old Style" w:hAnsi="Bookman Old Style"/>
        </w:rPr>
        <w:t>.</w:t>
      </w:r>
    </w:p>
    <w:p w:rsidR="004B3FF3" w:rsidRDefault="004B3FF3" w:rsidP="004B3FF3">
      <w:pPr>
        <w:autoSpaceDE w:val="0"/>
        <w:autoSpaceDN w:val="0"/>
        <w:adjustRightInd w:val="0"/>
        <w:spacing w:line="240" w:lineRule="auto"/>
        <w:contextualSpacing/>
        <w:rPr>
          <w:rFonts w:ascii="Bookman Old Style" w:hAnsi="Bookman Old Style"/>
          <w:b/>
          <w:bCs/>
          <w:i/>
          <w:color w:val="000000"/>
        </w:rPr>
      </w:pPr>
    </w:p>
    <w:p w:rsidR="000E6665" w:rsidRPr="00086773" w:rsidRDefault="000E6665" w:rsidP="004B3FF3">
      <w:pPr>
        <w:autoSpaceDE w:val="0"/>
        <w:autoSpaceDN w:val="0"/>
        <w:adjustRightInd w:val="0"/>
        <w:spacing w:line="240" w:lineRule="auto"/>
        <w:contextualSpacing/>
        <w:rPr>
          <w:rFonts w:ascii="Bookman Old Style" w:hAnsi="Bookman Old Style"/>
          <w:b/>
          <w:bCs/>
          <w:i/>
          <w:color w:val="000000"/>
        </w:rPr>
      </w:pPr>
      <w:r w:rsidRPr="00086773">
        <w:rPr>
          <w:rFonts w:ascii="Bookman Old Style" w:hAnsi="Bookman Old Style"/>
          <w:b/>
          <w:bCs/>
          <w:i/>
          <w:color w:val="000000"/>
        </w:rPr>
        <w:t>Pandemics</w:t>
      </w:r>
    </w:p>
    <w:p w:rsidR="000E6665" w:rsidRDefault="000E6665" w:rsidP="004B3FF3">
      <w:pPr>
        <w:pStyle w:val="NoSpacing"/>
        <w:contextualSpacing/>
        <w:jc w:val="both"/>
        <w:rPr>
          <w:rFonts w:ascii="Bookman Old Style" w:hAnsi="Bookman Old Style"/>
        </w:rPr>
      </w:pPr>
      <w:r>
        <w:rPr>
          <w:rFonts w:ascii="Bookman Old Style" w:hAnsi="Bookman Old Style"/>
        </w:rPr>
        <w:t>A pandemic event will affect the City of Pasco personnel resources.  Normally, influenza epidemics occur annually and usually peak between December and March in temperate regions in the Norther Hemisphere.  In the United States, annual influenza epidemics are associated with an average of 36,000 excess deaths and more than 110,000 excess hospitalizations.</w:t>
      </w:r>
    </w:p>
    <w:p w:rsidR="000E6665" w:rsidRDefault="000E6665" w:rsidP="000E6665">
      <w:pPr>
        <w:pStyle w:val="NoSpacing"/>
        <w:rPr>
          <w:rFonts w:ascii="Bookman Old Style" w:hAnsi="Bookman Old Style"/>
        </w:rPr>
      </w:pPr>
    </w:p>
    <w:p w:rsidR="000E6665" w:rsidRDefault="000E6665" w:rsidP="004B3FF3">
      <w:pPr>
        <w:pStyle w:val="NoSpacing"/>
        <w:contextualSpacing/>
        <w:rPr>
          <w:rFonts w:ascii="Bookman Old Style" w:hAnsi="Bookman Old Style"/>
        </w:rPr>
      </w:pPr>
      <w:r>
        <w:rPr>
          <w:rFonts w:ascii="Bookman Old Style" w:hAnsi="Bookman Old Style"/>
        </w:rPr>
        <w:t>Based on previous pandemics, attack rates for influenza in a community during a pandemic are likely to be as high as 35%.  Although influenza cases and deaths are likely to occur over a several month period throughout the U.S., within the community most of the impact is likely to occur within 4 to 8 weeks.</w:t>
      </w:r>
    </w:p>
    <w:p w:rsidR="000E6665" w:rsidRDefault="000E6665" w:rsidP="000E6665">
      <w:pPr>
        <w:pStyle w:val="NoSpacing"/>
        <w:rPr>
          <w:rFonts w:ascii="Bookman Old Style" w:hAnsi="Bookman Old Style"/>
        </w:rPr>
      </w:pPr>
    </w:p>
    <w:p w:rsidR="000E6665" w:rsidRDefault="000E6665" w:rsidP="004B3FF3">
      <w:pPr>
        <w:pStyle w:val="NoSpacing"/>
        <w:contextualSpacing/>
        <w:jc w:val="both"/>
        <w:rPr>
          <w:rFonts w:ascii="Bookman Old Style" w:hAnsi="Bookman Old Style"/>
        </w:rPr>
      </w:pPr>
      <w:r>
        <w:rPr>
          <w:rFonts w:ascii="Bookman Old Style" w:hAnsi="Bookman Old Style"/>
        </w:rPr>
        <w:t xml:space="preserve">Health care demands are likely to increase substantially during a pandemic while simultaneously the City is likely to see a decrease in response personnel resources.  These demands will likely lead to critical shortages and increased personnel costs.  </w:t>
      </w:r>
    </w:p>
    <w:p w:rsidR="004B3FF3" w:rsidRDefault="004B3FF3" w:rsidP="000E6665">
      <w:pPr>
        <w:pStyle w:val="NoSpacing"/>
        <w:rPr>
          <w:rFonts w:ascii="Bookman Old Style" w:hAnsi="Bookman Old Style"/>
        </w:rPr>
      </w:pPr>
    </w:p>
    <w:p w:rsidR="000E6665" w:rsidRDefault="000E6665" w:rsidP="004B3FF3">
      <w:pPr>
        <w:pStyle w:val="NoSpacing"/>
        <w:contextualSpacing/>
        <w:jc w:val="both"/>
        <w:rPr>
          <w:rFonts w:ascii="Bookman Old Style" w:hAnsi="Bookman Old Style"/>
        </w:rPr>
      </w:pPr>
      <w:r>
        <w:rPr>
          <w:rFonts w:ascii="Bookman Old Style" w:hAnsi="Bookman Old Style"/>
        </w:rPr>
        <w:t>In addition to the increased overall need for health care services, illness and death patterns during pandemic may differ substantially from those seen during non-pandemic years when older adults and persons with compromised immune systems primarily are at risk for serious disease and death.  During the three pandemics of the 20</w:t>
      </w:r>
      <w:r>
        <w:rPr>
          <w:rFonts w:ascii="Bookman Old Style" w:hAnsi="Bookman Old Style"/>
          <w:vertAlign w:val="superscript"/>
        </w:rPr>
        <w:t xml:space="preserve">th </w:t>
      </w:r>
      <w:r>
        <w:rPr>
          <w:rFonts w:ascii="Bookman Old Style" w:hAnsi="Bookman Old Style"/>
        </w:rPr>
        <w:t>century, a substantial portion of the total deaths occurred among persons younger than 65 years who would not be considered at high risk during non-pandemic years.  Higher rates of work absenteeism are likely to occur as employees become ill or need to care for ill family members.</w:t>
      </w:r>
    </w:p>
    <w:p w:rsidR="000E6665" w:rsidRDefault="000E6665" w:rsidP="000E6665">
      <w:pPr>
        <w:pStyle w:val="NoSpacing"/>
        <w:rPr>
          <w:rFonts w:ascii="Bookman Old Style" w:hAnsi="Bookman Old Style"/>
        </w:rPr>
      </w:pPr>
    </w:p>
    <w:p w:rsidR="000E6665" w:rsidRPr="00086773" w:rsidRDefault="000E6665" w:rsidP="004B3FF3">
      <w:pPr>
        <w:pStyle w:val="NoSpacing"/>
        <w:jc w:val="both"/>
        <w:rPr>
          <w:rFonts w:ascii="Bookman Old Style" w:hAnsi="Bookman Old Style"/>
          <w:b/>
          <w:i/>
        </w:rPr>
      </w:pPr>
      <w:r>
        <w:rPr>
          <w:rFonts w:ascii="Bookman Old Style" w:hAnsi="Bookman Old Style"/>
          <w:b/>
          <w:i/>
        </w:rPr>
        <w:t>Terrorism/Hostile Action</w:t>
      </w:r>
    </w:p>
    <w:p w:rsidR="000E6665" w:rsidRDefault="000E6665" w:rsidP="004B3FF3">
      <w:pPr>
        <w:pStyle w:val="NoSpacing"/>
        <w:jc w:val="both"/>
        <w:rPr>
          <w:rFonts w:ascii="Bookman Old Style" w:hAnsi="Bookman Old Style"/>
        </w:rPr>
      </w:pPr>
      <w:r>
        <w:rPr>
          <w:rFonts w:ascii="Bookman Old Style" w:hAnsi="Bookman Old Style"/>
        </w:rPr>
        <w:t xml:space="preserve"> </w:t>
      </w:r>
    </w:p>
    <w:p w:rsidR="000E6665" w:rsidRDefault="000E6665" w:rsidP="004B3FF3">
      <w:pPr>
        <w:pStyle w:val="NoSpacing"/>
        <w:contextualSpacing/>
        <w:jc w:val="both"/>
        <w:rPr>
          <w:rFonts w:ascii="Bookman Old Style" w:hAnsi="Bookman Old Style"/>
        </w:rPr>
      </w:pPr>
      <w:r>
        <w:rPr>
          <w:rFonts w:ascii="Bookman Old Style" w:hAnsi="Bookman Old Style"/>
        </w:rPr>
        <w:t>The City of Pasco has several potential targets of interest for terrorist groups and/or are potential “soft targets” for hostile actions (active shooter).  There are several large facilities that have extremely hazardous chemicals in their inventory, the county seat and city administration facilities are all located within close proximity of each other.  Additionally, the City of Pasco is a transportation hub for rail, barge, vehicular and aviation travel.  The Ice Harbor Dam is located 7 miles north of the city on the Snake River and there is a very large agricultural and food industry in the city that is susceptible to biological terrorism.</w:t>
      </w:r>
    </w:p>
    <w:p w:rsidR="000E6665" w:rsidRDefault="000E6665" w:rsidP="000E6665">
      <w:pPr>
        <w:pStyle w:val="NoSpacing"/>
        <w:rPr>
          <w:rFonts w:ascii="Bookman Old Style" w:hAnsi="Bookman Old Style"/>
        </w:rPr>
      </w:pPr>
    </w:p>
    <w:p w:rsidR="000E6665" w:rsidRDefault="000E6665" w:rsidP="004B3FF3">
      <w:pPr>
        <w:pStyle w:val="NoSpacing"/>
        <w:contextualSpacing/>
        <w:jc w:val="both"/>
        <w:rPr>
          <w:rFonts w:ascii="Bookman Old Style" w:hAnsi="Bookman Old Style"/>
        </w:rPr>
      </w:pPr>
      <w:r>
        <w:rPr>
          <w:rFonts w:ascii="Bookman Old Style" w:hAnsi="Bookman Old Style"/>
        </w:rPr>
        <w:t xml:space="preserve">As of 2017, the Pasco School District funded 22 </w:t>
      </w:r>
      <w:r w:rsidR="003B6C0D">
        <w:rPr>
          <w:rFonts w:ascii="Bookman Old Style" w:hAnsi="Bookman Old Style"/>
        </w:rPr>
        <w:t xml:space="preserve">public </w:t>
      </w:r>
      <w:r>
        <w:rPr>
          <w:rFonts w:ascii="Bookman Old Style" w:hAnsi="Bookman Old Style"/>
        </w:rPr>
        <w:t>schools within the city limits.  The Columbia Basin College is also</w:t>
      </w:r>
      <w:r w:rsidR="003B6C0D">
        <w:rPr>
          <w:rFonts w:ascii="Bookman Old Style" w:hAnsi="Bookman Old Style"/>
        </w:rPr>
        <w:t xml:space="preserve"> located within the city limits as well as two private schools.</w:t>
      </w:r>
    </w:p>
    <w:p w:rsidR="000E6665" w:rsidRDefault="000E6665" w:rsidP="000E6665">
      <w:pPr>
        <w:pStyle w:val="NoSpacing"/>
        <w:rPr>
          <w:rFonts w:ascii="Bookman Old Style" w:hAnsi="Bookman Old Style"/>
        </w:rPr>
      </w:pPr>
    </w:p>
    <w:p w:rsidR="000E6665" w:rsidRDefault="000E6665" w:rsidP="004B3FF3">
      <w:pPr>
        <w:pStyle w:val="NoSpacing"/>
        <w:jc w:val="center"/>
        <w:rPr>
          <w:rFonts w:ascii="Bookman Old Style" w:hAnsi="Bookman Old Style"/>
          <w:b/>
          <w:i/>
        </w:rPr>
      </w:pPr>
      <w:r>
        <w:rPr>
          <w:rFonts w:ascii="Bookman Old Style" w:hAnsi="Bookman Old Style"/>
          <w:b/>
          <w:i/>
        </w:rPr>
        <w:t>Summary of Human and Technological Risks</w:t>
      </w:r>
    </w:p>
    <w:p w:rsidR="000E6665" w:rsidRDefault="000E6665" w:rsidP="000E6665">
      <w:pPr>
        <w:pStyle w:val="NoSpacing"/>
        <w:rPr>
          <w:rFonts w:ascii="Bookman Old Style" w:hAnsi="Bookman Old Style"/>
          <w:b/>
          <w:i/>
        </w:rPr>
      </w:pPr>
    </w:p>
    <w:tbl>
      <w:tblPr>
        <w:tblStyle w:val="LightShading-Accent5"/>
        <w:tblW w:w="0" w:type="auto"/>
        <w:tblLook w:val="04A0" w:firstRow="1" w:lastRow="0" w:firstColumn="1" w:lastColumn="0" w:noHBand="0" w:noVBand="1"/>
      </w:tblPr>
      <w:tblGrid>
        <w:gridCol w:w="3192"/>
        <w:gridCol w:w="3192"/>
        <w:gridCol w:w="3192"/>
      </w:tblGrid>
      <w:tr w:rsidR="000E6665" w:rsidTr="00EE3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b w:val="0"/>
                <w:color w:val="auto"/>
              </w:rPr>
            </w:pPr>
            <w:r w:rsidRPr="00D45972">
              <w:rPr>
                <w:rFonts w:ascii="Bookman Old Style" w:hAnsi="Bookman Old Style"/>
                <w:color w:val="auto"/>
              </w:rPr>
              <w:t>Hazard</w:t>
            </w:r>
          </w:p>
        </w:tc>
        <w:tc>
          <w:tcPr>
            <w:tcW w:w="3192" w:type="dxa"/>
          </w:tcPr>
          <w:p w:rsidR="000E6665" w:rsidRPr="00D45972" w:rsidRDefault="000E6665" w:rsidP="00812E4C">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color w:val="auto"/>
              </w:rPr>
            </w:pPr>
            <w:r w:rsidRPr="00D45972">
              <w:rPr>
                <w:rFonts w:ascii="Bookman Old Style" w:hAnsi="Bookman Old Style"/>
                <w:color w:val="auto"/>
              </w:rPr>
              <w:t>Probability</w:t>
            </w:r>
          </w:p>
        </w:tc>
        <w:tc>
          <w:tcPr>
            <w:tcW w:w="3192" w:type="dxa"/>
          </w:tcPr>
          <w:p w:rsidR="000E6665" w:rsidRPr="00D45972" w:rsidRDefault="000E6665" w:rsidP="00812E4C">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color w:val="auto"/>
              </w:rPr>
            </w:pPr>
            <w:r w:rsidRPr="00D45972">
              <w:rPr>
                <w:rFonts w:ascii="Bookman Old Style" w:hAnsi="Bookman Old Style"/>
                <w:color w:val="auto"/>
              </w:rPr>
              <w:t>Risk</w:t>
            </w:r>
          </w:p>
        </w:tc>
      </w:tr>
      <w:tr w:rsidR="000E6665" w:rsidTr="00E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Hazardous Materials</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High</w:t>
            </w:r>
          </w:p>
        </w:tc>
      </w:tr>
      <w:tr w:rsidR="000E6665" w:rsidTr="00EE3482">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Pandemic</w:t>
            </w:r>
          </w:p>
        </w:tc>
        <w:tc>
          <w:tcPr>
            <w:tcW w:w="3192" w:type="dxa"/>
          </w:tcPr>
          <w:p w:rsidR="000E6665" w:rsidRPr="00D45972" w:rsidRDefault="000E6665" w:rsidP="00812E4C">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0E6665" w:rsidRPr="00D45972" w:rsidRDefault="009B2A81" w:rsidP="00812E4C">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Pr>
                <w:rFonts w:ascii="Bookman Old Style" w:hAnsi="Bookman Old Style"/>
                <w:color w:val="auto"/>
              </w:rPr>
              <w:t>Moderate</w:t>
            </w:r>
          </w:p>
        </w:tc>
      </w:tr>
      <w:tr w:rsidR="000E6665" w:rsidTr="00E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Terrorism/Hostile Action</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bl>
    <w:p w:rsidR="000E6665" w:rsidRPr="00086773" w:rsidRDefault="000E6665" w:rsidP="000E6665">
      <w:pPr>
        <w:pStyle w:val="NoSpacing"/>
        <w:jc w:val="center"/>
        <w:rPr>
          <w:rFonts w:ascii="Bookman Old Style" w:hAnsi="Bookman Old Style"/>
        </w:rPr>
      </w:pPr>
    </w:p>
    <w:p w:rsidR="000E6665" w:rsidRDefault="009B2A81" w:rsidP="000E6665">
      <w:pPr>
        <w:pStyle w:val="NoSpacing"/>
        <w:rPr>
          <w:rFonts w:ascii="Bookman Old Style" w:hAnsi="Bookman Old Style"/>
          <w:b/>
          <w:i/>
        </w:rPr>
      </w:pPr>
      <w:r>
        <w:rPr>
          <w:rFonts w:ascii="Bookman Old Style" w:hAnsi="Bookman Old Style"/>
          <w:b/>
          <w:i/>
        </w:rPr>
        <w:t>Human and Technological Risks – Conclusion</w:t>
      </w:r>
    </w:p>
    <w:p w:rsidR="009B2A81" w:rsidRDefault="009B2A81" w:rsidP="000E6665">
      <w:pPr>
        <w:pStyle w:val="NoSpacing"/>
        <w:rPr>
          <w:rFonts w:ascii="Bookman Old Style" w:hAnsi="Bookman Old Style"/>
        </w:rPr>
      </w:pPr>
    </w:p>
    <w:p w:rsidR="00704588" w:rsidRDefault="00704588" w:rsidP="000E6665">
      <w:pPr>
        <w:pStyle w:val="NoSpacing"/>
        <w:rPr>
          <w:rFonts w:ascii="Bookman Old Style" w:hAnsi="Bookman Old Style"/>
        </w:rPr>
      </w:pPr>
      <w:r>
        <w:rPr>
          <w:rFonts w:ascii="Bookman Old Style" w:hAnsi="Bookman Old Style"/>
        </w:rPr>
        <w:t xml:space="preserve">With the exception of a Pandemic, the human and technological risks are </w:t>
      </w:r>
      <w:r w:rsidR="006530A1">
        <w:rPr>
          <w:rFonts w:ascii="Bookman Old Style" w:hAnsi="Bookman Old Style"/>
        </w:rPr>
        <w:t xml:space="preserve">classified as relatively low frequency – moderate risk.  These events will require specialized response capabilities such as Hazardous Materials Response Teams, Special Weapons and Tactics Teams, etc.  The magnitude and duration of the event(s) can range the spectrum from acute (short-lived) to long term.  </w:t>
      </w:r>
      <w:r w:rsidR="001B3B38">
        <w:rPr>
          <w:rFonts w:ascii="Bookman Old Style" w:hAnsi="Bookman Old Style"/>
        </w:rPr>
        <w:t>The primary effects are likely to be economic and loss of life.</w:t>
      </w:r>
    </w:p>
    <w:p w:rsidR="001B3B38" w:rsidRPr="00704588" w:rsidRDefault="001B3B38" w:rsidP="000E6665">
      <w:pPr>
        <w:pStyle w:val="NoSpacing"/>
        <w:rPr>
          <w:rFonts w:ascii="Bookman Old Style" w:hAnsi="Bookman Old Style"/>
        </w:rPr>
      </w:pPr>
    </w:p>
    <w:p w:rsidR="009B2A81" w:rsidRPr="009B2A81" w:rsidRDefault="009B2A81" w:rsidP="000E6665">
      <w:pPr>
        <w:pStyle w:val="NoSpacing"/>
        <w:rPr>
          <w:rFonts w:ascii="Bookman Old Style" w:hAnsi="Bookman Old Style"/>
        </w:rPr>
      </w:pPr>
    </w:p>
    <w:p w:rsidR="000E6665" w:rsidRPr="00086773" w:rsidRDefault="000E6665" w:rsidP="000E6665">
      <w:pPr>
        <w:pStyle w:val="NoSpacing"/>
        <w:rPr>
          <w:rFonts w:ascii="Bookman Old Style" w:hAnsi="Bookman Old Style"/>
          <w:b/>
          <w:i/>
          <w:sz w:val="28"/>
        </w:rPr>
      </w:pPr>
      <w:r w:rsidRPr="00086773">
        <w:rPr>
          <w:rFonts w:ascii="Bookman Old Style" w:hAnsi="Bookman Old Style"/>
          <w:b/>
          <w:i/>
          <w:sz w:val="28"/>
        </w:rPr>
        <w:t>Transportation Risks</w:t>
      </w:r>
    </w:p>
    <w:p w:rsidR="000E6665" w:rsidRDefault="000E6665" w:rsidP="000E6665">
      <w:pPr>
        <w:pStyle w:val="NoSpacing"/>
        <w:rPr>
          <w:rFonts w:ascii="Bookman Old Style" w:hAnsi="Bookman Old Style"/>
          <w:b/>
          <w:i/>
        </w:rPr>
      </w:pPr>
      <w:r>
        <w:rPr>
          <w:rFonts w:ascii="Bookman Old Style" w:hAnsi="Bookman Old Style"/>
          <w:b/>
          <w:i/>
        </w:rPr>
        <w:t>Aviation</w:t>
      </w:r>
    </w:p>
    <w:p w:rsidR="000E6665" w:rsidRDefault="000E6665" w:rsidP="000E6665">
      <w:pPr>
        <w:pStyle w:val="NoSpacing"/>
        <w:rPr>
          <w:rFonts w:ascii="Bookman Old Style" w:hAnsi="Bookman Old Style"/>
        </w:rPr>
      </w:pPr>
    </w:p>
    <w:p w:rsidR="000E6665" w:rsidRDefault="000E6665" w:rsidP="004B3FF3">
      <w:pPr>
        <w:pStyle w:val="NoSpacing"/>
        <w:spacing w:after="200"/>
        <w:contextualSpacing/>
        <w:jc w:val="both"/>
        <w:rPr>
          <w:rFonts w:ascii="Bookman Old Style" w:hAnsi="Bookman Old Style"/>
        </w:rPr>
      </w:pPr>
      <w:r>
        <w:rPr>
          <w:rFonts w:ascii="Bookman Old Style" w:hAnsi="Bookman Old Style"/>
        </w:rPr>
        <w:t>The Tri-Cities Airport (FAA Index B), located in the north-central portion of the City of Pasco, is the largest airport in southeastern Washington and the fourth largest airport in the state of Washington with enplanements in excess of 300,000 per year (2014-2016).  The airport is serviced by four commercial passenger airlines, commercial cargo services, charters, military and private aircraft.</w:t>
      </w:r>
    </w:p>
    <w:p w:rsidR="000E6665" w:rsidRDefault="000E6665" w:rsidP="000E6665">
      <w:pPr>
        <w:pStyle w:val="NoSpacing"/>
        <w:rPr>
          <w:rFonts w:ascii="Bookman Old Style" w:hAnsi="Bookman Old Style"/>
        </w:rPr>
      </w:pPr>
    </w:p>
    <w:p w:rsidR="000E6665" w:rsidRDefault="000E6665" w:rsidP="004B3FF3">
      <w:pPr>
        <w:pStyle w:val="NoSpacing"/>
        <w:spacing w:after="200"/>
        <w:contextualSpacing/>
        <w:jc w:val="both"/>
        <w:rPr>
          <w:rFonts w:ascii="Bookman Old Style" w:hAnsi="Bookman Old Style"/>
        </w:rPr>
      </w:pPr>
      <w:r>
        <w:rPr>
          <w:rFonts w:ascii="Bookman Old Style" w:hAnsi="Bookman Old Style"/>
        </w:rPr>
        <w:t xml:space="preserve">The Pasco Fire Department responds to an average of 10 aviation incidents per year.  The majority of these incidents are categorized as Alert 1 (the lowest risk category).  </w:t>
      </w:r>
    </w:p>
    <w:p w:rsidR="000E6665" w:rsidRDefault="000E6665" w:rsidP="000E6665">
      <w:pPr>
        <w:pStyle w:val="NoSpacing"/>
        <w:rPr>
          <w:rFonts w:ascii="Bookman Old Style" w:hAnsi="Bookman Old Style"/>
        </w:rPr>
      </w:pPr>
    </w:p>
    <w:p w:rsidR="000E6665" w:rsidRPr="00086773" w:rsidRDefault="000E6665" w:rsidP="004B3FF3">
      <w:pPr>
        <w:pStyle w:val="NoSpacing"/>
        <w:spacing w:after="200"/>
        <w:contextualSpacing/>
        <w:jc w:val="both"/>
        <w:rPr>
          <w:rFonts w:ascii="Bookman Old Style" w:hAnsi="Bookman Old Style"/>
        </w:rPr>
      </w:pPr>
      <w:r>
        <w:rPr>
          <w:rFonts w:ascii="Bookman Old Style" w:hAnsi="Bookman Old Style"/>
        </w:rPr>
        <w:t xml:space="preserve">The major effects of an aircraft crash are dependent on the size of the aircraft, location and path of crash, and number of passengers and would include mass casualties/fatalities, fire/explosion, hazardous materials release and property damage.  </w:t>
      </w:r>
    </w:p>
    <w:p w:rsidR="004B3FF3" w:rsidRDefault="004B3FF3" w:rsidP="000E6665">
      <w:pPr>
        <w:pStyle w:val="NoSpacing"/>
        <w:rPr>
          <w:rFonts w:ascii="Bookman Old Style" w:hAnsi="Bookman Old Style"/>
          <w:b/>
          <w:i/>
        </w:rPr>
      </w:pPr>
    </w:p>
    <w:p w:rsidR="000E6665" w:rsidRDefault="000E6665" w:rsidP="000E6665">
      <w:pPr>
        <w:pStyle w:val="NoSpacing"/>
        <w:rPr>
          <w:rFonts w:ascii="Bookman Old Style" w:hAnsi="Bookman Old Style"/>
          <w:b/>
          <w:i/>
        </w:rPr>
      </w:pPr>
      <w:r>
        <w:rPr>
          <w:rFonts w:ascii="Bookman Old Style" w:hAnsi="Bookman Old Style"/>
          <w:b/>
          <w:i/>
        </w:rPr>
        <w:t>Railroad</w:t>
      </w:r>
    </w:p>
    <w:p w:rsidR="000E6665" w:rsidRDefault="000E6665" w:rsidP="000E6665">
      <w:pPr>
        <w:pStyle w:val="NoSpacing"/>
        <w:rPr>
          <w:rFonts w:ascii="Bookman Old Style" w:hAnsi="Bookman Old Style"/>
          <w:b/>
          <w:i/>
        </w:rPr>
      </w:pPr>
    </w:p>
    <w:p w:rsidR="000E6665" w:rsidRDefault="000E6665" w:rsidP="004B3FF3">
      <w:pPr>
        <w:pStyle w:val="NoSpacing"/>
        <w:contextualSpacing/>
        <w:jc w:val="both"/>
        <w:rPr>
          <w:rFonts w:ascii="Bookman Old Style" w:hAnsi="Bookman Old Style"/>
        </w:rPr>
      </w:pPr>
      <w:r>
        <w:rPr>
          <w:rFonts w:ascii="Bookman Old Style" w:hAnsi="Bookman Old Style"/>
        </w:rPr>
        <w:t>The BNSF maintains the largest switching yard west of the Mississippi River in east Pasco.  A 2016 Hazardous Materials Commodity Flow Through study conducted by BNSF indicated that the switch yard serviced 175,007 tank cars either partially or fully loaded with hazardous materials from all nine of the Department of Transportation hazard classifications.</w:t>
      </w:r>
    </w:p>
    <w:p w:rsidR="000E6665" w:rsidRDefault="000E6665" w:rsidP="000E6665">
      <w:pPr>
        <w:pStyle w:val="NoSpacing"/>
        <w:rPr>
          <w:rFonts w:ascii="Bookman Old Style" w:hAnsi="Bookman Old Style"/>
        </w:rPr>
      </w:pPr>
    </w:p>
    <w:p w:rsidR="000E6665" w:rsidRDefault="000E6665" w:rsidP="004B3FF3">
      <w:pPr>
        <w:pStyle w:val="NoSpacing"/>
        <w:spacing w:after="200"/>
        <w:contextualSpacing/>
        <w:jc w:val="both"/>
        <w:rPr>
          <w:rFonts w:ascii="Bookman Old Style" w:hAnsi="Bookman Old Style"/>
        </w:rPr>
      </w:pPr>
      <w:r>
        <w:rPr>
          <w:rFonts w:ascii="Bookman Old Style" w:hAnsi="Bookman Old Style"/>
        </w:rPr>
        <w:t>The BNSF and Union Pacific maintain approximately 75 miles of railway adjacent to the Columbia and Snake Rivers.  These railways transport five Bakken oil trains per day.  Bakken oil is a light sweet crude oil, with volatility comparable to gasoline making it extremely flammable and hazardous.</w:t>
      </w:r>
    </w:p>
    <w:p w:rsidR="00F22FC3" w:rsidRDefault="00F22FC3" w:rsidP="004B3FF3">
      <w:pPr>
        <w:pStyle w:val="NoSpacing"/>
        <w:spacing w:after="200"/>
        <w:contextualSpacing/>
        <w:jc w:val="both"/>
        <w:rPr>
          <w:rFonts w:ascii="Bookman Old Style" w:hAnsi="Bookman Old Style"/>
        </w:rPr>
      </w:pPr>
    </w:p>
    <w:p w:rsidR="00F22FC3" w:rsidRPr="00086773" w:rsidRDefault="00F22FC3" w:rsidP="00F22FC3">
      <w:pPr>
        <w:pStyle w:val="NoSpacing"/>
        <w:spacing w:after="200"/>
        <w:contextualSpacing/>
        <w:jc w:val="center"/>
        <w:rPr>
          <w:rFonts w:ascii="Bookman Old Style" w:hAnsi="Bookman Old Style"/>
        </w:rPr>
      </w:pPr>
      <w:r>
        <w:rPr>
          <w:rFonts w:ascii="Bookman Old Style" w:hAnsi="Bookman Old Style"/>
          <w:noProof/>
        </w:rPr>
        <w:drawing>
          <wp:inline distT="0" distB="0" distL="0" distR="0" wp14:anchorId="166F0E85">
            <wp:extent cx="3389630" cy="2889885"/>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9630" cy="2889885"/>
                    </a:xfrm>
                    <a:prstGeom prst="rect">
                      <a:avLst/>
                    </a:prstGeom>
                    <a:noFill/>
                  </pic:spPr>
                </pic:pic>
              </a:graphicData>
            </a:graphic>
          </wp:inline>
        </w:drawing>
      </w:r>
    </w:p>
    <w:p w:rsidR="000E6665" w:rsidRDefault="000E6665" w:rsidP="000E6665">
      <w:pPr>
        <w:pStyle w:val="NoSpacing"/>
        <w:rPr>
          <w:rFonts w:ascii="Bookman Old Style" w:hAnsi="Bookman Old Style"/>
          <w:b/>
          <w:i/>
        </w:rPr>
      </w:pPr>
    </w:p>
    <w:p w:rsidR="000E6665" w:rsidRDefault="000E6665" w:rsidP="000E6665">
      <w:pPr>
        <w:pStyle w:val="NoSpacing"/>
        <w:rPr>
          <w:rFonts w:ascii="Bookman Old Style" w:hAnsi="Bookman Old Style"/>
          <w:b/>
          <w:i/>
        </w:rPr>
      </w:pPr>
      <w:r>
        <w:rPr>
          <w:rFonts w:ascii="Bookman Old Style" w:hAnsi="Bookman Old Style"/>
          <w:b/>
          <w:i/>
        </w:rPr>
        <w:lastRenderedPageBreak/>
        <w:t>Highway</w:t>
      </w:r>
    </w:p>
    <w:p w:rsidR="000E6665" w:rsidRDefault="000E6665" w:rsidP="000E6665">
      <w:pPr>
        <w:pStyle w:val="NoSpacing"/>
        <w:rPr>
          <w:rFonts w:ascii="Bookman Old Style" w:hAnsi="Bookman Old Style"/>
        </w:rPr>
      </w:pPr>
    </w:p>
    <w:p w:rsidR="000E6665" w:rsidRPr="00086773" w:rsidRDefault="000E6665" w:rsidP="004B3FF3">
      <w:pPr>
        <w:spacing w:line="240" w:lineRule="auto"/>
        <w:contextualSpacing/>
        <w:jc w:val="both"/>
        <w:rPr>
          <w:rFonts w:ascii="Bookman Old Style" w:hAnsi="Bookman Old Style"/>
        </w:rPr>
      </w:pPr>
      <w:r w:rsidRPr="00086773">
        <w:rPr>
          <w:rFonts w:ascii="Bookman Old Style" w:hAnsi="Bookman Old Style"/>
        </w:rPr>
        <w:t>The City o</w:t>
      </w:r>
      <w:r>
        <w:rPr>
          <w:rFonts w:ascii="Bookman Old Style" w:hAnsi="Bookman Old Style"/>
        </w:rPr>
        <w:t>f Pasco is</w:t>
      </w:r>
      <w:r w:rsidRPr="00086773">
        <w:rPr>
          <w:rFonts w:ascii="Bookman Old Style" w:hAnsi="Bookman Old Style"/>
        </w:rPr>
        <w:t xml:space="preserve"> bisected by Interstate I-</w:t>
      </w:r>
      <w:r w:rsidR="00026DA3">
        <w:rPr>
          <w:rFonts w:ascii="Bookman Old Style" w:hAnsi="Bookman Old Style"/>
        </w:rPr>
        <w:t>1</w:t>
      </w:r>
      <w:r w:rsidRPr="00086773">
        <w:rPr>
          <w:rFonts w:ascii="Bookman Old Style" w:hAnsi="Bookman Old Style"/>
        </w:rPr>
        <w:t>82 (running east/west) and U.S. Route 395 (running north/south).</w:t>
      </w:r>
      <w:r>
        <w:rPr>
          <w:rFonts w:ascii="Bookman Old Style" w:hAnsi="Bookman Old Style"/>
        </w:rPr>
        <w:t xml:space="preserve">  Due to an increasing population, and the inter-modal methods of transportation that are supported in Pasco, vehicular traffic and accidents continue to increase.   </w:t>
      </w:r>
    </w:p>
    <w:p w:rsidR="000E6665" w:rsidRDefault="000E6665" w:rsidP="000E6665">
      <w:pPr>
        <w:pStyle w:val="NoSpacing"/>
        <w:rPr>
          <w:rFonts w:ascii="Bookman Old Style" w:hAnsi="Bookman Old Style"/>
          <w:b/>
          <w:i/>
        </w:rPr>
      </w:pPr>
      <w:r>
        <w:rPr>
          <w:rFonts w:ascii="Bookman Old Style" w:hAnsi="Bookman Old Style"/>
          <w:b/>
          <w:i/>
        </w:rPr>
        <w:t>Marine</w:t>
      </w:r>
    </w:p>
    <w:p w:rsidR="000E6665" w:rsidRDefault="000E6665" w:rsidP="000E6665">
      <w:pPr>
        <w:pStyle w:val="NoSpacing"/>
        <w:rPr>
          <w:rFonts w:ascii="Bookman Old Style" w:hAnsi="Bookman Old Style"/>
          <w:b/>
          <w:i/>
        </w:rPr>
      </w:pPr>
    </w:p>
    <w:p w:rsidR="000E6665" w:rsidRDefault="000E6665" w:rsidP="004B3FF3">
      <w:pPr>
        <w:pStyle w:val="NoSpacing"/>
        <w:spacing w:after="200"/>
        <w:contextualSpacing/>
        <w:rPr>
          <w:rFonts w:ascii="Bookman Old Style" w:hAnsi="Bookman Old Style"/>
        </w:rPr>
      </w:pPr>
      <w:r>
        <w:rPr>
          <w:rFonts w:ascii="Bookman Old Style" w:hAnsi="Bookman Old Style"/>
        </w:rPr>
        <w:t>The Tesoro and Tidewater Pasco Terminals located in the Port of Pasco on the Snake River provide regional barge and rail terminal service and storage of petroleum, fertilizer, chemicals, and bio-fuels.</w:t>
      </w:r>
    </w:p>
    <w:p w:rsidR="000E6665" w:rsidRDefault="000E6665" w:rsidP="000E6665">
      <w:pPr>
        <w:pStyle w:val="NoSpacing"/>
        <w:rPr>
          <w:rFonts w:ascii="Bookman Old Style" w:hAnsi="Bookman Old Style"/>
        </w:rPr>
      </w:pPr>
    </w:p>
    <w:p w:rsidR="000E6665" w:rsidRDefault="000E6665" w:rsidP="00202AB4">
      <w:pPr>
        <w:pStyle w:val="NoSpacing"/>
        <w:spacing w:after="200"/>
        <w:jc w:val="both"/>
        <w:rPr>
          <w:rFonts w:ascii="Bookman Old Style" w:hAnsi="Bookman Old Style"/>
        </w:rPr>
      </w:pPr>
      <w:r>
        <w:rPr>
          <w:rFonts w:ascii="Bookman Old Style" w:hAnsi="Bookman Old Style"/>
        </w:rPr>
        <w:t xml:space="preserve">Tidewater Barge Lines is the largest inland marine transportation company west of the Mississippi River.  Tidewater offers a comprehensive range of onshore and offshore cleaning and waste transportation services to the marine and industrial business markets.  Tidewater transports refined petroleum products and bio-blends in 8 double hulled barges with a capacity of 264,000 barrels.  </w:t>
      </w:r>
    </w:p>
    <w:p w:rsidR="000E6665" w:rsidRDefault="000E6665" w:rsidP="000E6665">
      <w:pPr>
        <w:pStyle w:val="NoSpacing"/>
        <w:rPr>
          <w:rFonts w:ascii="Bookman Old Style" w:hAnsi="Bookman Old Style"/>
        </w:rPr>
      </w:pPr>
    </w:p>
    <w:p w:rsidR="000E6665" w:rsidRDefault="000E6665" w:rsidP="00202AB4">
      <w:pPr>
        <w:pStyle w:val="NoSpacing"/>
        <w:spacing w:after="200"/>
        <w:contextualSpacing/>
        <w:jc w:val="both"/>
        <w:rPr>
          <w:rFonts w:ascii="Bookman Old Style" w:hAnsi="Bookman Old Style"/>
        </w:rPr>
      </w:pPr>
      <w:r>
        <w:rPr>
          <w:rFonts w:ascii="Bookman Old Style" w:hAnsi="Bookman Old Style"/>
        </w:rPr>
        <w:t xml:space="preserve">Tesoro Logistics LP is a full-service logistics company operating, through its subsidiaries in the western and mid-continent regions of the United States.  Tesoro owns and operates over 4,000 miles of crude oil, refined products and natural gas pipelines, as well as 41 crude oil and refined products truck, marine and storage terminals and has over 26 million barrels of storage capacity. </w:t>
      </w:r>
    </w:p>
    <w:p w:rsidR="000E6665" w:rsidRDefault="000E6665" w:rsidP="000E6665">
      <w:pPr>
        <w:pStyle w:val="NoSpacing"/>
        <w:rPr>
          <w:rFonts w:ascii="Bookman Old Style" w:hAnsi="Bookman Old Style"/>
        </w:rPr>
      </w:pPr>
    </w:p>
    <w:p w:rsidR="000E6665" w:rsidRDefault="000E6665" w:rsidP="00202AB4">
      <w:pPr>
        <w:pStyle w:val="NoSpacing"/>
        <w:contextualSpacing/>
        <w:rPr>
          <w:rFonts w:ascii="Bookman Old Style" w:hAnsi="Bookman Old Style"/>
        </w:rPr>
      </w:pPr>
      <w:r>
        <w:rPr>
          <w:rFonts w:ascii="Bookman Old Style" w:hAnsi="Bookman Old Style"/>
        </w:rPr>
        <w:t xml:space="preserve">The Pasco Tesoro Logistics site maintains 26 tanks with a potential capacity of over 500,000 barrels of primarily contain gasoline and other fuel products.  </w:t>
      </w:r>
    </w:p>
    <w:p w:rsidR="00202AB4" w:rsidRDefault="00202AB4" w:rsidP="00B46E00">
      <w:pPr>
        <w:pStyle w:val="NoSpacing"/>
        <w:rPr>
          <w:rFonts w:ascii="Bookman Old Style" w:hAnsi="Bookman Old Style"/>
          <w:b/>
          <w:i/>
        </w:rPr>
      </w:pPr>
    </w:p>
    <w:p w:rsidR="00202AB4" w:rsidRDefault="00202AB4" w:rsidP="00202AB4">
      <w:pPr>
        <w:pStyle w:val="NoSpacing"/>
        <w:jc w:val="center"/>
        <w:rPr>
          <w:rFonts w:ascii="Bookman Old Style" w:hAnsi="Bookman Old Style"/>
          <w:b/>
          <w:i/>
        </w:rPr>
      </w:pPr>
    </w:p>
    <w:p w:rsidR="000E6665" w:rsidRDefault="000E6665" w:rsidP="00202AB4">
      <w:pPr>
        <w:pStyle w:val="NoSpacing"/>
        <w:jc w:val="center"/>
        <w:rPr>
          <w:rFonts w:ascii="Bookman Old Style" w:hAnsi="Bookman Old Style"/>
          <w:b/>
          <w:i/>
        </w:rPr>
      </w:pPr>
      <w:r>
        <w:rPr>
          <w:rFonts w:ascii="Bookman Old Style" w:hAnsi="Bookman Old Style"/>
          <w:b/>
          <w:i/>
        </w:rPr>
        <w:t>Summary of Transportation Risks</w:t>
      </w:r>
    </w:p>
    <w:p w:rsidR="000E6665" w:rsidRDefault="000E6665" w:rsidP="000E6665">
      <w:pPr>
        <w:pStyle w:val="NoSpacing"/>
        <w:rPr>
          <w:rFonts w:ascii="Bookman Old Style" w:hAnsi="Bookman Old Style"/>
        </w:rPr>
      </w:pPr>
    </w:p>
    <w:tbl>
      <w:tblPr>
        <w:tblStyle w:val="LightShading-Accent5"/>
        <w:tblW w:w="0" w:type="auto"/>
        <w:tblLook w:val="04A0" w:firstRow="1" w:lastRow="0" w:firstColumn="1" w:lastColumn="0" w:noHBand="0" w:noVBand="1"/>
      </w:tblPr>
      <w:tblGrid>
        <w:gridCol w:w="3192"/>
        <w:gridCol w:w="3192"/>
        <w:gridCol w:w="3192"/>
      </w:tblGrid>
      <w:tr w:rsidR="000E6665" w:rsidTr="00EE3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Hazard</w:t>
            </w:r>
          </w:p>
        </w:tc>
        <w:tc>
          <w:tcPr>
            <w:tcW w:w="3192" w:type="dxa"/>
          </w:tcPr>
          <w:p w:rsidR="000E6665" w:rsidRPr="00D45972" w:rsidRDefault="000E6665" w:rsidP="00812E4C">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Probability</w:t>
            </w:r>
          </w:p>
        </w:tc>
        <w:tc>
          <w:tcPr>
            <w:tcW w:w="3192" w:type="dxa"/>
          </w:tcPr>
          <w:p w:rsidR="000E6665" w:rsidRPr="00D45972" w:rsidRDefault="000E6665" w:rsidP="00812E4C">
            <w:pPr>
              <w:pStyle w:val="NoSpacing"/>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Risk</w:t>
            </w:r>
          </w:p>
        </w:tc>
      </w:tr>
      <w:tr w:rsidR="000E6665" w:rsidTr="00E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Aviation</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r w:rsidR="000E6665" w:rsidTr="00EE3482">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Railroad</w:t>
            </w:r>
          </w:p>
        </w:tc>
        <w:tc>
          <w:tcPr>
            <w:tcW w:w="3192" w:type="dxa"/>
          </w:tcPr>
          <w:p w:rsidR="000E6665" w:rsidRPr="00D45972" w:rsidRDefault="000E6665" w:rsidP="00812E4C">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High</w:t>
            </w:r>
          </w:p>
        </w:tc>
        <w:tc>
          <w:tcPr>
            <w:tcW w:w="3192" w:type="dxa"/>
          </w:tcPr>
          <w:p w:rsidR="000E6665" w:rsidRPr="00D45972" w:rsidRDefault="000E6665" w:rsidP="00812E4C">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r w:rsidR="000E6665" w:rsidTr="00EE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Highway</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High</w:t>
            </w:r>
          </w:p>
        </w:tc>
        <w:tc>
          <w:tcPr>
            <w:tcW w:w="3192" w:type="dxa"/>
          </w:tcPr>
          <w:p w:rsidR="000E6665" w:rsidRPr="00D45972" w:rsidRDefault="000E6665" w:rsidP="00812E4C">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Moderate</w:t>
            </w:r>
          </w:p>
        </w:tc>
      </w:tr>
      <w:tr w:rsidR="000E6665" w:rsidTr="00EE3482">
        <w:tc>
          <w:tcPr>
            <w:cnfStyle w:val="001000000000" w:firstRow="0" w:lastRow="0" w:firstColumn="1" w:lastColumn="0" w:oddVBand="0" w:evenVBand="0" w:oddHBand="0" w:evenHBand="0" w:firstRowFirstColumn="0" w:firstRowLastColumn="0" w:lastRowFirstColumn="0" w:lastRowLastColumn="0"/>
            <w:tcW w:w="3192" w:type="dxa"/>
          </w:tcPr>
          <w:p w:rsidR="000E6665" w:rsidRPr="00D45972" w:rsidRDefault="000E6665" w:rsidP="00812E4C">
            <w:pPr>
              <w:pStyle w:val="NoSpacing"/>
              <w:jc w:val="center"/>
              <w:rPr>
                <w:rFonts w:ascii="Bookman Old Style" w:hAnsi="Bookman Old Style"/>
                <w:color w:val="auto"/>
              </w:rPr>
            </w:pPr>
            <w:r w:rsidRPr="00D45972">
              <w:rPr>
                <w:rFonts w:ascii="Bookman Old Style" w:hAnsi="Bookman Old Style"/>
                <w:color w:val="auto"/>
              </w:rPr>
              <w:t>Marine</w:t>
            </w:r>
          </w:p>
        </w:tc>
        <w:tc>
          <w:tcPr>
            <w:tcW w:w="3192" w:type="dxa"/>
          </w:tcPr>
          <w:p w:rsidR="000E6665" w:rsidRPr="00D45972" w:rsidRDefault="000E6665" w:rsidP="00812E4C">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c>
          <w:tcPr>
            <w:tcW w:w="3192" w:type="dxa"/>
          </w:tcPr>
          <w:p w:rsidR="000E6665" w:rsidRPr="00D45972" w:rsidRDefault="000E6665" w:rsidP="00812E4C">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olor w:val="auto"/>
              </w:rPr>
            </w:pPr>
            <w:r w:rsidRPr="00D45972">
              <w:rPr>
                <w:rFonts w:ascii="Bookman Old Style" w:hAnsi="Bookman Old Style"/>
                <w:color w:val="auto"/>
              </w:rPr>
              <w:t>Low</w:t>
            </w:r>
          </w:p>
        </w:tc>
      </w:tr>
    </w:tbl>
    <w:p w:rsidR="000E6665" w:rsidRPr="00086773" w:rsidRDefault="000E6665" w:rsidP="000E6665">
      <w:pPr>
        <w:pStyle w:val="NoSpacing"/>
        <w:jc w:val="center"/>
        <w:rPr>
          <w:rFonts w:ascii="Bookman Old Style" w:hAnsi="Bookman Old Style"/>
        </w:rPr>
      </w:pPr>
    </w:p>
    <w:p w:rsidR="000E6665" w:rsidRDefault="000E6665" w:rsidP="000E6665">
      <w:pPr>
        <w:pStyle w:val="NoSpacing"/>
        <w:rPr>
          <w:rFonts w:ascii="Bookman Old Style" w:hAnsi="Bookman Old Style"/>
        </w:rPr>
      </w:pPr>
    </w:p>
    <w:p w:rsidR="001B3B38" w:rsidRDefault="001B3B38" w:rsidP="000E6665">
      <w:pPr>
        <w:pStyle w:val="NoSpacing"/>
        <w:spacing w:after="200"/>
        <w:contextualSpacing/>
        <w:jc w:val="both"/>
        <w:rPr>
          <w:rFonts w:ascii="Bookman Old Style" w:hAnsi="Bookman Old Style"/>
          <w:b/>
          <w:i/>
        </w:rPr>
      </w:pPr>
      <w:r>
        <w:rPr>
          <w:rFonts w:ascii="Bookman Old Style" w:hAnsi="Bookman Old Style"/>
          <w:b/>
          <w:i/>
        </w:rPr>
        <w:t>Transportation Risk – Conclusion</w:t>
      </w:r>
    </w:p>
    <w:p w:rsidR="001B3B38" w:rsidRDefault="001B3B38" w:rsidP="000E6665">
      <w:pPr>
        <w:pStyle w:val="NoSpacing"/>
        <w:spacing w:after="200"/>
        <w:contextualSpacing/>
        <w:jc w:val="both"/>
        <w:rPr>
          <w:rFonts w:ascii="Bookman Old Style" w:hAnsi="Bookman Old Style"/>
          <w:b/>
          <w:i/>
        </w:rPr>
      </w:pPr>
    </w:p>
    <w:p w:rsidR="00A91830" w:rsidRDefault="001B3B38" w:rsidP="00A91830">
      <w:pPr>
        <w:pStyle w:val="NoSpacing"/>
        <w:spacing w:after="200"/>
        <w:contextualSpacing/>
        <w:jc w:val="both"/>
        <w:rPr>
          <w:rFonts w:ascii="Bookman Old Style" w:hAnsi="Bookman Old Style"/>
        </w:rPr>
      </w:pPr>
      <w:r>
        <w:rPr>
          <w:rFonts w:ascii="Bookman Old Style" w:hAnsi="Bookman Old Style"/>
        </w:rPr>
        <w:t>The City of Pasco serves as a transportation hub in southeastern Washington.  Transportation hazards are unique in that the frequency and magnitude</w:t>
      </w:r>
      <w:r w:rsidR="00A91830">
        <w:rPr>
          <w:rFonts w:ascii="Bookman Old Style" w:hAnsi="Bookman Old Style"/>
        </w:rPr>
        <w:t xml:space="preserve"> can be minimized. Using the threat matrix for transportation risks, the Pasco Fire Department must maintain a highly trained response force in heavy and light vehicle and machinery extrication, aircraft rescue and firefighting skills and techniques and water rescue.</w:t>
      </w:r>
      <w:bookmarkStart w:id="14" w:name="_Toc474159552"/>
      <w:bookmarkStart w:id="15" w:name="_Toc475003850"/>
    </w:p>
    <w:p w:rsidR="00546B74" w:rsidRDefault="00546B74" w:rsidP="00A91830">
      <w:pPr>
        <w:pStyle w:val="NoSpacing"/>
        <w:spacing w:after="200"/>
        <w:contextualSpacing/>
        <w:jc w:val="both"/>
        <w:rPr>
          <w:rFonts w:ascii="Bookman Old Style" w:hAnsi="Bookman Old Style"/>
        </w:rPr>
      </w:pPr>
    </w:p>
    <w:p w:rsidR="00546B74" w:rsidRDefault="00546B74" w:rsidP="00A91830">
      <w:pPr>
        <w:pStyle w:val="NoSpacing"/>
        <w:spacing w:after="200"/>
        <w:contextualSpacing/>
        <w:jc w:val="both"/>
        <w:rPr>
          <w:rFonts w:ascii="Bookman Old Style" w:hAnsi="Bookman Old Style"/>
        </w:rPr>
      </w:pPr>
    </w:p>
    <w:p w:rsidR="00546B74" w:rsidRDefault="00546B74" w:rsidP="00A91830">
      <w:pPr>
        <w:pStyle w:val="NoSpacing"/>
        <w:spacing w:after="200"/>
        <w:contextualSpacing/>
        <w:jc w:val="both"/>
        <w:rPr>
          <w:rFonts w:ascii="Bookman Old Style" w:hAnsi="Bookman Old Style"/>
        </w:rPr>
      </w:pPr>
    </w:p>
    <w:p w:rsidR="00546B74" w:rsidRDefault="00483CE9" w:rsidP="00A91830">
      <w:pPr>
        <w:pStyle w:val="NoSpacing"/>
        <w:spacing w:after="200"/>
        <w:contextualSpacing/>
        <w:jc w:val="both"/>
        <w:rPr>
          <w:rFonts w:ascii="Bookman Old Style" w:hAnsi="Bookman Old Style"/>
          <w:b/>
          <w:i/>
          <w:sz w:val="28"/>
        </w:rPr>
      </w:pPr>
      <w:r>
        <w:rPr>
          <w:rFonts w:ascii="Bookman Old Style" w:hAnsi="Bookman Old Style"/>
          <w:b/>
          <w:i/>
          <w:sz w:val="28"/>
        </w:rPr>
        <w:lastRenderedPageBreak/>
        <w:t>Natural Resources</w:t>
      </w:r>
      <w:r w:rsidR="00DF0E93">
        <w:rPr>
          <w:rFonts w:ascii="Bookman Old Style" w:hAnsi="Bookman Old Style"/>
          <w:b/>
          <w:i/>
          <w:sz w:val="28"/>
        </w:rPr>
        <w:t xml:space="preserve"> –</w:t>
      </w:r>
      <w:r>
        <w:rPr>
          <w:rFonts w:ascii="Bookman Old Style" w:hAnsi="Bookman Old Style"/>
          <w:b/>
          <w:i/>
          <w:sz w:val="28"/>
        </w:rPr>
        <w:t xml:space="preserve"> </w:t>
      </w:r>
      <w:r w:rsidR="00DF0E93">
        <w:rPr>
          <w:rFonts w:ascii="Bookman Old Style" w:hAnsi="Bookman Old Style"/>
          <w:b/>
          <w:i/>
          <w:sz w:val="28"/>
        </w:rPr>
        <w:t>Summary</w:t>
      </w:r>
    </w:p>
    <w:p w:rsidR="00DF0E93" w:rsidRDefault="00DF0E93" w:rsidP="00A91830">
      <w:pPr>
        <w:pStyle w:val="NoSpacing"/>
        <w:spacing w:after="200"/>
        <w:contextualSpacing/>
        <w:jc w:val="both"/>
        <w:rPr>
          <w:rFonts w:ascii="Bookman Old Style" w:hAnsi="Bookman Old Style"/>
          <w:sz w:val="24"/>
        </w:rPr>
      </w:pPr>
    </w:p>
    <w:p w:rsidR="00DF0E93" w:rsidRDefault="004E0F85" w:rsidP="00A91830">
      <w:pPr>
        <w:pStyle w:val="NoSpacing"/>
        <w:spacing w:after="200"/>
        <w:contextualSpacing/>
        <w:jc w:val="both"/>
        <w:rPr>
          <w:rFonts w:ascii="Bookman Old Style" w:hAnsi="Bookman Old Style"/>
          <w:sz w:val="24"/>
        </w:rPr>
      </w:pPr>
      <w:r>
        <w:rPr>
          <w:rFonts w:ascii="Bookman Old Style" w:hAnsi="Bookman Old Style"/>
          <w:sz w:val="24"/>
        </w:rPr>
        <w:t>The City of Pasco and the</w:t>
      </w:r>
      <w:r w:rsidR="00DF0E93">
        <w:rPr>
          <w:rFonts w:ascii="Bookman Old Style" w:hAnsi="Bookman Old Style"/>
          <w:sz w:val="24"/>
        </w:rPr>
        <w:t xml:space="preserve"> Middle Columbia River Subbasin offers a wide variety of aquatic, riparian, and upland natural habitats.  These habitats support a very diverse wildlife species, including large and small mammals, song birds, birds of prey, upland birds, and other waterfowl, as well as numerous reptiles and amphibians.  Some wildlife species are resident throughout the year, while others are migratory.  Many of the wildlife species found in the subbasin are classified as threatened, endangered, sensitive, or of special concern as defined by the federal Endangered Species Act or Washington State guidelines.</w:t>
      </w:r>
    </w:p>
    <w:p w:rsidR="00DF0E93" w:rsidRDefault="00DF0E93" w:rsidP="00A91830">
      <w:pPr>
        <w:pStyle w:val="NoSpacing"/>
        <w:spacing w:after="200"/>
        <w:contextualSpacing/>
        <w:jc w:val="both"/>
        <w:rPr>
          <w:rFonts w:ascii="Bookman Old Style" w:hAnsi="Bookman Old Style"/>
          <w:sz w:val="24"/>
        </w:rPr>
      </w:pPr>
    </w:p>
    <w:p w:rsidR="00DF0E93" w:rsidRDefault="00DF0E93" w:rsidP="00A91830">
      <w:pPr>
        <w:pStyle w:val="NoSpacing"/>
        <w:spacing w:after="200"/>
        <w:contextualSpacing/>
        <w:jc w:val="both"/>
        <w:rPr>
          <w:rFonts w:ascii="Bookman Old Style" w:hAnsi="Bookman Old Style"/>
          <w:sz w:val="24"/>
        </w:rPr>
      </w:pPr>
      <w:r>
        <w:rPr>
          <w:rFonts w:ascii="Bookman Old Style" w:hAnsi="Bookman Old Style"/>
          <w:sz w:val="24"/>
        </w:rPr>
        <w:t>The map below indicates naturally sensitive areas as identified by the Washington State Department of Ecology’s Middle Columbia River – McNary Pool Geographic Response Plan.</w:t>
      </w:r>
    </w:p>
    <w:p w:rsidR="00DF0E93" w:rsidRDefault="00DF0E93" w:rsidP="00A91830">
      <w:pPr>
        <w:pStyle w:val="NoSpacing"/>
        <w:spacing w:after="200"/>
        <w:contextualSpacing/>
        <w:jc w:val="both"/>
        <w:rPr>
          <w:rFonts w:ascii="Bookman Old Style" w:hAnsi="Bookman Old Style"/>
          <w:sz w:val="24"/>
        </w:rPr>
      </w:pPr>
    </w:p>
    <w:p w:rsidR="00DF0E93" w:rsidRDefault="00DF0E93" w:rsidP="00A91830">
      <w:pPr>
        <w:pStyle w:val="NoSpacing"/>
        <w:spacing w:after="200"/>
        <w:contextualSpacing/>
        <w:jc w:val="both"/>
        <w:rPr>
          <w:rFonts w:ascii="Bookman Old Style" w:hAnsi="Bookman Old Style"/>
          <w:sz w:val="24"/>
        </w:rPr>
      </w:pPr>
      <w:r>
        <w:rPr>
          <w:rFonts w:ascii="Bookman Old Style" w:hAnsi="Bookman Old Style"/>
          <w:noProof/>
          <w:sz w:val="24"/>
        </w:rPr>
        <w:drawing>
          <wp:inline distT="0" distB="0" distL="0" distR="0">
            <wp:extent cx="5943600" cy="33945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94522"/>
                    </a:xfrm>
                    <a:prstGeom prst="rect">
                      <a:avLst/>
                    </a:prstGeom>
                    <a:noFill/>
                    <a:ln>
                      <a:noFill/>
                    </a:ln>
                  </pic:spPr>
                </pic:pic>
              </a:graphicData>
            </a:graphic>
          </wp:inline>
        </w:drawing>
      </w:r>
    </w:p>
    <w:p w:rsidR="00DF0E93" w:rsidRDefault="00DF0E93" w:rsidP="00A91830">
      <w:pPr>
        <w:pStyle w:val="NoSpacing"/>
        <w:spacing w:after="200"/>
        <w:contextualSpacing/>
        <w:jc w:val="both"/>
        <w:rPr>
          <w:rFonts w:ascii="Bookman Old Style" w:hAnsi="Bookman Old Style"/>
          <w:sz w:val="24"/>
        </w:rPr>
      </w:pPr>
    </w:p>
    <w:p w:rsidR="00DF0E93" w:rsidRDefault="00DF0E93" w:rsidP="00483CE9">
      <w:pPr>
        <w:pStyle w:val="NoSpacing"/>
        <w:spacing w:after="200"/>
        <w:ind w:left="1440" w:hanging="1440"/>
        <w:contextualSpacing/>
        <w:jc w:val="both"/>
        <w:rPr>
          <w:rFonts w:ascii="Bookman Old Style" w:hAnsi="Bookman Old Style"/>
          <w:sz w:val="24"/>
        </w:rPr>
      </w:pPr>
      <w:r>
        <w:rPr>
          <w:rFonts w:ascii="Bookman Old Style" w:hAnsi="Bookman Old Style"/>
          <w:sz w:val="24"/>
        </w:rPr>
        <w:t>Area 5</w:t>
      </w:r>
      <w:r>
        <w:rPr>
          <w:rFonts w:ascii="Bookman Old Style" w:hAnsi="Bookman Old Style"/>
          <w:sz w:val="24"/>
        </w:rPr>
        <w:tab/>
      </w:r>
      <w:r w:rsidRPr="00DF0E93">
        <w:rPr>
          <w:rFonts w:ascii="Bookman Old Style" w:hAnsi="Bookman Old Style"/>
          <w:b/>
          <w:sz w:val="24"/>
        </w:rPr>
        <w:t>McNary Wildlife Refuge/State Wildife Recreation Area:</w:t>
      </w:r>
      <w:r>
        <w:rPr>
          <w:rFonts w:ascii="Bookman Old Style" w:hAnsi="Bookman Old Style"/>
          <w:sz w:val="24"/>
        </w:rPr>
        <w:t xml:space="preserve"> </w:t>
      </w:r>
      <w:r w:rsidR="00483CE9">
        <w:rPr>
          <w:rFonts w:ascii="Bookman Old Style" w:hAnsi="Bookman Old Style"/>
          <w:sz w:val="24"/>
        </w:rPr>
        <w:t>This wildlife area supports very large numbers of waterfowl, seabirds, herons, and sensitive species.  Additionally, the riparian area supports varied wildlife including song and game birds, mule and white-tailed deer, and foraging mammals.</w:t>
      </w:r>
    </w:p>
    <w:p w:rsidR="00483CE9" w:rsidRDefault="00483CE9" w:rsidP="00483CE9">
      <w:pPr>
        <w:pStyle w:val="NoSpacing"/>
        <w:spacing w:after="200"/>
        <w:ind w:left="1440" w:hanging="1440"/>
        <w:contextualSpacing/>
        <w:jc w:val="both"/>
        <w:rPr>
          <w:rFonts w:ascii="Bookman Old Style" w:hAnsi="Bookman Old Style"/>
          <w:sz w:val="24"/>
        </w:rPr>
      </w:pPr>
    </w:p>
    <w:p w:rsidR="00483CE9" w:rsidRDefault="00483CE9" w:rsidP="00483CE9">
      <w:pPr>
        <w:pStyle w:val="NoSpacing"/>
        <w:spacing w:after="200"/>
        <w:ind w:left="1440" w:hanging="1440"/>
        <w:contextualSpacing/>
        <w:jc w:val="both"/>
        <w:rPr>
          <w:rFonts w:ascii="Bookman Old Style" w:hAnsi="Bookman Old Style"/>
          <w:sz w:val="24"/>
        </w:rPr>
      </w:pPr>
      <w:r>
        <w:rPr>
          <w:rFonts w:ascii="Bookman Old Style" w:hAnsi="Bookman Old Style"/>
          <w:sz w:val="24"/>
        </w:rPr>
        <w:t>Area 6</w:t>
      </w:r>
      <w:r>
        <w:rPr>
          <w:rFonts w:ascii="Bookman Old Style" w:hAnsi="Bookman Old Style"/>
          <w:sz w:val="24"/>
        </w:rPr>
        <w:tab/>
      </w:r>
      <w:r w:rsidRPr="00483CE9">
        <w:rPr>
          <w:rFonts w:ascii="Bookman Old Style" w:hAnsi="Bookman Old Style"/>
          <w:b/>
          <w:sz w:val="24"/>
        </w:rPr>
        <w:t>Strawberry Island and Vicinity:</w:t>
      </w:r>
      <w:r>
        <w:rPr>
          <w:rFonts w:ascii="Bookman Old Style" w:hAnsi="Bookman Old Style"/>
          <w:b/>
          <w:sz w:val="24"/>
        </w:rPr>
        <w:t xml:space="preserve"> </w:t>
      </w:r>
      <w:r>
        <w:rPr>
          <w:rFonts w:ascii="Bookman Old Style" w:hAnsi="Bookman Old Style"/>
          <w:sz w:val="24"/>
        </w:rPr>
        <w:t>Migratory waterfowl concentration and nesting areas.</w:t>
      </w:r>
    </w:p>
    <w:p w:rsidR="00483CE9" w:rsidRDefault="00483CE9" w:rsidP="00483CE9">
      <w:pPr>
        <w:pStyle w:val="NoSpacing"/>
        <w:spacing w:after="200"/>
        <w:ind w:left="1440" w:hanging="1440"/>
        <w:contextualSpacing/>
        <w:jc w:val="both"/>
        <w:rPr>
          <w:rFonts w:ascii="Bookman Old Style" w:hAnsi="Bookman Old Style"/>
          <w:sz w:val="24"/>
        </w:rPr>
      </w:pPr>
    </w:p>
    <w:p w:rsidR="00483CE9" w:rsidRDefault="00483CE9" w:rsidP="00483CE9">
      <w:pPr>
        <w:pStyle w:val="NoSpacing"/>
        <w:spacing w:after="200"/>
        <w:ind w:left="1440" w:hanging="1440"/>
        <w:contextualSpacing/>
        <w:jc w:val="both"/>
        <w:rPr>
          <w:rFonts w:ascii="Bookman Old Style" w:hAnsi="Bookman Old Style"/>
          <w:sz w:val="24"/>
        </w:rPr>
      </w:pPr>
    </w:p>
    <w:p w:rsidR="00483CE9" w:rsidRDefault="00483CE9" w:rsidP="00483CE9">
      <w:pPr>
        <w:pStyle w:val="NoSpacing"/>
        <w:spacing w:after="200"/>
        <w:ind w:left="1440" w:hanging="1440"/>
        <w:contextualSpacing/>
        <w:jc w:val="both"/>
        <w:rPr>
          <w:rFonts w:ascii="Bookman Old Style" w:hAnsi="Bookman Old Style"/>
          <w:sz w:val="24"/>
        </w:rPr>
      </w:pPr>
      <w:r>
        <w:rPr>
          <w:rFonts w:ascii="Bookman Old Style" w:hAnsi="Bookman Old Style"/>
          <w:sz w:val="24"/>
        </w:rPr>
        <w:lastRenderedPageBreak/>
        <w:t>Area 7</w:t>
      </w:r>
      <w:r>
        <w:rPr>
          <w:rFonts w:ascii="Bookman Old Style" w:hAnsi="Bookman Old Style"/>
          <w:sz w:val="24"/>
        </w:rPr>
        <w:tab/>
      </w:r>
      <w:r w:rsidRPr="00483CE9">
        <w:rPr>
          <w:rFonts w:ascii="Bookman Old Style" w:hAnsi="Bookman Old Style"/>
          <w:b/>
          <w:sz w:val="24"/>
        </w:rPr>
        <w:t>Bateman Island and Vicinity:</w:t>
      </w:r>
      <w:r>
        <w:rPr>
          <w:rFonts w:ascii="Bookman Old Style" w:hAnsi="Bookman Old Style"/>
          <w:b/>
          <w:sz w:val="24"/>
        </w:rPr>
        <w:t xml:space="preserve">  </w:t>
      </w:r>
      <w:r>
        <w:rPr>
          <w:rFonts w:ascii="Bookman Old Style" w:hAnsi="Bookman Old Style"/>
          <w:sz w:val="24"/>
        </w:rPr>
        <w:t>Waterfowl and shorebird migration and wintering concentration area.  The riparian, wetland, and shrub-steppe area is a concentration and breeding areas for a variety of species.</w:t>
      </w:r>
    </w:p>
    <w:p w:rsidR="00483CE9" w:rsidRDefault="00483CE9" w:rsidP="00483CE9">
      <w:pPr>
        <w:pStyle w:val="NoSpacing"/>
        <w:spacing w:after="200"/>
        <w:ind w:left="1440" w:hanging="1440"/>
        <w:contextualSpacing/>
        <w:jc w:val="both"/>
        <w:rPr>
          <w:rFonts w:ascii="Bookman Old Style" w:hAnsi="Bookman Old Style"/>
          <w:sz w:val="24"/>
        </w:rPr>
      </w:pPr>
    </w:p>
    <w:p w:rsidR="006D065B" w:rsidRDefault="00483CE9" w:rsidP="00483CE9">
      <w:pPr>
        <w:pStyle w:val="NoSpacing"/>
        <w:spacing w:after="200"/>
        <w:ind w:left="1440" w:hanging="1440"/>
        <w:contextualSpacing/>
        <w:jc w:val="both"/>
        <w:rPr>
          <w:rFonts w:ascii="Bookman Old Style" w:hAnsi="Bookman Old Style"/>
          <w:sz w:val="24"/>
        </w:rPr>
      </w:pPr>
      <w:r>
        <w:rPr>
          <w:rFonts w:ascii="Bookman Old Style" w:hAnsi="Bookman Old Style"/>
          <w:sz w:val="24"/>
        </w:rPr>
        <w:t>Area 8</w:t>
      </w:r>
      <w:r>
        <w:rPr>
          <w:rFonts w:ascii="Bookman Old Style" w:hAnsi="Bookman Old Style"/>
          <w:sz w:val="24"/>
        </w:rPr>
        <w:tab/>
      </w:r>
      <w:r w:rsidRPr="00483CE9">
        <w:rPr>
          <w:rFonts w:ascii="Bookman Old Style" w:hAnsi="Bookman Old Style"/>
          <w:b/>
          <w:sz w:val="24"/>
        </w:rPr>
        <w:t>Hanford Reach Islands:</w:t>
      </w:r>
      <w:r>
        <w:rPr>
          <w:rFonts w:ascii="Bookman Old Style" w:hAnsi="Bookman Old Style"/>
          <w:b/>
          <w:sz w:val="24"/>
        </w:rPr>
        <w:t xml:space="preserve"> </w:t>
      </w:r>
      <w:r>
        <w:rPr>
          <w:rFonts w:ascii="Bookman Old Style" w:hAnsi="Bookman Old Style"/>
          <w:sz w:val="24"/>
        </w:rPr>
        <w:t xml:space="preserve">Waterfowl and shorebird migration, wintering, and nesting concentration area.  </w:t>
      </w:r>
    </w:p>
    <w:p w:rsidR="00483CE9" w:rsidRDefault="00483CE9" w:rsidP="00483CE9">
      <w:pPr>
        <w:pStyle w:val="NoSpacing"/>
        <w:spacing w:after="200"/>
        <w:ind w:left="1440" w:hanging="1440"/>
        <w:contextualSpacing/>
        <w:jc w:val="both"/>
        <w:rPr>
          <w:rFonts w:ascii="Bookman Old Style" w:hAnsi="Bookman Old Style"/>
          <w:sz w:val="24"/>
        </w:rPr>
      </w:pPr>
    </w:p>
    <w:p w:rsidR="00483CE9" w:rsidRPr="00483CE9" w:rsidRDefault="00483CE9" w:rsidP="00483CE9">
      <w:pPr>
        <w:pStyle w:val="NoSpacing"/>
        <w:spacing w:after="200"/>
        <w:ind w:left="1440" w:hanging="1440"/>
        <w:contextualSpacing/>
        <w:jc w:val="both"/>
        <w:rPr>
          <w:rFonts w:ascii="Bookman Old Style" w:hAnsi="Bookman Old Style"/>
          <w:sz w:val="24"/>
        </w:rPr>
      </w:pPr>
    </w:p>
    <w:p w:rsidR="000E6665" w:rsidRPr="001E3B4E" w:rsidRDefault="00A91830" w:rsidP="000E6665">
      <w:pPr>
        <w:pStyle w:val="Heading3"/>
        <w:spacing w:before="0" w:after="200"/>
        <w:rPr>
          <w:i/>
          <w:color w:val="auto"/>
          <w:sz w:val="32"/>
          <w:szCs w:val="24"/>
        </w:rPr>
      </w:pPr>
      <w:r>
        <w:rPr>
          <w:i/>
          <w:color w:val="auto"/>
          <w:sz w:val="32"/>
          <w:szCs w:val="24"/>
        </w:rPr>
        <w:t xml:space="preserve">City of Pasco </w:t>
      </w:r>
      <w:r w:rsidR="000E6665" w:rsidRPr="001E3B4E">
        <w:rPr>
          <w:i/>
          <w:color w:val="auto"/>
          <w:sz w:val="32"/>
          <w:szCs w:val="24"/>
        </w:rPr>
        <w:t>Risk Analysis</w:t>
      </w:r>
      <w:bookmarkEnd w:id="14"/>
      <w:bookmarkEnd w:id="15"/>
      <w:r>
        <w:rPr>
          <w:i/>
          <w:color w:val="auto"/>
          <w:sz w:val="32"/>
          <w:szCs w:val="24"/>
        </w:rPr>
        <w:t xml:space="preserve"> - Methodology</w:t>
      </w:r>
    </w:p>
    <w:p w:rsidR="000E6665" w:rsidRPr="00BA2BA5" w:rsidRDefault="000E6665" w:rsidP="000E6665">
      <w:pPr>
        <w:pStyle w:val="NoSpacing"/>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The Pasco Fire Department must thoroughly understand their community risks.  There are various risk/consequence or risk/probability matrices available; but regardless of the labels on the axis, they usually fall into one of the quadrants in the following figure. Utilizing data including event types, frequency of events, and resource needs the following risk analysis can be completed.</w:t>
      </w:r>
    </w:p>
    <w:p w:rsidR="000E6665" w:rsidRPr="00BA2BA5" w:rsidRDefault="000E6665" w:rsidP="000E6665">
      <w:pPr>
        <w:pStyle w:val="NoSpacing"/>
        <w:spacing w:after="200"/>
        <w:contextualSpacing/>
        <w:jc w:val="both"/>
        <w:rPr>
          <w:rFonts w:ascii="Bookman Old Style" w:hAnsi="Bookman Old Style"/>
          <w:color w:val="000000" w:themeColor="text1"/>
          <w:sz w:val="14"/>
        </w:rPr>
      </w:pPr>
    </w:p>
    <w:p w:rsidR="000E6665" w:rsidRPr="00BA2BA5" w:rsidRDefault="000E6665" w:rsidP="000E6665">
      <w:pPr>
        <w:pStyle w:val="NoSpacing"/>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As the risk is generally quantified into one of the four quadrants, a decision is made based upon the level of risk.  It is important to recognize that it is improbable, impractical and unaffordable to completely eliminate risk to the community.  Using a matrix assists fire department officials in determining the acceptable level of risk.  The four quadrants in the figure below may be defined as follows:</w:t>
      </w:r>
    </w:p>
    <w:p w:rsidR="000E6665" w:rsidRPr="00BA2BA5" w:rsidRDefault="000E6665" w:rsidP="000E6665">
      <w:pPr>
        <w:pStyle w:val="NoSpacing"/>
        <w:rPr>
          <w:rFonts w:ascii="Bookman Old Style" w:hAnsi="Bookman Old Style"/>
          <w:color w:val="000000" w:themeColor="text1"/>
        </w:rPr>
      </w:pPr>
    </w:p>
    <w:p w:rsidR="000E6665" w:rsidRDefault="000E6665" w:rsidP="00202AB4">
      <w:pPr>
        <w:pStyle w:val="NoSpacing"/>
        <w:numPr>
          <w:ilvl w:val="0"/>
          <w:numId w:val="4"/>
        </w:numPr>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Low impact/Low probability – Risks in the bottom left corner are low level, with acceptable consequences if the incident occurs.  These can often be considered an acceptable risk and require no further action.</w:t>
      </w:r>
    </w:p>
    <w:p w:rsidR="000E6665" w:rsidRPr="00BA2BA5" w:rsidRDefault="000E6665" w:rsidP="00202AB4">
      <w:pPr>
        <w:pStyle w:val="NoSpacing"/>
        <w:spacing w:after="200"/>
        <w:ind w:left="720"/>
        <w:contextualSpacing/>
        <w:jc w:val="both"/>
        <w:rPr>
          <w:rFonts w:ascii="Bookman Old Style" w:hAnsi="Bookman Old Style"/>
          <w:color w:val="000000" w:themeColor="text1"/>
        </w:rPr>
      </w:pPr>
    </w:p>
    <w:p w:rsidR="000E6665" w:rsidRDefault="000E6665" w:rsidP="00202AB4">
      <w:pPr>
        <w:pStyle w:val="NoSpacing"/>
        <w:numPr>
          <w:ilvl w:val="0"/>
          <w:numId w:val="4"/>
        </w:numPr>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 xml:space="preserve">Low impact/High probability – Risks in the top left corner are moderate level – if the incident happens, the fire department can usually handle it with existing resources.  However, effort should be given to reduce the likelihood that these incidents occur.  </w:t>
      </w:r>
    </w:p>
    <w:p w:rsidR="000E6665" w:rsidRPr="00BA2BA5" w:rsidRDefault="000E6665" w:rsidP="00202AB4">
      <w:pPr>
        <w:pStyle w:val="NoSpacing"/>
        <w:spacing w:after="200"/>
        <w:contextualSpacing/>
        <w:jc w:val="both"/>
        <w:rPr>
          <w:rFonts w:ascii="Bookman Old Style" w:hAnsi="Bookman Old Style"/>
          <w:color w:val="000000" w:themeColor="text1"/>
        </w:rPr>
      </w:pPr>
    </w:p>
    <w:p w:rsidR="000E6665" w:rsidRDefault="000E6665" w:rsidP="00202AB4">
      <w:pPr>
        <w:pStyle w:val="NoSpacing"/>
        <w:numPr>
          <w:ilvl w:val="0"/>
          <w:numId w:val="4"/>
        </w:numPr>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 xml:space="preserve">High impact/low probability – Risks in the bottom right corner are high level if they do occur, but they are very unlikely to happen.  Risks in this quadrant are prime candidates for training and contingency planning. </w:t>
      </w:r>
    </w:p>
    <w:p w:rsidR="000E6665" w:rsidRPr="00BA2BA5" w:rsidRDefault="000E6665" w:rsidP="00202AB4">
      <w:pPr>
        <w:pStyle w:val="NoSpacing"/>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 xml:space="preserve"> </w:t>
      </w:r>
    </w:p>
    <w:p w:rsidR="000E6665" w:rsidRDefault="000E6665" w:rsidP="00202AB4">
      <w:pPr>
        <w:pStyle w:val="NoSpacing"/>
        <w:numPr>
          <w:ilvl w:val="0"/>
          <w:numId w:val="4"/>
        </w:numPr>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High impact/High probability – Risks toward the top right corner are critical.  These should be the highest priorities for the fire department and for the community.  Aggressive action is required such as staffing for these risks, equipping for these risks, and engaging the community in risk reduction and preparedness.</w:t>
      </w:r>
    </w:p>
    <w:p w:rsidR="000E6665" w:rsidRDefault="000E6665" w:rsidP="00202AB4">
      <w:pPr>
        <w:pStyle w:val="NoSpacing"/>
        <w:spacing w:after="200"/>
        <w:contextualSpacing/>
        <w:jc w:val="both"/>
        <w:rPr>
          <w:rFonts w:ascii="Bookman Old Style" w:hAnsi="Bookman Old Style"/>
          <w:color w:val="000000" w:themeColor="text1"/>
        </w:rPr>
      </w:pPr>
    </w:p>
    <w:p w:rsidR="000E6665" w:rsidRPr="00814EE1" w:rsidRDefault="000E6665" w:rsidP="000E6665">
      <w:pPr>
        <w:pStyle w:val="NoSpacing"/>
        <w:spacing w:after="200"/>
        <w:contextualSpacing/>
        <w:jc w:val="center"/>
        <w:rPr>
          <w:rFonts w:ascii="Bookman Old Style" w:hAnsi="Bookman Old Style"/>
          <w:color w:val="000000" w:themeColor="text1"/>
        </w:rPr>
      </w:pPr>
      <w:r>
        <w:rPr>
          <w:noProof/>
          <w:color w:val="000000" w:themeColor="text1"/>
        </w:rPr>
        <w:lastRenderedPageBreak/>
        <w:drawing>
          <wp:inline distT="0" distB="0" distL="0" distR="0" wp14:anchorId="6414A39F" wp14:editId="06D5FEC1">
            <wp:extent cx="2762250" cy="2717553"/>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2717553"/>
                    </a:xfrm>
                    <a:prstGeom prst="rect">
                      <a:avLst/>
                    </a:prstGeom>
                    <a:noFill/>
                    <a:ln>
                      <a:noFill/>
                    </a:ln>
                  </pic:spPr>
                </pic:pic>
              </a:graphicData>
            </a:graphic>
          </wp:inline>
        </w:drawing>
      </w:r>
    </w:p>
    <w:p w:rsidR="000E6665" w:rsidRDefault="000E6665" w:rsidP="000E6665">
      <w:pPr>
        <w:pStyle w:val="NoSpacing"/>
        <w:rPr>
          <w:i/>
          <w:color w:val="808080" w:themeColor="background1" w:themeShade="80"/>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 xml:space="preserve">Statistically, fires represent one of the lowest probabilities of </w:t>
      </w:r>
      <w:r>
        <w:rPr>
          <w:rFonts w:ascii="Bookman Old Style" w:hAnsi="Bookman Old Style"/>
        </w:rPr>
        <w:t xml:space="preserve">“traditional municipal” </w:t>
      </w:r>
      <w:r w:rsidRPr="00BA2BA5">
        <w:rPr>
          <w:rFonts w:ascii="Bookman Old Style" w:hAnsi="Bookman Old Style"/>
        </w:rPr>
        <w:t>occurrence at 5.8% of total call volume (combining all fire responses) and the highest resource usage, thus falling in the high risk category. Historically, the PFD has responded to an average of 1 structural fire every week, and a fire event every 35.04 hours.  Fires represent an important factor in the risk assessment process because of the regularity of occurrence and the resource demands that are placed upon the department and the community in the form of increased need for social service interaction to the victim(s), additional support from the community government (building inspection for re-occupancy, police involvement for additional patrols, etc.) and a greater resource demand on the “micro-community” (family, workforce, etc.).   Further, fire loss has a negative financial and public image impact to the community.  Increasing fire loss reduces property values and results in diminishing General Fund revenues.  The results of fire can also be detrimental to the future prospects of the community by affecting homeowner insurance ratings, property values, etc.</w:t>
      </w:r>
    </w:p>
    <w:p w:rsidR="000E6665" w:rsidRPr="00BA2BA5" w:rsidRDefault="000E6665" w:rsidP="000E6665">
      <w:pPr>
        <w:pStyle w:val="NoSpacing"/>
        <w:spacing w:after="200"/>
        <w:contextualSpacing/>
        <w:jc w:val="both"/>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EMS calls also fall into the high risk category primarily due to the increased frequency and thus the increased exposure risk.  EMS calls typically place a relatively low resource demand on the department.  Most EMS calls require the response of only one or two units.  As the incident complexity increases (due to patient disposition and manpower requirements) more units are dispatched to assist in patient care.  The risk of EMS calls is usually contained to the responding crews (injury and disease exposure) and can be minimized with proper training and equipment.  The greater risk to the community is the resource drawdowns that occur with increased service demand.</w:t>
      </w:r>
    </w:p>
    <w:p w:rsidR="000E6665" w:rsidRPr="00BA2BA5" w:rsidRDefault="000E6665" w:rsidP="000E6665">
      <w:pPr>
        <w:pStyle w:val="NoSpacing"/>
        <w:rPr>
          <w:rFonts w:ascii="Bookman Old Style" w:hAnsi="Bookman Old Style"/>
        </w:rPr>
      </w:pPr>
    </w:p>
    <w:p w:rsidR="000E6665" w:rsidRPr="00BA2BA5" w:rsidRDefault="000E6665" w:rsidP="000E6665">
      <w:pPr>
        <w:pStyle w:val="NoSpacing"/>
        <w:spacing w:after="200"/>
        <w:contextualSpacing/>
        <w:jc w:val="both"/>
        <w:rPr>
          <w:rFonts w:ascii="Bookman Old Style" w:hAnsi="Bookman Old Style"/>
        </w:rPr>
      </w:pPr>
      <w:r w:rsidRPr="00BA2BA5">
        <w:rPr>
          <w:rFonts w:ascii="Bookman Old Style" w:hAnsi="Bookman Old Style"/>
        </w:rPr>
        <w:t>Technical rescue risks to the community are associated with the high demand for specialized resources and equipment.  These operations are relatively infrequent within the community but occur often enough to be considered in the matrix.  Technical rescue responses account for approximately .20% of the total call volume per year.</w:t>
      </w:r>
    </w:p>
    <w:p w:rsidR="000E6665" w:rsidRPr="00BA2BA5" w:rsidRDefault="000E6665" w:rsidP="000E6665">
      <w:pPr>
        <w:pStyle w:val="NoSpacing"/>
        <w:jc w:val="both"/>
        <w:rPr>
          <w:rFonts w:ascii="Bookman Old Style" w:hAnsi="Bookman Old Style"/>
        </w:rPr>
      </w:pPr>
    </w:p>
    <w:p w:rsidR="000E6665" w:rsidRDefault="000E6665" w:rsidP="000E6665">
      <w:pPr>
        <w:pStyle w:val="NoSpacing"/>
        <w:spacing w:after="200"/>
        <w:contextualSpacing/>
        <w:jc w:val="both"/>
        <w:rPr>
          <w:rFonts w:ascii="Bookman Old Style" w:hAnsi="Bookman Old Style"/>
        </w:rPr>
      </w:pPr>
      <w:r w:rsidRPr="00BA2BA5">
        <w:rPr>
          <w:rFonts w:ascii="Bookman Old Style" w:hAnsi="Bookman Old Style"/>
        </w:rPr>
        <w:lastRenderedPageBreak/>
        <w:t xml:space="preserve">Hazardous Materials incidents present a unique opportunity for the Pasco Fire Department in that they are statistically marginalized and yet due to the intermodal transportation hubs located within the City of Pasco the potential of these incidents must be factored.  As of this writing, the Pasco Fire Department and the Franklin County Emergency Management are initiating a county-wide commodity flow through study in order to better define the potential for a hazardous materials mishap.  </w:t>
      </w:r>
    </w:p>
    <w:p w:rsidR="006D065B" w:rsidRDefault="006D065B" w:rsidP="00A91830">
      <w:pPr>
        <w:pStyle w:val="NoSpacing"/>
        <w:spacing w:after="200"/>
        <w:contextualSpacing/>
        <w:jc w:val="both"/>
        <w:rPr>
          <w:rFonts w:ascii="Bookman Old Style" w:hAnsi="Bookman Old Style"/>
          <w:b/>
          <w:i/>
          <w:sz w:val="28"/>
        </w:rPr>
      </w:pPr>
    </w:p>
    <w:p w:rsidR="00A91830" w:rsidRPr="001E3B4E" w:rsidRDefault="00A91830" w:rsidP="00A91830">
      <w:pPr>
        <w:pStyle w:val="NoSpacing"/>
        <w:spacing w:after="200"/>
        <w:contextualSpacing/>
        <w:jc w:val="both"/>
        <w:rPr>
          <w:rFonts w:ascii="Bookman Old Style" w:hAnsi="Bookman Old Style"/>
          <w:b/>
          <w:i/>
          <w:sz w:val="28"/>
        </w:rPr>
      </w:pPr>
      <w:r>
        <w:rPr>
          <w:rFonts w:ascii="Bookman Old Style" w:hAnsi="Bookman Old Style"/>
          <w:b/>
          <w:i/>
          <w:sz w:val="28"/>
        </w:rPr>
        <w:t>Target Hazard Assessment</w:t>
      </w:r>
    </w:p>
    <w:p w:rsidR="00A91830" w:rsidRPr="00BA2BA5" w:rsidRDefault="00A91830" w:rsidP="00A91830">
      <w:pPr>
        <w:pStyle w:val="NoSpacing"/>
        <w:spacing w:after="200"/>
        <w:contextualSpacing/>
        <w:jc w:val="both"/>
        <w:rPr>
          <w:rFonts w:ascii="Bookman Old Style" w:hAnsi="Bookman Old Style"/>
        </w:rPr>
      </w:pPr>
    </w:p>
    <w:p w:rsidR="00A91830" w:rsidRDefault="00A91830" w:rsidP="00A91830">
      <w:pPr>
        <w:pStyle w:val="NoSpacing"/>
        <w:spacing w:after="200"/>
        <w:contextualSpacing/>
        <w:rPr>
          <w:rFonts w:ascii="Bookman Old Style" w:hAnsi="Bookman Old Style"/>
        </w:rPr>
      </w:pPr>
      <w:r w:rsidRPr="00BA2BA5">
        <w:rPr>
          <w:rFonts w:ascii="Bookman Old Style" w:hAnsi="Bookman Old Style"/>
        </w:rPr>
        <w:t>Target hazards are locally defined occupancies that pose specific risks to occupants and the fire service responders.  Critical infrastructure is a term used by governments to describe assets that are essential for the functioning of a society and economy.  The City of Pasco has identified several target hazards and critical infrastructures within its boundaries.  The table below identifies the number of facilities that are considered critical to the functioning of the community and/or that present a significant risk to responders or occupants.</w:t>
      </w:r>
    </w:p>
    <w:p w:rsidR="00A91830" w:rsidRPr="00BA2BA5" w:rsidRDefault="00A91830" w:rsidP="00A91830">
      <w:pPr>
        <w:pStyle w:val="NoSpacing"/>
        <w:spacing w:after="200"/>
        <w:contextualSpacing/>
        <w:jc w:val="both"/>
        <w:rPr>
          <w:rFonts w:ascii="Bookman Old Style" w:hAnsi="Bookman Old Style"/>
        </w:rPr>
      </w:pPr>
    </w:p>
    <w:tbl>
      <w:tblPr>
        <w:tblStyle w:val="TableGrid"/>
        <w:tblW w:w="0" w:type="auto"/>
        <w:tblLook w:val="04A0" w:firstRow="1" w:lastRow="0" w:firstColumn="1" w:lastColumn="0" w:noHBand="0" w:noVBand="1"/>
      </w:tblPr>
      <w:tblGrid>
        <w:gridCol w:w="7938"/>
        <w:gridCol w:w="1638"/>
      </w:tblGrid>
      <w:tr w:rsidR="00EF3151" w:rsidTr="00EF3151">
        <w:tc>
          <w:tcPr>
            <w:tcW w:w="7938" w:type="dxa"/>
            <w:shd w:val="clear" w:color="auto" w:fill="BFBFBF" w:themeFill="background1" w:themeFillShade="BF"/>
          </w:tcPr>
          <w:p w:rsidR="00EF3151" w:rsidRPr="00EF3151" w:rsidRDefault="00EF3151" w:rsidP="00A91830">
            <w:pPr>
              <w:pStyle w:val="NoSpacing"/>
              <w:jc w:val="center"/>
              <w:rPr>
                <w:rFonts w:ascii="Bookman Old Style" w:hAnsi="Bookman Old Style"/>
                <w:b/>
              </w:rPr>
            </w:pPr>
            <w:r w:rsidRPr="00EF3151">
              <w:rPr>
                <w:rFonts w:ascii="Bookman Old Style" w:hAnsi="Bookman Old Style"/>
                <w:b/>
              </w:rPr>
              <w:t>Target Hazard/Critical Infrastructure</w:t>
            </w:r>
          </w:p>
        </w:tc>
        <w:tc>
          <w:tcPr>
            <w:tcW w:w="1638" w:type="dxa"/>
            <w:shd w:val="clear" w:color="auto" w:fill="BFBFBF" w:themeFill="background1" w:themeFillShade="BF"/>
          </w:tcPr>
          <w:p w:rsidR="00EF3151" w:rsidRPr="00EF3151" w:rsidRDefault="00EF3151" w:rsidP="00A91830">
            <w:pPr>
              <w:pStyle w:val="NoSpacing"/>
              <w:jc w:val="center"/>
              <w:rPr>
                <w:rFonts w:ascii="Bookman Old Style" w:hAnsi="Bookman Old Style"/>
                <w:b/>
              </w:rPr>
            </w:pPr>
            <w:r w:rsidRPr="00EF3151">
              <w:rPr>
                <w:rFonts w:ascii="Bookman Old Style" w:hAnsi="Bookman Old Style"/>
                <w:b/>
              </w:rPr>
              <w:t>Number</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Governmental Facilities – Includes local, county, federal and Port</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11</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Assisted Living Centers/Under Age Day Care</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124</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Community Shelter</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2</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Schools – includes elementary, secondary, and College</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23</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Transportation – Airports, Rail, Barge, Bus</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6</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Water/Sewage Treatment Facilities</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4</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Communications</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5</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Emergency Operations Center</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1</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Public Utilities</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2</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Hazardous Materials Bulk Storage</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5</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Healthcare (Not including Private Practice)</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2</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Highrise (75 ft. or greater)</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3</w:t>
            </w:r>
          </w:p>
        </w:tc>
      </w:tr>
      <w:tr w:rsidR="00EF3151" w:rsidTr="00EF3151">
        <w:tc>
          <w:tcPr>
            <w:tcW w:w="7938" w:type="dxa"/>
            <w:vAlign w:val="bottom"/>
          </w:tcPr>
          <w:p w:rsidR="00EF3151" w:rsidRDefault="00EF3151" w:rsidP="00EF3151">
            <w:pPr>
              <w:pStyle w:val="NoSpacing"/>
              <w:rPr>
                <w:rFonts w:ascii="Bookman Old Style" w:hAnsi="Bookman Old Style"/>
              </w:rPr>
            </w:pPr>
            <w:r>
              <w:rPr>
                <w:rFonts w:ascii="Bookman Old Style" w:hAnsi="Bookman Old Style"/>
              </w:rPr>
              <w:t>Multi-Family Residential</w:t>
            </w:r>
          </w:p>
        </w:tc>
        <w:tc>
          <w:tcPr>
            <w:tcW w:w="1638" w:type="dxa"/>
            <w:vAlign w:val="bottom"/>
          </w:tcPr>
          <w:p w:rsidR="00EF3151" w:rsidRDefault="00EF3151" w:rsidP="00EF3151">
            <w:pPr>
              <w:pStyle w:val="NoSpacing"/>
              <w:jc w:val="right"/>
              <w:rPr>
                <w:rFonts w:ascii="Bookman Old Style" w:hAnsi="Bookman Old Style"/>
              </w:rPr>
            </w:pPr>
            <w:r>
              <w:rPr>
                <w:rFonts w:ascii="Bookman Old Style" w:hAnsi="Bookman Old Style"/>
              </w:rPr>
              <w:t>430</w:t>
            </w:r>
          </w:p>
        </w:tc>
      </w:tr>
    </w:tbl>
    <w:p w:rsidR="00A91830" w:rsidRPr="00BA2BA5" w:rsidRDefault="00A91830" w:rsidP="00A91830">
      <w:pPr>
        <w:pStyle w:val="NoSpacing"/>
        <w:jc w:val="center"/>
        <w:rPr>
          <w:rFonts w:ascii="Bookman Old Style" w:hAnsi="Bookman Old Style"/>
        </w:rPr>
      </w:pPr>
    </w:p>
    <w:p w:rsidR="00A91830" w:rsidRPr="00BA2BA5" w:rsidRDefault="00A91830" w:rsidP="00A91830">
      <w:pPr>
        <w:pStyle w:val="NoSpacing"/>
        <w:jc w:val="center"/>
        <w:rPr>
          <w:rFonts w:ascii="Bookman Old Style" w:hAnsi="Bookman Old Style"/>
        </w:rPr>
      </w:pPr>
    </w:p>
    <w:p w:rsidR="00A91830" w:rsidRPr="00BA2BA5" w:rsidRDefault="00A91830" w:rsidP="00A91830">
      <w:pPr>
        <w:pStyle w:val="NoSpacing"/>
        <w:jc w:val="center"/>
        <w:rPr>
          <w:rFonts w:ascii="Bookman Old Style" w:hAnsi="Bookman Old Style"/>
        </w:rPr>
      </w:pPr>
    </w:p>
    <w:p w:rsidR="00A91830" w:rsidRPr="00BA2BA5" w:rsidRDefault="00A91830" w:rsidP="00A91830">
      <w:pPr>
        <w:pStyle w:val="NoSpacing"/>
        <w:spacing w:after="200"/>
        <w:contextualSpacing/>
        <w:jc w:val="both"/>
        <w:rPr>
          <w:rFonts w:ascii="Bookman Old Style" w:hAnsi="Bookman Old Style"/>
        </w:rPr>
      </w:pPr>
      <w:r w:rsidRPr="00BA2BA5">
        <w:rPr>
          <w:rFonts w:ascii="Bookman Old Style" w:hAnsi="Bookman Old Style"/>
        </w:rPr>
        <w:t>Single family residential units represent the highest percentage of buildings within the City of Pasco (22,282).  The City of Pasco has issued an average of 2600 building permits over the last five years (2011-2016) and most of the building permits have been for single family residential units.</w:t>
      </w:r>
    </w:p>
    <w:p w:rsidR="00A91830" w:rsidRPr="00BA2BA5" w:rsidRDefault="00A91830" w:rsidP="00A91830">
      <w:pPr>
        <w:pStyle w:val="NoSpacing"/>
        <w:rPr>
          <w:rFonts w:ascii="Bookman Old Style" w:hAnsi="Bookman Old Style"/>
        </w:rPr>
      </w:pPr>
    </w:p>
    <w:p w:rsidR="00A91830" w:rsidRDefault="00A91830" w:rsidP="00A91830">
      <w:pPr>
        <w:pStyle w:val="NoSpacing"/>
        <w:spacing w:after="200"/>
        <w:contextualSpacing/>
        <w:jc w:val="both"/>
        <w:rPr>
          <w:rFonts w:ascii="Bookman Old Style" w:hAnsi="Bookman Old Style"/>
        </w:rPr>
      </w:pPr>
      <w:r w:rsidRPr="00BA2BA5">
        <w:rPr>
          <w:rFonts w:ascii="Bookman Old Style" w:hAnsi="Bookman Old Style"/>
        </w:rPr>
        <w:t>Commercial occupancies represent the next highest percentage with approximately 2200 buildings within this classification.  The City of Pasco building department uses the International Fire Code – 2015 Edition</w:t>
      </w:r>
      <w:r w:rsidR="0041575F">
        <w:rPr>
          <w:rFonts w:ascii="Bookman Old Style" w:hAnsi="Bookman Old Style"/>
        </w:rPr>
        <w:t xml:space="preserve"> (IFC)</w:t>
      </w:r>
      <w:r w:rsidRPr="00BA2BA5">
        <w:rPr>
          <w:rFonts w:ascii="Bookman Old Style" w:hAnsi="Bookman Old Style"/>
        </w:rPr>
        <w:t xml:space="preserve"> to classify occupancies into one of three hazard categories (High, Moderate, Low).  </w:t>
      </w:r>
      <w:r w:rsidR="0041575F">
        <w:rPr>
          <w:rFonts w:ascii="Bookman Old Style" w:hAnsi="Bookman Old Style"/>
        </w:rPr>
        <w:t xml:space="preserve">The inspection services division of the building department is responsible for the enforcement of the IFC. </w:t>
      </w:r>
      <w:r w:rsidR="00343659">
        <w:rPr>
          <w:rFonts w:ascii="Bookman Old Style" w:hAnsi="Bookman Old Style"/>
        </w:rPr>
        <w:t xml:space="preserve">Low hazard structures are inspected as requested and include retail clothing, jewelry stores, barber shops, beauty salons, business offices, and small groceries without food preparation or fuel services. </w:t>
      </w:r>
      <w:r w:rsidRPr="00BA2BA5">
        <w:rPr>
          <w:rFonts w:ascii="Bookman Old Style" w:hAnsi="Bookman Old Style"/>
        </w:rPr>
        <w:t xml:space="preserve">Moderate hazard structures in Pasco </w:t>
      </w:r>
      <w:r w:rsidR="0041575F">
        <w:rPr>
          <w:rFonts w:ascii="Bookman Old Style" w:hAnsi="Bookman Old Style"/>
        </w:rPr>
        <w:t xml:space="preserve">are inspected every two years and </w:t>
      </w:r>
      <w:r w:rsidRPr="00BA2BA5">
        <w:rPr>
          <w:rFonts w:ascii="Bookman Old Style" w:hAnsi="Bookman Old Style"/>
        </w:rPr>
        <w:t xml:space="preserve">include restaurants, contractors, landscapers with equipment, feed </w:t>
      </w:r>
      <w:r w:rsidRPr="00BA2BA5">
        <w:rPr>
          <w:rFonts w:ascii="Bookman Old Style" w:hAnsi="Bookman Old Style"/>
        </w:rPr>
        <w:lastRenderedPageBreak/>
        <w:t>stores, small chemical and storage areas, large retail stores, markets, and taverns.  High hazard occupancies in Pasco</w:t>
      </w:r>
      <w:r w:rsidR="0041575F">
        <w:rPr>
          <w:rFonts w:ascii="Bookman Old Style" w:hAnsi="Bookman Old Style"/>
        </w:rPr>
        <w:t xml:space="preserve"> are inspected annually and</w:t>
      </w:r>
      <w:r w:rsidRPr="00BA2BA5">
        <w:rPr>
          <w:rFonts w:ascii="Bookman Old Style" w:hAnsi="Bookman Old Style"/>
        </w:rPr>
        <w:t xml:space="preserve"> include food processing plants, chemical plants, agricultural warehouses, auto repair shops, auto body shops, lumberyards, fueling and gas storage and distribution centers. There are currently 1400 moderate hazard and 200 high hazard facilities within the City of Pasco.</w:t>
      </w:r>
    </w:p>
    <w:p w:rsidR="006901CD" w:rsidRDefault="006901CD" w:rsidP="00A91830">
      <w:pPr>
        <w:pStyle w:val="NoSpacing"/>
        <w:spacing w:after="200"/>
        <w:contextualSpacing/>
        <w:jc w:val="both"/>
        <w:rPr>
          <w:rFonts w:ascii="Bookman Old Style" w:hAnsi="Bookman Old Style"/>
        </w:rPr>
      </w:pPr>
    </w:p>
    <w:p w:rsidR="00EF1FDF" w:rsidRDefault="006901CD" w:rsidP="00150CEE">
      <w:pPr>
        <w:pStyle w:val="NoSpacing"/>
        <w:spacing w:after="200"/>
        <w:contextualSpacing/>
        <w:jc w:val="both"/>
        <w:rPr>
          <w:rFonts w:ascii="Bookman Old Style" w:hAnsi="Bookman Old Style"/>
        </w:rPr>
      </w:pPr>
      <w:r>
        <w:rPr>
          <w:rFonts w:ascii="Bookman Old Style" w:hAnsi="Bookman Old Style"/>
        </w:rPr>
        <w:t xml:space="preserve"> </w:t>
      </w:r>
      <w:bookmarkEnd w:id="10"/>
    </w:p>
    <w:p w:rsidR="00EF1FDF" w:rsidRDefault="00EF1FDF" w:rsidP="00150CEE">
      <w:pPr>
        <w:pStyle w:val="NoSpacing"/>
        <w:spacing w:after="200"/>
        <w:contextualSpacing/>
        <w:jc w:val="both"/>
        <w:rPr>
          <w:rFonts w:ascii="Bookman Old Style" w:hAnsi="Bookman Old Style"/>
        </w:rPr>
      </w:pPr>
      <w:r>
        <w:rPr>
          <w:rFonts w:ascii="Bookman Old Style" w:hAnsi="Bookman Old Style"/>
        </w:rPr>
        <w:t>The map below indicates the location of the high hazard facilities in the City of Pasco.  Most of these facilities are located in the primary response area of St. 81 and along the commercial transportation network.  The orange icons indicate an active business license, while the gray icons indicate an expired business license.</w:t>
      </w:r>
    </w:p>
    <w:p w:rsidR="00EF1FDF" w:rsidRDefault="00EF1FDF" w:rsidP="00150CEE">
      <w:pPr>
        <w:pStyle w:val="NoSpacing"/>
        <w:spacing w:after="200"/>
        <w:contextualSpacing/>
        <w:jc w:val="both"/>
        <w:rPr>
          <w:rFonts w:ascii="Bookman Old Style" w:hAnsi="Bookman Old Style"/>
        </w:rPr>
      </w:pPr>
    </w:p>
    <w:p w:rsidR="00EF1FDF" w:rsidRDefault="00EF1FDF" w:rsidP="00150CEE">
      <w:pPr>
        <w:pStyle w:val="NoSpacing"/>
        <w:spacing w:after="200"/>
        <w:contextualSpacing/>
        <w:jc w:val="both"/>
        <w:rPr>
          <w:rFonts w:ascii="Bookman Old Style" w:hAnsi="Bookman Old Style"/>
        </w:rPr>
      </w:pPr>
    </w:p>
    <w:p w:rsidR="00EF1FDF" w:rsidRDefault="00EF1FDF" w:rsidP="00150CEE">
      <w:pPr>
        <w:pStyle w:val="NoSpacing"/>
        <w:spacing w:after="200"/>
        <w:contextualSpacing/>
        <w:jc w:val="both"/>
        <w:rPr>
          <w:rFonts w:ascii="Bookman Old Style" w:hAnsi="Bookman Old Style"/>
        </w:rPr>
      </w:pPr>
      <w:r>
        <w:rPr>
          <w:rFonts w:ascii="Bookman Old Style" w:hAnsi="Bookman Old Style"/>
          <w:noProof/>
        </w:rPr>
        <w:drawing>
          <wp:inline distT="0" distB="0" distL="0" distR="0">
            <wp:extent cx="5943600" cy="3603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 Hazard Locations.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03625"/>
                    </a:xfrm>
                    <a:prstGeom prst="rect">
                      <a:avLst/>
                    </a:prstGeom>
                  </pic:spPr>
                </pic:pic>
              </a:graphicData>
            </a:graphic>
          </wp:inline>
        </w:drawing>
      </w:r>
    </w:p>
    <w:p w:rsidR="00F65CFB" w:rsidRDefault="00F65CFB" w:rsidP="00150CEE">
      <w:pPr>
        <w:pStyle w:val="NoSpacing"/>
        <w:spacing w:after="200"/>
        <w:contextualSpacing/>
        <w:jc w:val="both"/>
        <w:rPr>
          <w:rFonts w:ascii="Bookman Old Style" w:hAnsi="Bookman Old Style"/>
        </w:rPr>
      </w:pPr>
    </w:p>
    <w:p w:rsidR="00F65CFB" w:rsidRDefault="00F65CFB" w:rsidP="00150CEE">
      <w:pPr>
        <w:pStyle w:val="NoSpacing"/>
        <w:spacing w:after="200"/>
        <w:contextualSpacing/>
        <w:jc w:val="both"/>
        <w:rPr>
          <w:rFonts w:ascii="Bookman Old Style" w:hAnsi="Bookman Old Style"/>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483CE9" w:rsidRDefault="00483CE9" w:rsidP="00150CEE">
      <w:pPr>
        <w:pStyle w:val="NoSpacing"/>
        <w:spacing w:after="200"/>
        <w:contextualSpacing/>
        <w:jc w:val="both"/>
        <w:rPr>
          <w:rFonts w:asciiTheme="majorHAnsi" w:hAnsiTheme="majorHAnsi"/>
          <w:b/>
          <w:i/>
          <w:sz w:val="24"/>
        </w:rPr>
      </w:pPr>
    </w:p>
    <w:p w:rsidR="00F65CFB" w:rsidRDefault="00F65CFB" w:rsidP="00150CEE">
      <w:pPr>
        <w:pStyle w:val="NoSpacing"/>
        <w:spacing w:after="200"/>
        <w:contextualSpacing/>
        <w:jc w:val="both"/>
        <w:rPr>
          <w:rFonts w:asciiTheme="majorHAnsi" w:hAnsiTheme="majorHAnsi"/>
          <w:b/>
          <w:i/>
          <w:sz w:val="24"/>
        </w:rPr>
      </w:pPr>
      <w:r>
        <w:rPr>
          <w:rFonts w:asciiTheme="majorHAnsi" w:hAnsiTheme="majorHAnsi"/>
          <w:b/>
          <w:i/>
          <w:sz w:val="24"/>
        </w:rPr>
        <w:lastRenderedPageBreak/>
        <w:t>Target Hazard Responses</w:t>
      </w:r>
      <w:r w:rsidRPr="00F65CFB">
        <w:rPr>
          <w:rFonts w:asciiTheme="majorHAnsi" w:hAnsiTheme="majorHAnsi"/>
          <w:b/>
          <w:i/>
          <w:sz w:val="24"/>
        </w:rPr>
        <w:t xml:space="preserve"> </w:t>
      </w:r>
      <w:r>
        <w:rPr>
          <w:rFonts w:asciiTheme="majorHAnsi" w:hAnsiTheme="majorHAnsi"/>
          <w:b/>
          <w:i/>
          <w:sz w:val="24"/>
        </w:rPr>
        <w:t>Historical Overview</w:t>
      </w:r>
    </w:p>
    <w:p w:rsidR="0027223E" w:rsidRDefault="0027223E" w:rsidP="00150CEE">
      <w:pPr>
        <w:pStyle w:val="NoSpacing"/>
        <w:spacing w:after="200"/>
        <w:contextualSpacing/>
        <w:jc w:val="both"/>
        <w:rPr>
          <w:rFonts w:asciiTheme="majorHAnsi" w:hAnsiTheme="majorHAnsi"/>
          <w:b/>
          <w:i/>
          <w:sz w:val="24"/>
        </w:rPr>
      </w:pPr>
    </w:p>
    <w:p w:rsidR="0027223E" w:rsidRDefault="0027223E" w:rsidP="0027223E">
      <w:pPr>
        <w:pStyle w:val="NoSpacing"/>
        <w:spacing w:after="200"/>
        <w:contextualSpacing/>
        <w:jc w:val="center"/>
        <w:rPr>
          <w:rFonts w:asciiTheme="majorHAnsi" w:hAnsiTheme="majorHAnsi"/>
          <w:sz w:val="24"/>
        </w:rPr>
      </w:pPr>
      <w:r w:rsidRPr="0027223E">
        <w:rPr>
          <w:noProof/>
        </w:rPr>
        <w:drawing>
          <wp:inline distT="0" distB="0" distL="0" distR="0" wp14:anchorId="483DFA6D" wp14:editId="0CBD0DBA">
            <wp:extent cx="5943600" cy="233704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37047"/>
                    </a:xfrm>
                    <a:prstGeom prst="rect">
                      <a:avLst/>
                    </a:prstGeom>
                    <a:noFill/>
                    <a:ln>
                      <a:noFill/>
                    </a:ln>
                  </pic:spPr>
                </pic:pic>
              </a:graphicData>
            </a:graphic>
          </wp:inline>
        </w:drawing>
      </w:r>
    </w:p>
    <w:p w:rsidR="0027223E" w:rsidRDefault="0027223E" w:rsidP="0027223E">
      <w:pPr>
        <w:pStyle w:val="NoSpacing"/>
        <w:spacing w:after="200"/>
        <w:contextualSpacing/>
        <w:jc w:val="center"/>
        <w:rPr>
          <w:rFonts w:asciiTheme="majorHAnsi" w:hAnsiTheme="majorHAnsi"/>
          <w:sz w:val="24"/>
        </w:rPr>
      </w:pPr>
    </w:p>
    <w:p w:rsidR="0027223E" w:rsidRDefault="0027223E" w:rsidP="0027223E">
      <w:pPr>
        <w:pStyle w:val="NoSpacing"/>
        <w:spacing w:after="200"/>
        <w:contextualSpacing/>
        <w:rPr>
          <w:rFonts w:asciiTheme="majorHAnsi" w:hAnsiTheme="majorHAnsi"/>
          <w:sz w:val="24"/>
        </w:rPr>
      </w:pPr>
    </w:p>
    <w:p w:rsidR="0027223E" w:rsidRDefault="0027223E" w:rsidP="0027223E">
      <w:pPr>
        <w:pStyle w:val="NoSpacing"/>
        <w:spacing w:after="200"/>
        <w:contextualSpacing/>
        <w:rPr>
          <w:rFonts w:asciiTheme="majorHAnsi" w:hAnsiTheme="majorHAnsi"/>
          <w:sz w:val="24"/>
        </w:rPr>
      </w:pPr>
    </w:p>
    <w:p w:rsidR="0027223E" w:rsidRPr="0027223E" w:rsidRDefault="0027223E" w:rsidP="0027223E">
      <w:pPr>
        <w:pStyle w:val="NoSpacing"/>
        <w:spacing w:after="200"/>
        <w:contextualSpacing/>
        <w:rPr>
          <w:rFonts w:asciiTheme="majorHAnsi" w:hAnsiTheme="majorHAnsi"/>
          <w:sz w:val="24"/>
        </w:rPr>
      </w:pPr>
      <w:r>
        <w:rPr>
          <w:rFonts w:asciiTheme="majorHAnsi" w:hAnsiTheme="majorHAnsi"/>
          <w:sz w:val="24"/>
        </w:rPr>
        <w:t>The chart above identifies the high hazard occupancies in order of total responses from January 1, 2007 until March 15, 2017.  The chart quantifies the responses by NFIRS major categories, and identifies primary station responsibilities and fire management zones.</w:t>
      </w:r>
    </w:p>
    <w:p w:rsidR="00F65CFB" w:rsidRDefault="00F65CFB" w:rsidP="00150CEE">
      <w:pPr>
        <w:pStyle w:val="NoSpacing"/>
        <w:spacing w:after="200"/>
        <w:contextualSpacing/>
        <w:jc w:val="both"/>
        <w:rPr>
          <w:rFonts w:ascii="Bookman Old Style" w:hAnsi="Bookman Old Style"/>
        </w:rPr>
      </w:pPr>
    </w:p>
    <w:p w:rsidR="003C11BF" w:rsidRPr="003746A2" w:rsidRDefault="003C11BF" w:rsidP="003C11BF">
      <w:pPr>
        <w:pStyle w:val="Heading3"/>
        <w:spacing w:before="0" w:after="200"/>
        <w:rPr>
          <w:i/>
          <w:color w:val="auto"/>
          <w:sz w:val="24"/>
          <w:szCs w:val="24"/>
        </w:rPr>
      </w:pPr>
      <w:bookmarkStart w:id="16" w:name="_Toc475003853"/>
      <w:r>
        <w:rPr>
          <w:i/>
          <w:color w:val="auto"/>
          <w:sz w:val="24"/>
          <w:szCs w:val="24"/>
        </w:rPr>
        <w:t xml:space="preserve">Fire Department </w:t>
      </w:r>
      <w:r w:rsidRPr="003746A2">
        <w:rPr>
          <w:i/>
          <w:color w:val="auto"/>
          <w:sz w:val="24"/>
          <w:szCs w:val="24"/>
        </w:rPr>
        <w:t>Organizational Overview</w:t>
      </w:r>
      <w:bookmarkEnd w:id="16"/>
    </w:p>
    <w:p w:rsidR="003C11BF" w:rsidRDefault="003C11BF" w:rsidP="003C11BF">
      <w:pPr>
        <w:pStyle w:val="NoSpacing"/>
        <w:spacing w:after="200"/>
        <w:contextualSpacing/>
        <w:jc w:val="both"/>
        <w:rPr>
          <w:rFonts w:ascii="Bookman Old Style" w:hAnsi="Bookman Old Style"/>
        </w:rPr>
      </w:pPr>
      <w:r w:rsidRPr="00BA2BA5">
        <w:rPr>
          <w:rFonts w:ascii="Bookman Old Style" w:hAnsi="Bookman Old Style"/>
        </w:rPr>
        <w:t>The Pasco Fire Department (PFD) was established by council action on July 16, 1908 after a series of fires destroyed portions of the town.  The current service ar</w:t>
      </w:r>
      <w:r w:rsidR="006D065B">
        <w:rPr>
          <w:rFonts w:ascii="Bookman Old Style" w:hAnsi="Bookman Old Style"/>
        </w:rPr>
        <w:t>ea incorporates approximately 37</w:t>
      </w:r>
      <w:r w:rsidRPr="00BA2BA5">
        <w:rPr>
          <w:rFonts w:ascii="Bookman Old Style" w:hAnsi="Bookman Old Style"/>
        </w:rPr>
        <w:t xml:space="preserve"> square miles with an additional seven square miles in the urban growth boundary (see below).  The department is led by the fire chief who </w:t>
      </w:r>
      <w:r>
        <w:rPr>
          <w:rFonts w:ascii="Bookman Old Style" w:hAnsi="Bookman Old Style"/>
        </w:rPr>
        <w:t>is an</w:t>
      </w:r>
      <w:r w:rsidR="00E14BB7">
        <w:rPr>
          <w:rFonts w:ascii="Bookman Old Style" w:hAnsi="Bookman Old Style"/>
        </w:rPr>
        <w:t xml:space="preserve"> </w:t>
      </w:r>
      <w:r w:rsidRPr="00BA2BA5">
        <w:rPr>
          <w:rFonts w:ascii="Bookman Old Style" w:hAnsi="Bookman Old Style"/>
        </w:rPr>
        <w:t xml:space="preserve">at will position that is appointed through a competitive process by the city manager.  </w:t>
      </w:r>
    </w:p>
    <w:p w:rsidR="00D10F94" w:rsidRPr="00492EC7" w:rsidRDefault="00D10F94" w:rsidP="006D065B">
      <w:pPr>
        <w:pStyle w:val="NoSpacing"/>
        <w:rPr>
          <w:rFonts w:ascii="Bookman Old Style" w:hAnsi="Bookman Old Style"/>
          <w:b/>
          <w:sz w:val="12"/>
        </w:rPr>
      </w:pPr>
    </w:p>
    <w:p w:rsidR="00814354" w:rsidRPr="00BA2BA5" w:rsidRDefault="00814354" w:rsidP="00814354">
      <w:pPr>
        <w:pStyle w:val="NoSpacing"/>
        <w:rPr>
          <w:rFonts w:ascii="Bookman Old Style" w:hAnsi="Bookman Old Style"/>
          <w:sz w:val="10"/>
        </w:rPr>
      </w:pPr>
    </w:p>
    <w:p w:rsidR="003F4F56" w:rsidRPr="00BA2BA5" w:rsidRDefault="00094CC3" w:rsidP="00150CEE">
      <w:pPr>
        <w:pStyle w:val="NoSpacing"/>
        <w:spacing w:afterLines="200" w:after="480"/>
        <w:contextualSpacing/>
        <w:jc w:val="both"/>
        <w:rPr>
          <w:rFonts w:ascii="Bookman Old Style" w:hAnsi="Bookman Old Style"/>
        </w:rPr>
      </w:pPr>
      <w:r w:rsidRPr="00BA2BA5">
        <w:rPr>
          <w:rFonts w:ascii="Bookman Old Style" w:hAnsi="Bookman Old Style"/>
        </w:rPr>
        <w:t>The Pasco Fire Department is an all-hazards career response force that provides Fire (urban structural, wildland and vehicle), Advanced Life Support Emergency Medical Services (EMS), Hazardous Materials, Technical Rescue (high and low angle rope, confined space, trench, swift-water,</w:t>
      </w:r>
      <w:r w:rsidR="003B6C0D">
        <w:rPr>
          <w:rFonts w:ascii="Bookman Old Style" w:hAnsi="Bookman Old Style"/>
        </w:rPr>
        <w:t xml:space="preserve"> structural collapse</w:t>
      </w:r>
      <w:r w:rsidRPr="00BA2BA5">
        <w:rPr>
          <w:rFonts w:ascii="Bookman Old Style" w:hAnsi="Bookman Old Style"/>
        </w:rPr>
        <w:t xml:space="preserve"> and vehicle/machinery), and Aircraft Rescue and Fire Fighting services to the community.  The departm</w:t>
      </w:r>
      <w:r w:rsidR="006D065B">
        <w:rPr>
          <w:rFonts w:ascii="Bookman Old Style" w:hAnsi="Bookman Old Style"/>
        </w:rPr>
        <w:t>ent responds to an average of 51</w:t>
      </w:r>
      <w:r w:rsidRPr="00BA2BA5">
        <w:rPr>
          <w:rFonts w:ascii="Bookman Old Style" w:hAnsi="Bookman Old Style"/>
        </w:rPr>
        <w:t xml:space="preserve">00 calls for service per year (2015-2016).  </w:t>
      </w:r>
    </w:p>
    <w:p w:rsidR="0027512F" w:rsidRPr="00492EC7" w:rsidRDefault="0027512F" w:rsidP="00150CEE">
      <w:pPr>
        <w:pStyle w:val="NoSpacing"/>
        <w:spacing w:afterLines="200" w:after="480"/>
        <w:contextualSpacing/>
        <w:rPr>
          <w:rFonts w:ascii="Bookman Old Style" w:hAnsi="Bookman Old Style"/>
          <w:sz w:val="12"/>
        </w:rPr>
      </w:pPr>
    </w:p>
    <w:p w:rsidR="0027512F" w:rsidRPr="00BA2BA5" w:rsidRDefault="0027512F" w:rsidP="00150CEE">
      <w:pPr>
        <w:pStyle w:val="NoSpacing"/>
        <w:spacing w:afterLines="200" w:after="480"/>
        <w:contextualSpacing/>
        <w:jc w:val="both"/>
        <w:rPr>
          <w:rFonts w:ascii="Bookman Old Style" w:hAnsi="Bookman Old Style"/>
        </w:rPr>
      </w:pPr>
      <w:r w:rsidRPr="00BA2BA5">
        <w:rPr>
          <w:rFonts w:ascii="Bookman Old Style" w:hAnsi="Bookman Old Style"/>
        </w:rPr>
        <w:t xml:space="preserve">It is important to note that most uniformed members of the department are cross qualified in other disciplines such as incident command, technical rescue, aircraft rescue and firefighting, hazardous materials, public education, fire investigation and hostile response.  The U.S. Fire Department Profile – 2014, completed by the NFPA Fire Analysis and Research shows in table 6 the median rates of career firefighters per 1,000 people by region and population protected for the western region and serving a population of 50,000 to 99,999 at 1 firefighter per 1,000.  The </w:t>
      </w:r>
      <w:r w:rsidR="00CE4581" w:rsidRPr="00BA2BA5">
        <w:rPr>
          <w:rFonts w:ascii="Bookman Old Style" w:hAnsi="Bookman Old Style"/>
        </w:rPr>
        <w:t xml:space="preserve">current </w:t>
      </w:r>
      <w:r w:rsidRPr="00BA2BA5">
        <w:rPr>
          <w:rFonts w:ascii="Bookman Old Style" w:hAnsi="Bookman Old Style"/>
        </w:rPr>
        <w:t>ratio of line firefighters to 1,000 population served in the City of Pasco is .7 firefighters per 1,000.</w:t>
      </w:r>
    </w:p>
    <w:p w:rsidR="003F4F56" w:rsidRPr="00492EC7" w:rsidRDefault="003F4F56" w:rsidP="00150CEE">
      <w:pPr>
        <w:pStyle w:val="NoSpacing"/>
        <w:spacing w:after="200"/>
        <w:contextualSpacing/>
        <w:jc w:val="both"/>
        <w:rPr>
          <w:rFonts w:ascii="Bookman Old Style" w:hAnsi="Bookman Old Style"/>
          <w:sz w:val="10"/>
        </w:rPr>
      </w:pPr>
    </w:p>
    <w:p w:rsidR="00EF1FDF" w:rsidRDefault="00D16597" w:rsidP="00150CEE">
      <w:pPr>
        <w:pStyle w:val="NoSpacing"/>
        <w:spacing w:after="200"/>
        <w:contextualSpacing/>
        <w:jc w:val="both"/>
        <w:rPr>
          <w:rFonts w:ascii="Bookman Old Style" w:hAnsi="Bookman Old Style"/>
        </w:rPr>
      </w:pPr>
      <w:r w:rsidRPr="00BA2BA5">
        <w:rPr>
          <w:rFonts w:ascii="Bookman Old Style" w:hAnsi="Bookman Old Style"/>
        </w:rPr>
        <w:lastRenderedPageBreak/>
        <w:t xml:space="preserve">PFD has earned a Public Protection Class 5 from the Washington Surveying &amp; Rating Bureau (WSRB) in 2016. The rating is the benchmark for many insurance companies in determining their insurance premiums for privately insured properties. The higher the rating, the greater likelihood of insurance premium increases.  The WSRB rates four major categories: Fire Department (40% of total score), Water Supply (35% of total score), Fire Safety Control (16% of total score) and Emergency Communications (9% of total score).  Each major category contains several subcategories.  The total points issued in </w:t>
      </w:r>
      <w:r w:rsidR="00C4299C" w:rsidRPr="00BA2BA5">
        <w:rPr>
          <w:rFonts w:ascii="Bookman Old Style" w:hAnsi="Bookman Old Style"/>
        </w:rPr>
        <w:t>these areas</w:t>
      </w:r>
      <w:r w:rsidR="00286EFC" w:rsidRPr="00BA2BA5">
        <w:rPr>
          <w:rFonts w:ascii="Bookman Old Style" w:hAnsi="Bookman Old Style"/>
        </w:rPr>
        <w:t xml:space="preserve"> is combined to provide a rating of a scale of 1 to 10, in which 10 is equal to being without fire protection and 1 representing the</w:t>
      </w:r>
      <w:r w:rsidR="00EF1FDF">
        <w:rPr>
          <w:rFonts w:ascii="Bookman Old Style" w:hAnsi="Bookman Old Style"/>
        </w:rPr>
        <w:t xml:space="preserve"> best fire protection available.</w:t>
      </w:r>
    </w:p>
    <w:p w:rsidR="00DB5A50" w:rsidRDefault="00DB5A50" w:rsidP="00150CEE">
      <w:pPr>
        <w:pStyle w:val="NoSpacing"/>
        <w:spacing w:after="200"/>
        <w:contextualSpacing/>
        <w:jc w:val="both"/>
        <w:rPr>
          <w:rFonts w:ascii="Bookman Old Style" w:hAnsi="Bookman Old Style"/>
        </w:rPr>
      </w:pPr>
    </w:p>
    <w:p w:rsidR="00DB5A50" w:rsidRDefault="00DB5A50" w:rsidP="00150CEE">
      <w:pPr>
        <w:pStyle w:val="NoSpacing"/>
        <w:spacing w:after="200"/>
        <w:contextualSpacing/>
        <w:jc w:val="both"/>
        <w:rPr>
          <w:rFonts w:ascii="Bookman Old Style" w:hAnsi="Bookman Old Style"/>
        </w:rPr>
      </w:pPr>
      <w:r>
        <w:rPr>
          <w:rFonts w:ascii="Bookman Old Style" w:hAnsi="Bookman Old Style"/>
        </w:rPr>
        <w:t>The fire department staffs three fire stations on a 24 hr./7 day per week basis.  The city is divided into three primary stati</w:t>
      </w:r>
      <w:r w:rsidR="00483CE9">
        <w:rPr>
          <w:rFonts w:ascii="Bookman Old Style" w:hAnsi="Bookman Old Style"/>
        </w:rPr>
        <w:t>on response areas (see map on page 33</w:t>
      </w:r>
      <w:r>
        <w:rPr>
          <w:rFonts w:ascii="Bookman Old Style" w:hAnsi="Bookman Old Style"/>
        </w:rPr>
        <w:t xml:space="preserve">).  Each response area is further sub-divided into fire management zones. </w:t>
      </w:r>
    </w:p>
    <w:p w:rsidR="00EF1FDF" w:rsidRDefault="00EF1FDF" w:rsidP="00150CEE">
      <w:pPr>
        <w:pStyle w:val="NoSpacing"/>
        <w:spacing w:after="200"/>
        <w:contextualSpacing/>
        <w:jc w:val="both"/>
        <w:rPr>
          <w:rFonts w:ascii="Bookman Old Style" w:hAnsi="Bookman Old Style"/>
        </w:rPr>
      </w:pPr>
    </w:p>
    <w:p w:rsidR="00EF1FDF" w:rsidRDefault="00EF1FDF" w:rsidP="00150CEE">
      <w:pPr>
        <w:pStyle w:val="NoSpacing"/>
        <w:spacing w:after="200"/>
        <w:contextualSpacing/>
        <w:jc w:val="both"/>
        <w:rPr>
          <w:rFonts w:ascii="Bookman Old Style" w:hAnsi="Bookman Old Style"/>
        </w:rPr>
      </w:pPr>
    </w:p>
    <w:p w:rsidR="00EF1FDF" w:rsidRPr="00BA2BA5" w:rsidRDefault="00EF1FDF" w:rsidP="00814354">
      <w:pPr>
        <w:pStyle w:val="NoSpacing"/>
        <w:rPr>
          <w:rFonts w:ascii="Bookman Old Style" w:hAnsi="Bookman Old Style"/>
          <w:color w:val="FF0000"/>
        </w:rPr>
      </w:pPr>
    </w:p>
    <w:p w:rsidR="00EF1FDF" w:rsidRDefault="00EF1FDF" w:rsidP="0027512F">
      <w:pPr>
        <w:pStyle w:val="NoSpacing"/>
        <w:rPr>
          <w:sz w:val="10"/>
        </w:rPr>
      </w:pPr>
    </w:p>
    <w:p w:rsidR="003D1199" w:rsidRPr="00EF1FDF" w:rsidRDefault="003D1199" w:rsidP="00327350">
      <w:pPr>
        <w:jc w:val="center"/>
        <w:sectPr w:rsidR="003D1199" w:rsidRPr="00EF1FDF" w:rsidSect="00150CEE">
          <w:pgSz w:w="12240" w:h="15840"/>
          <w:pgMar w:top="1440" w:right="1440" w:bottom="1440" w:left="1440" w:header="720" w:footer="720" w:gutter="0"/>
          <w:cols w:space="720"/>
          <w:docGrid w:linePitch="360"/>
        </w:sectPr>
      </w:pPr>
    </w:p>
    <w:p w:rsidR="0027512F" w:rsidRPr="003746A2" w:rsidRDefault="0027512F" w:rsidP="00460C40">
      <w:pPr>
        <w:pStyle w:val="Heading4"/>
        <w:spacing w:before="0" w:after="200"/>
        <w:rPr>
          <w:color w:val="auto"/>
          <w:sz w:val="24"/>
          <w:szCs w:val="24"/>
        </w:rPr>
      </w:pPr>
      <w:bookmarkStart w:id="17" w:name="_Toc474159546"/>
      <w:bookmarkStart w:id="18" w:name="_Toc475003854"/>
      <w:r w:rsidRPr="003746A2">
        <w:rPr>
          <w:color w:val="auto"/>
          <w:sz w:val="24"/>
          <w:szCs w:val="24"/>
        </w:rPr>
        <w:lastRenderedPageBreak/>
        <w:t>Personnel</w:t>
      </w:r>
      <w:bookmarkEnd w:id="17"/>
      <w:bookmarkEnd w:id="18"/>
    </w:p>
    <w:p w:rsidR="0027512F" w:rsidRPr="00BA2BA5" w:rsidRDefault="0027512F" w:rsidP="00150CEE">
      <w:pPr>
        <w:pStyle w:val="NoSpacing"/>
        <w:jc w:val="both"/>
        <w:rPr>
          <w:rFonts w:ascii="Bookman Old Style" w:hAnsi="Bookman Old Style"/>
        </w:rPr>
      </w:pPr>
      <w:r w:rsidRPr="00BA2BA5">
        <w:rPr>
          <w:rFonts w:ascii="Bookman Old Style" w:hAnsi="Bookman Old Style"/>
        </w:rPr>
        <w:t>The fire department employs 54 qualified all-hazards line personnel (the Port of Pasco provides 6 additional personnel for cove</w:t>
      </w:r>
      <w:r w:rsidR="00CE4581" w:rsidRPr="00BA2BA5">
        <w:rPr>
          <w:rFonts w:ascii="Bookman Old Style" w:hAnsi="Bookman Old Style"/>
        </w:rPr>
        <w:t>rage of the airport</w:t>
      </w:r>
      <w:r w:rsidRPr="00BA2BA5">
        <w:rPr>
          <w:rFonts w:ascii="Bookman Old Style" w:hAnsi="Bookman Old Style"/>
        </w:rPr>
        <w:t xml:space="preserve">).  These personnel are divided into three operational shifts of 20 personnel each working a 24 hr. on-duty, 48 hr. off-duty rotation.  The members are provided 13 (1 per pay cycle) annual Kelly Days in order to average </w:t>
      </w:r>
      <w:r w:rsidR="00CE4581" w:rsidRPr="00BA2BA5">
        <w:rPr>
          <w:rFonts w:ascii="Bookman Old Style" w:hAnsi="Bookman Old Style"/>
        </w:rPr>
        <w:t xml:space="preserve">a </w:t>
      </w:r>
      <w:r w:rsidRPr="00BA2BA5">
        <w:rPr>
          <w:rFonts w:ascii="Bookman Old Style" w:hAnsi="Bookman Old Style"/>
        </w:rPr>
        <w:t>50 hour work week. The shifts are managed by an on-duty Battalion Chief who is supported by the administrative staff.  All suppression employees from the Battalion Chief down through the ranks are covered in a collective bargaining agreement.  The span of control is within the industry standards of 1:6.</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Organizationally, the department is divided into two distinct divisions; the Administrative staff and the Operations staff.  The Administrative staff typically work a Monday through Friday schedule from 0800-1700.  These positions include:</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The Fire Chief (Chief) is accountable to the City Manager for the overall operations of the Fire Department and implementation of policy.  As the department director, the chief serves and maintains working relationships with the other departments within the city.  The chief is responsible for the development and support of collaborative relationships with other fire and emergency services agencies, and the public.</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The Administrative Assistant is accountable to the Fire Chief.  This position provides direct clerical support to the fire chief and prepares correspondence, reports, and manages departmental accounting.</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The Department Assistant is accountable to the Fire Chief.  This position provides clerical support to the Assistant Chief, Training and EMS Officers.  The position also manages ambulance billing processes.</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Assistant Chief is accountable to the Fire Chief.  The Assistant Chief is responsible for day to day program management within the fire department.  This position may be delegated the authority and responsibilities of the fire chief in the event of the chief’s absence.  Direct program management includes: Aircraft Rescue and Firefighting, Safety, Operations, Hazardous Materials, and Public Information.</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 xml:space="preserve">The Training Officer (Captain) is accountable to the Assistant Chief.  This position is responsible for the management and record-keeping of the department training program.  The training officer manages shift-level instructors and subject matter experts and is responsible for the scope, schedule and budget of the department’s training programs. </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jc w:val="both"/>
        <w:rPr>
          <w:rFonts w:ascii="Bookman Old Style" w:hAnsi="Bookman Old Style"/>
        </w:rPr>
      </w:pPr>
      <w:r w:rsidRPr="00BA2BA5">
        <w:rPr>
          <w:rFonts w:ascii="Bookman Old Style" w:hAnsi="Bookman Old Style"/>
        </w:rPr>
        <w:t>The Emergency Medical Services (EMS) Officer (Captain) is accountable to the Assistant Chief.  This position is responsible for the management, inventory, record-keeping and HIPPA compliance of the EMS program.  The EMS Officer is responsible for the scope, schedule and budget of the department’s EMS program.</w:t>
      </w:r>
    </w:p>
    <w:p w:rsidR="0027512F" w:rsidRPr="00BA2BA5" w:rsidRDefault="0027512F" w:rsidP="00150CEE">
      <w:pPr>
        <w:pStyle w:val="NoSpacing"/>
        <w:jc w:val="both"/>
        <w:rPr>
          <w:rFonts w:ascii="Bookman Old Style" w:hAnsi="Bookman Old Style"/>
        </w:rPr>
      </w:pPr>
    </w:p>
    <w:p w:rsidR="0027512F" w:rsidRPr="00BA2BA5" w:rsidRDefault="0027512F" w:rsidP="00150CEE">
      <w:pPr>
        <w:pStyle w:val="NoSpacing"/>
        <w:spacing w:afterLines="200" w:after="480"/>
        <w:contextualSpacing/>
        <w:jc w:val="both"/>
        <w:rPr>
          <w:rFonts w:ascii="Bookman Old Style" w:hAnsi="Bookman Old Style"/>
        </w:rPr>
      </w:pPr>
      <w:r w:rsidRPr="00BA2BA5">
        <w:rPr>
          <w:rFonts w:ascii="Bookman Old Style" w:hAnsi="Bookman Old Style"/>
        </w:rPr>
        <w:t>The operations division is managed and supported by the day staff.  The operations division consists of 3 battalions of 20 each supervised by a Battalion Chief (note the Port of Pasco provides 6 personnel by contract for ARFF).  The duties and responsibilities of the Battalion Chief are:</w:t>
      </w:r>
    </w:p>
    <w:p w:rsidR="0027512F" w:rsidRPr="00BA2BA5" w:rsidRDefault="0027512F" w:rsidP="00150CEE">
      <w:pPr>
        <w:pStyle w:val="NoSpacing"/>
        <w:spacing w:afterLines="200" w:after="480"/>
        <w:contextualSpacing/>
        <w:jc w:val="both"/>
        <w:rPr>
          <w:rFonts w:ascii="Bookman Old Style" w:hAnsi="Bookman Old Style"/>
        </w:rPr>
      </w:pPr>
    </w:p>
    <w:p w:rsidR="0027512F" w:rsidRPr="00BA2BA5" w:rsidRDefault="0027512F" w:rsidP="00150CEE">
      <w:pPr>
        <w:pStyle w:val="NoSpacing"/>
        <w:spacing w:afterLines="200" w:after="480"/>
        <w:contextualSpacing/>
        <w:jc w:val="both"/>
        <w:rPr>
          <w:rFonts w:ascii="Bookman Old Style" w:hAnsi="Bookman Old Style"/>
        </w:rPr>
      </w:pPr>
      <w:r w:rsidRPr="00BA2BA5">
        <w:rPr>
          <w:rFonts w:ascii="Bookman Old Style" w:hAnsi="Bookman Old Style"/>
        </w:rPr>
        <w:t>Battalion Chie</w:t>
      </w:r>
      <w:r w:rsidR="00CE4581" w:rsidRPr="00BA2BA5">
        <w:rPr>
          <w:rFonts w:ascii="Bookman Old Style" w:hAnsi="Bookman Old Style"/>
        </w:rPr>
        <w:t>f (3/1 per shift) is accountable</w:t>
      </w:r>
      <w:r w:rsidRPr="00BA2BA5">
        <w:rPr>
          <w:rFonts w:ascii="Bookman Old Style" w:hAnsi="Bookman Old Style"/>
        </w:rPr>
        <w:t xml:space="preserve"> to the Assistant Chief.  This position provides management and supervision of the day-to-day and combat operations of the shift.  The Battalion Chief works a rotating 24 on duty/48 off duty shift.  The Battalion Chief serves as the initial action incident commander for all-hazards incidents within the city with a complexity of up to a Type 4.  Each Battalion Chief has direct program management responsibilities for one of the following department programs; Apparatus Maintenance, Facilities Maintenance, Equipment Maintenance.  Battalion Chiefs may manage programs such as fire investigation, public education, PPE procurement and maintenance.</w:t>
      </w:r>
    </w:p>
    <w:p w:rsidR="0027512F" w:rsidRPr="00BA2BA5" w:rsidRDefault="0027512F" w:rsidP="00150CEE">
      <w:pPr>
        <w:pStyle w:val="NoSpacing"/>
        <w:spacing w:after="200"/>
        <w:contextualSpacing/>
        <w:jc w:val="both"/>
        <w:rPr>
          <w:rFonts w:ascii="Bookman Old Style" w:hAnsi="Bookman Old Style"/>
        </w:rPr>
      </w:pPr>
    </w:p>
    <w:p w:rsidR="0027512F" w:rsidRPr="00BA2BA5" w:rsidRDefault="0027512F" w:rsidP="00150CEE">
      <w:pPr>
        <w:pStyle w:val="NoSpacing"/>
        <w:spacing w:after="200"/>
        <w:contextualSpacing/>
        <w:jc w:val="both"/>
        <w:rPr>
          <w:rFonts w:ascii="Bookman Old Style" w:hAnsi="Bookman Old Style"/>
        </w:rPr>
      </w:pPr>
      <w:r w:rsidRPr="00BA2BA5">
        <w:rPr>
          <w:rFonts w:ascii="Bookman Old Style" w:hAnsi="Bookman Old Style"/>
        </w:rPr>
        <w:t>Station Officers (9/3 per shift) are ranked as a Captain within the organization.  The station officer is accountable to the Battalion Chief and may be delegated the responsibilities of the Battalion Chief in their absence dependent upon qualifications.  The station officer is responsible for the day-to-day operations of the station crew (typically an engine company and ambulance crew).  The station officer may have program responsibilities and/or project responsibilities.</w:t>
      </w:r>
    </w:p>
    <w:p w:rsidR="0027512F" w:rsidRPr="00BA2BA5" w:rsidRDefault="0027512F" w:rsidP="00150CEE">
      <w:pPr>
        <w:pStyle w:val="NoSpacing"/>
        <w:spacing w:after="200"/>
        <w:contextualSpacing/>
        <w:jc w:val="both"/>
        <w:rPr>
          <w:rFonts w:ascii="Bookman Old Style" w:hAnsi="Bookman Old Style"/>
        </w:rPr>
      </w:pPr>
    </w:p>
    <w:p w:rsidR="0027512F" w:rsidRPr="00BA2BA5" w:rsidRDefault="0027512F" w:rsidP="00150CEE">
      <w:pPr>
        <w:pStyle w:val="NoSpacing"/>
        <w:spacing w:after="200"/>
        <w:contextualSpacing/>
        <w:jc w:val="both"/>
        <w:rPr>
          <w:rFonts w:ascii="Bookman Old Style" w:hAnsi="Bookman Old Style"/>
        </w:rPr>
      </w:pPr>
      <w:r w:rsidRPr="00BA2BA5">
        <w:rPr>
          <w:rFonts w:ascii="Bookman Old Style" w:hAnsi="Bookman Old Style"/>
        </w:rPr>
        <w:t>Company Officers (6/2 per shift) are ranked as Lieutenant within the organization.  The company officer is accountable to the Station Officer and may be delegated the responsibilities of the Captain in their absence dependent upon qualifications.  The company officer is responsible for project management, including scope, schedule and budget.  NOTE: 1 company officer per shift is usually assigned as the ARFF LT.</w:t>
      </w:r>
    </w:p>
    <w:p w:rsidR="0027512F" w:rsidRPr="00BA2BA5" w:rsidRDefault="0027512F" w:rsidP="00150CEE">
      <w:pPr>
        <w:pStyle w:val="NoSpacing"/>
        <w:spacing w:after="200"/>
        <w:contextualSpacing/>
        <w:jc w:val="both"/>
        <w:rPr>
          <w:rFonts w:ascii="Bookman Old Style" w:hAnsi="Bookman Old Style"/>
        </w:rPr>
      </w:pPr>
    </w:p>
    <w:p w:rsidR="0027512F" w:rsidRPr="00BA2BA5" w:rsidRDefault="0027512F" w:rsidP="00150CEE">
      <w:pPr>
        <w:pStyle w:val="NoSpacing"/>
        <w:spacing w:after="200"/>
        <w:contextualSpacing/>
        <w:jc w:val="both"/>
        <w:rPr>
          <w:rFonts w:ascii="Bookman Old Style" w:hAnsi="Bookman Old Style"/>
        </w:rPr>
      </w:pPr>
      <w:r w:rsidRPr="00BA2BA5">
        <w:rPr>
          <w:rFonts w:ascii="Bookman Old Style" w:hAnsi="Bookman Old Style"/>
        </w:rPr>
        <w:t>Firefighter/Paramedics are responsible for the delivery of advanced life support pre-hospital emergent care</w:t>
      </w:r>
      <w:r w:rsidR="00AB6655">
        <w:rPr>
          <w:rFonts w:ascii="Bookman Old Style" w:hAnsi="Bookman Old Style"/>
        </w:rPr>
        <w:t>, fire suppression</w:t>
      </w:r>
      <w:r w:rsidRPr="00BA2BA5">
        <w:rPr>
          <w:rFonts w:ascii="Bookman Old Style" w:hAnsi="Bookman Old Style"/>
        </w:rPr>
        <w:t xml:space="preserve"> and the day-to-day routine maintenance of the facilities, apparatus and equipment to which they are assigned.  </w:t>
      </w:r>
    </w:p>
    <w:p w:rsidR="0027512F" w:rsidRPr="00BA2BA5" w:rsidRDefault="0027512F" w:rsidP="00150CEE">
      <w:pPr>
        <w:pStyle w:val="NoSpacing"/>
        <w:spacing w:after="200"/>
        <w:contextualSpacing/>
        <w:jc w:val="both"/>
        <w:rPr>
          <w:rFonts w:ascii="Bookman Old Style" w:hAnsi="Bookman Old Style"/>
        </w:rPr>
      </w:pPr>
    </w:p>
    <w:p w:rsidR="0027512F" w:rsidRPr="00BA2BA5" w:rsidRDefault="0027512F" w:rsidP="00150CEE">
      <w:pPr>
        <w:pStyle w:val="NoSpacing"/>
        <w:spacing w:after="200"/>
        <w:contextualSpacing/>
        <w:jc w:val="both"/>
        <w:rPr>
          <w:rFonts w:ascii="Bookman Old Style" w:hAnsi="Bookman Old Style"/>
        </w:rPr>
      </w:pPr>
      <w:r w:rsidRPr="00BA2BA5">
        <w:rPr>
          <w:rFonts w:ascii="Bookman Old Style" w:hAnsi="Bookman Old Style"/>
        </w:rPr>
        <w:t xml:space="preserve">Firefighters are responsible for the delivery of </w:t>
      </w:r>
      <w:r w:rsidR="00CE4581" w:rsidRPr="00BA2BA5">
        <w:rPr>
          <w:rFonts w:ascii="Bookman Old Style" w:hAnsi="Bookman Old Style"/>
        </w:rPr>
        <w:t xml:space="preserve">basic life support EMS, </w:t>
      </w:r>
      <w:r w:rsidRPr="00BA2BA5">
        <w:rPr>
          <w:rFonts w:ascii="Bookman Old Style" w:hAnsi="Bookman Old Style"/>
        </w:rPr>
        <w:t>fire suppression activities and the day-to-day routine maintenance of the facilities, apparatus, and equipment to which they are assigned.</w:t>
      </w:r>
    </w:p>
    <w:p w:rsidR="0027512F" w:rsidRPr="00BA2BA5" w:rsidRDefault="0027512F" w:rsidP="00150CEE">
      <w:pPr>
        <w:pStyle w:val="NoSpacing"/>
        <w:spacing w:after="200"/>
        <w:contextualSpacing/>
        <w:jc w:val="both"/>
        <w:rPr>
          <w:rFonts w:ascii="Bookman Old Style" w:hAnsi="Bookman Old Style"/>
        </w:rPr>
      </w:pPr>
    </w:p>
    <w:p w:rsidR="0027512F" w:rsidRPr="00BA2BA5" w:rsidRDefault="0027512F" w:rsidP="00150CEE">
      <w:pPr>
        <w:pStyle w:val="NoSpacing"/>
        <w:spacing w:afterLines="200" w:after="480"/>
        <w:contextualSpacing/>
        <w:jc w:val="both"/>
        <w:rPr>
          <w:rFonts w:ascii="Bookman Old Style" w:hAnsi="Bookman Old Style"/>
        </w:rPr>
      </w:pPr>
      <w:r w:rsidRPr="00BA2BA5">
        <w:rPr>
          <w:rFonts w:ascii="Bookman Old Style" w:hAnsi="Bookman Old Style"/>
        </w:rPr>
        <w:t xml:space="preserve">The following chart reflects the scalar organization of the Pasco Fire Department as of the writing of this document.  It is noteworthy that the fire department functions in the scalar command structure for emergency operations and is </w:t>
      </w:r>
      <w:r w:rsidR="007F5971" w:rsidRPr="00BA2BA5">
        <w:rPr>
          <w:rFonts w:ascii="Bookman Old Style" w:hAnsi="Bookman Old Style"/>
        </w:rPr>
        <w:t xml:space="preserve">functionally </w:t>
      </w:r>
      <w:r w:rsidRPr="00BA2BA5">
        <w:rPr>
          <w:rFonts w:ascii="Bookman Old Style" w:hAnsi="Bookman Old Style"/>
        </w:rPr>
        <w:t>project-oriented for day to day routine operations</w:t>
      </w:r>
      <w:r w:rsidR="007F5971" w:rsidRPr="00BA2BA5">
        <w:rPr>
          <w:rFonts w:ascii="Bookman Old Style" w:hAnsi="Bookman Old Style"/>
        </w:rPr>
        <w:t>.</w:t>
      </w:r>
      <w:r w:rsidRPr="00BA2BA5">
        <w:rPr>
          <w:rFonts w:ascii="Bookman Old Style" w:hAnsi="Bookman Old Style"/>
        </w:rPr>
        <w:t xml:space="preserve">  The functional program management structure is circular in that the process owner (administration) is in the center, surrounded by the many routine program activities required to maintain emergency operational readiness.  The department defines programs as “on-going with regular budgetary considerations”.  Examples of programs are: training, EMS, Hazardous Materials, Technical Rescue, Aircraft Rescue and Firefighting, etc. Projects are defined as “limited in time duration and may or may not be supported by budget”. Examples of projects may include deployment plan updates, pre-fire planning, </w:t>
      </w:r>
      <w:r w:rsidR="00CE4581" w:rsidRPr="00BA2BA5">
        <w:rPr>
          <w:rFonts w:ascii="Bookman Old Style" w:hAnsi="Bookman Old Style"/>
        </w:rPr>
        <w:t>ladder and hose testing, etc.  Senior m</w:t>
      </w:r>
      <w:r w:rsidRPr="00BA2BA5">
        <w:rPr>
          <w:rFonts w:ascii="Bookman Old Style" w:hAnsi="Bookman Old Style"/>
        </w:rPr>
        <w:t>id-level managers are typically assigned to program and project management and have authority of scope, schedule and budget for the program/project.   The processes are interdependent and better and faster decisions can be made.</w:t>
      </w:r>
    </w:p>
    <w:p w:rsidR="007F5971" w:rsidRPr="00BA2BA5" w:rsidRDefault="007F5971" w:rsidP="00150CEE">
      <w:pPr>
        <w:pStyle w:val="NoSpacing"/>
        <w:spacing w:afterLines="200" w:after="480"/>
        <w:contextualSpacing/>
        <w:jc w:val="both"/>
        <w:rPr>
          <w:rFonts w:ascii="Bookman Old Style" w:hAnsi="Bookman Old Style"/>
        </w:rPr>
      </w:pPr>
    </w:p>
    <w:p w:rsidR="007F5971" w:rsidRPr="00BA2BA5" w:rsidRDefault="007F5971" w:rsidP="00150CEE">
      <w:pPr>
        <w:pStyle w:val="NoSpacing"/>
        <w:spacing w:afterLines="200" w:after="480"/>
        <w:contextualSpacing/>
        <w:jc w:val="both"/>
        <w:rPr>
          <w:rFonts w:ascii="Bookman Old Style" w:hAnsi="Bookman Old Style"/>
        </w:rPr>
      </w:pPr>
      <w:r w:rsidRPr="00BA2BA5">
        <w:rPr>
          <w:rFonts w:ascii="Bookman Old Style" w:hAnsi="Bookman Old Style"/>
        </w:rPr>
        <w:t xml:space="preserve">Chief Officers and senior Captains usually manage “programs” and are responsible for the scope, schedule and budget of the program.  Mid – level managers (Captains and </w:t>
      </w:r>
      <w:r w:rsidRPr="00BA2BA5">
        <w:rPr>
          <w:rFonts w:ascii="Bookman Old Style" w:hAnsi="Bookman Old Style"/>
        </w:rPr>
        <w:lastRenderedPageBreak/>
        <w:t xml:space="preserve">Lieutenants) or subject matter experts (SME’s) usually manage “projects” and are supervised by Chief Officers.  Project managers are responsible for schedule.  </w:t>
      </w:r>
    </w:p>
    <w:p w:rsidR="007F5971" w:rsidRPr="00BA2BA5" w:rsidRDefault="007F5971" w:rsidP="00150CEE">
      <w:pPr>
        <w:pStyle w:val="NoSpacing"/>
        <w:jc w:val="both"/>
        <w:rPr>
          <w:rFonts w:ascii="Bookman Old Style" w:hAnsi="Bookman Old Style"/>
        </w:rPr>
      </w:pPr>
    </w:p>
    <w:p w:rsidR="007F5971" w:rsidRPr="009F09D1" w:rsidRDefault="007F5971" w:rsidP="00150CEE">
      <w:pPr>
        <w:pStyle w:val="NoSpacing"/>
        <w:jc w:val="center"/>
        <w:rPr>
          <w:rFonts w:ascii="Bookman Old Style" w:hAnsi="Bookman Old Style"/>
          <w:b/>
        </w:rPr>
      </w:pPr>
      <w:r w:rsidRPr="009F09D1">
        <w:rPr>
          <w:rFonts w:ascii="Bookman Old Style" w:hAnsi="Bookman Old Style"/>
          <w:b/>
        </w:rPr>
        <w:t>Hierarchal (Emergent) Organizational Chart</w:t>
      </w:r>
    </w:p>
    <w:p w:rsidR="0027512F" w:rsidRPr="00BA2BA5" w:rsidRDefault="0027512F" w:rsidP="0027512F">
      <w:pPr>
        <w:pStyle w:val="NoSpacing"/>
        <w:rPr>
          <w:rFonts w:ascii="Bookman Old Style" w:hAnsi="Bookman Old Style"/>
        </w:rPr>
      </w:pPr>
    </w:p>
    <w:p w:rsidR="0027512F" w:rsidRDefault="0027512F" w:rsidP="0027512F">
      <w:pPr>
        <w:pStyle w:val="NoSpacing"/>
        <w:jc w:val="center"/>
      </w:pPr>
      <w:r>
        <w:rPr>
          <w:noProof/>
        </w:rPr>
        <w:drawing>
          <wp:inline distT="0" distB="0" distL="0" distR="0" wp14:anchorId="4F718C08" wp14:editId="5215EF1D">
            <wp:extent cx="3625174" cy="25393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6119" cy="2540040"/>
                    </a:xfrm>
                    <a:prstGeom prst="rect">
                      <a:avLst/>
                    </a:prstGeom>
                    <a:noFill/>
                  </pic:spPr>
                </pic:pic>
              </a:graphicData>
            </a:graphic>
          </wp:inline>
        </w:drawing>
      </w:r>
    </w:p>
    <w:p w:rsidR="0027512F" w:rsidRDefault="0027512F" w:rsidP="0027512F">
      <w:pPr>
        <w:pStyle w:val="NoSpacing"/>
      </w:pPr>
    </w:p>
    <w:p w:rsidR="0027512F" w:rsidRDefault="0027512F" w:rsidP="0027512F">
      <w:pPr>
        <w:pStyle w:val="NoSpacing"/>
      </w:pPr>
    </w:p>
    <w:p w:rsidR="0027512F" w:rsidRPr="00BA2BA5" w:rsidRDefault="0027512F" w:rsidP="00150CEE">
      <w:pPr>
        <w:pStyle w:val="NoSpacing"/>
        <w:spacing w:after="200"/>
        <w:contextualSpacing/>
        <w:jc w:val="both"/>
        <w:rPr>
          <w:rFonts w:ascii="Bookman Old Style" w:hAnsi="Bookman Old Style"/>
        </w:rPr>
      </w:pPr>
      <w:r w:rsidRPr="00BA2BA5">
        <w:rPr>
          <w:rFonts w:ascii="Bookman Old Style" w:hAnsi="Bookman Old Style"/>
        </w:rPr>
        <w:t>The chart below is reflective of the day to day project/program orientation of the fire department.   Each major program is identified by a red circle and is largely reflective of the core missions of the fire department.  Minor programs are identified in the green circles and are “specialized” programs</w:t>
      </w:r>
      <w:r w:rsidR="007F5971" w:rsidRPr="00BA2BA5">
        <w:rPr>
          <w:rFonts w:ascii="Bookman Old Style" w:hAnsi="Bookman Old Style"/>
        </w:rPr>
        <w:t>/projects</w:t>
      </w:r>
      <w:r w:rsidRPr="00BA2BA5">
        <w:rPr>
          <w:rFonts w:ascii="Bookman Old Style" w:hAnsi="Bookman Old Style"/>
        </w:rPr>
        <w:t xml:space="preserve"> that the department has chosen to support.  </w:t>
      </w:r>
    </w:p>
    <w:p w:rsidR="0027512F" w:rsidRPr="00BA2BA5" w:rsidRDefault="0027512F" w:rsidP="0027512F">
      <w:pPr>
        <w:pStyle w:val="NoSpacing"/>
        <w:rPr>
          <w:rFonts w:ascii="Bookman Old Style" w:hAnsi="Bookman Old Style"/>
        </w:rPr>
      </w:pPr>
    </w:p>
    <w:p w:rsidR="0027512F" w:rsidRPr="009F09D1" w:rsidRDefault="00F94093" w:rsidP="00F94093">
      <w:pPr>
        <w:pStyle w:val="NoSpacing"/>
        <w:jc w:val="center"/>
        <w:rPr>
          <w:rFonts w:ascii="Bookman Old Style" w:hAnsi="Bookman Old Style"/>
          <w:b/>
        </w:rPr>
      </w:pPr>
      <w:r w:rsidRPr="009F09D1">
        <w:rPr>
          <w:rFonts w:ascii="Bookman Old Style" w:hAnsi="Bookman Old Style"/>
          <w:b/>
        </w:rPr>
        <w:t>Day to Day Program Management</w:t>
      </w:r>
    </w:p>
    <w:p w:rsidR="0027512F" w:rsidRPr="00BA2BA5" w:rsidRDefault="0027512F" w:rsidP="0027512F">
      <w:pPr>
        <w:pStyle w:val="NoSpacing"/>
        <w:rPr>
          <w:rFonts w:ascii="Bookman Old Style" w:hAnsi="Bookman Old Style"/>
        </w:rPr>
      </w:pPr>
    </w:p>
    <w:p w:rsidR="0027512F" w:rsidRDefault="0027512F" w:rsidP="0027512F">
      <w:pPr>
        <w:pStyle w:val="NoSpacing"/>
        <w:jc w:val="center"/>
      </w:pPr>
    </w:p>
    <w:p w:rsidR="0027512F" w:rsidRDefault="00150CEE" w:rsidP="00150CEE">
      <w:pPr>
        <w:pStyle w:val="NoSpacing"/>
        <w:jc w:val="center"/>
      </w:pPr>
      <w:r w:rsidRPr="00554E82">
        <w:rPr>
          <w:b/>
          <w:noProof/>
        </w:rPr>
        <w:drawing>
          <wp:inline distT="0" distB="0" distL="0" distR="0" wp14:anchorId="2E830E11" wp14:editId="74BF768B">
            <wp:extent cx="3303287"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3924" cy="2553192"/>
                    </a:xfrm>
                    <a:prstGeom prst="rect">
                      <a:avLst/>
                    </a:prstGeom>
                    <a:noFill/>
                  </pic:spPr>
                </pic:pic>
              </a:graphicData>
            </a:graphic>
          </wp:inline>
        </w:drawing>
      </w:r>
    </w:p>
    <w:p w:rsidR="000F29DF" w:rsidRDefault="000F29DF" w:rsidP="000F29DF">
      <w:pPr>
        <w:rPr>
          <w:rFonts w:ascii="Bookman Old Style" w:hAnsi="Bookman Old Style"/>
        </w:rPr>
      </w:pPr>
      <w:bookmarkStart w:id="19" w:name="_Toc474159547"/>
    </w:p>
    <w:p w:rsidR="00E14BB7" w:rsidRPr="00A91830" w:rsidRDefault="006D065B" w:rsidP="00E14BB7">
      <w:pPr>
        <w:pStyle w:val="Heading5"/>
        <w:spacing w:afterLines="200" w:after="480" w:line="240" w:lineRule="auto"/>
        <w:contextualSpacing/>
        <w:jc w:val="both"/>
        <w:rPr>
          <w:b/>
          <w:i/>
          <w:color w:val="auto"/>
          <w:sz w:val="24"/>
        </w:rPr>
      </w:pPr>
      <w:bookmarkStart w:id="20" w:name="_Toc475003855"/>
      <w:r>
        <w:rPr>
          <w:b/>
          <w:i/>
          <w:color w:val="auto"/>
          <w:sz w:val="24"/>
        </w:rPr>
        <w:lastRenderedPageBreak/>
        <w:t xml:space="preserve">Station Primary </w:t>
      </w:r>
      <w:r w:rsidR="008B669F" w:rsidRPr="00A91830">
        <w:rPr>
          <w:b/>
          <w:i/>
          <w:color w:val="auto"/>
          <w:sz w:val="24"/>
        </w:rPr>
        <w:t>Service Area</w:t>
      </w:r>
      <w:bookmarkEnd w:id="20"/>
    </w:p>
    <w:p w:rsidR="00E14BB7" w:rsidRPr="00A91830" w:rsidRDefault="00E14BB7" w:rsidP="00E14BB7">
      <w:pPr>
        <w:pStyle w:val="Heading5"/>
        <w:spacing w:afterLines="200" w:after="480" w:line="240" w:lineRule="auto"/>
        <w:contextualSpacing/>
        <w:jc w:val="both"/>
        <w:rPr>
          <w:b/>
          <w:i/>
          <w:color w:val="auto"/>
          <w:sz w:val="24"/>
        </w:rPr>
      </w:pPr>
    </w:p>
    <w:p w:rsidR="008B669F" w:rsidRPr="00E14BB7" w:rsidRDefault="008B669F" w:rsidP="00E14BB7">
      <w:pPr>
        <w:pStyle w:val="Heading5"/>
        <w:spacing w:before="0" w:afterLines="100" w:after="240" w:line="240" w:lineRule="auto"/>
        <w:contextualSpacing/>
        <w:jc w:val="both"/>
        <w:rPr>
          <w:color w:val="auto"/>
        </w:rPr>
      </w:pPr>
      <w:r w:rsidRPr="00E14BB7">
        <w:rPr>
          <w:color w:val="auto"/>
        </w:rPr>
        <w:t>The city of Pasco Fire Department serves an area of 37 square miles, with an additional seven square miles in the urban growth boundary.  The city is sub-divided into three primary response areas (1 per station).  Each primary response area is further divided into fire management zones primarily for dispatching and record-keeping purposes.  Station 81 has a primary response area of essentially 14</w:t>
      </w:r>
      <w:r w:rsidRPr="00E14BB7">
        <w:rPr>
          <w:color w:val="auto"/>
          <w:vertAlign w:val="superscript"/>
        </w:rPr>
        <w:t>th</w:t>
      </w:r>
      <w:r w:rsidRPr="00E14BB7">
        <w:rPr>
          <w:color w:val="auto"/>
        </w:rPr>
        <w:t xml:space="preserve"> Ave. – north, east and south to the City boundaries, Station 82 has a primary response area of west of 14</w:t>
      </w:r>
      <w:r w:rsidRPr="00E14BB7">
        <w:rPr>
          <w:color w:val="auto"/>
          <w:vertAlign w:val="superscript"/>
        </w:rPr>
        <w:t>th</w:t>
      </w:r>
      <w:r w:rsidRPr="00E14BB7">
        <w:rPr>
          <w:color w:val="auto"/>
        </w:rPr>
        <w:t xml:space="preserve"> Ave. to Rd. 44, north and south to the City boundaries, and station 83 has west of Rd. 44 – and north, west and south to City boundaries.</w:t>
      </w:r>
    </w:p>
    <w:p w:rsidR="006D065B" w:rsidRPr="008B669F" w:rsidRDefault="006D065B" w:rsidP="006D065B">
      <w:pPr>
        <w:jc w:val="center"/>
      </w:pPr>
      <w:r w:rsidRPr="00DA253A">
        <w:rPr>
          <w:noProof/>
        </w:rPr>
        <w:drawing>
          <wp:inline distT="0" distB="0" distL="0" distR="0" wp14:anchorId="65080A03" wp14:editId="00750004">
            <wp:extent cx="6176015" cy="440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o Bas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4090" cy="4413429"/>
                    </a:xfrm>
                    <a:prstGeom prst="rect">
                      <a:avLst/>
                    </a:prstGeom>
                  </pic:spPr>
                </pic:pic>
              </a:graphicData>
            </a:graphic>
          </wp:inline>
        </w:drawing>
      </w:r>
    </w:p>
    <w:p w:rsidR="006D065B" w:rsidRDefault="006D065B" w:rsidP="00460C40">
      <w:pPr>
        <w:pStyle w:val="Heading5"/>
        <w:spacing w:before="0" w:after="200"/>
        <w:rPr>
          <w:b/>
          <w:i/>
          <w:color w:val="auto"/>
          <w:sz w:val="24"/>
          <w:szCs w:val="24"/>
        </w:rPr>
      </w:pPr>
      <w:bookmarkStart w:id="21" w:name="_Toc475003856"/>
    </w:p>
    <w:p w:rsidR="006D065B" w:rsidRDefault="006D065B" w:rsidP="00460C40">
      <w:pPr>
        <w:pStyle w:val="Heading5"/>
        <w:spacing w:before="0" w:after="200"/>
        <w:rPr>
          <w:b/>
          <w:i/>
          <w:color w:val="auto"/>
          <w:sz w:val="24"/>
          <w:szCs w:val="24"/>
        </w:rPr>
      </w:pPr>
    </w:p>
    <w:p w:rsidR="006D065B" w:rsidRDefault="006D065B" w:rsidP="00460C40">
      <w:pPr>
        <w:pStyle w:val="Heading5"/>
        <w:spacing w:before="0" w:after="200"/>
        <w:rPr>
          <w:b/>
          <w:i/>
          <w:color w:val="auto"/>
          <w:sz w:val="24"/>
          <w:szCs w:val="24"/>
        </w:rPr>
      </w:pPr>
    </w:p>
    <w:p w:rsidR="006D065B" w:rsidRDefault="006D065B" w:rsidP="00460C40">
      <w:pPr>
        <w:pStyle w:val="Heading5"/>
        <w:spacing w:before="0" w:after="200"/>
        <w:rPr>
          <w:b/>
          <w:i/>
          <w:color w:val="auto"/>
          <w:sz w:val="24"/>
          <w:szCs w:val="24"/>
        </w:rPr>
      </w:pPr>
    </w:p>
    <w:p w:rsidR="006D065B" w:rsidRPr="006D065B" w:rsidRDefault="006D065B" w:rsidP="006D065B"/>
    <w:p w:rsidR="00862E2A" w:rsidRPr="003746A2" w:rsidRDefault="00854FEB" w:rsidP="00460C40">
      <w:pPr>
        <w:pStyle w:val="Heading5"/>
        <w:spacing w:before="0" w:after="200"/>
        <w:rPr>
          <w:b/>
          <w:i/>
          <w:color w:val="auto"/>
          <w:sz w:val="24"/>
          <w:szCs w:val="24"/>
        </w:rPr>
      </w:pPr>
      <w:r w:rsidRPr="003746A2">
        <w:rPr>
          <w:b/>
          <w:i/>
          <w:color w:val="auto"/>
          <w:sz w:val="24"/>
          <w:szCs w:val="24"/>
        </w:rPr>
        <w:lastRenderedPageBreak/>
        <w:t>Apparatus</w:t>
      </w:r>
      <w:bookmarkEnd w:id="19"/>
      <w:bookmarkEnd w:id="21"/>
    </w:p>
    <w:p w:rsidR="00862E2A" w:rsidRPr="00BA2BA5" w:rsidRDefault="00862E2A" w:rsidP="00150CEE">
      <w:pPr>
        <w:pStyle w:val="NoSpacing"/>
        <w:spacing w:after="200"/>
        <w:contextualSpacing/>
        <w:jc w:val="both"/>
        <w:rPr>
          <w:rFonts w:ascii="Bookman Old Style" w:hAnsi="Bookman Old Style"/>
        </w:rPr>
      </w:pPr>
      <w:r w:rsidRPr="00BA2BA5">
        <w:rPr>
          <w:rFonts w:ascii="Bookman Old Style" w:hAnsi="Bookman Old Style"/>
        </w:rPr>
        <w:t>The PFD operates two NFPA 1001 Type 1 engines, 1 Type 1 Ladder Truck, 2 Type 6 engines, 3 Type 2 advanced life support ambulances, 1 Type 2 water</w:t>
      </w:r>
      <w:r w:rsidR="00D55490" w:rsidRPr="00BA2BA5">
        <w:rPr>
          <w:rFonts w:ascii="Bookman Old Style" w:hAnsi="Bookman Old Style"/>
        </w:rPr>
        <w:t xml:space="preserve"> tender, 1 Type </w:t>
      </w:r>
      <w:r w:rsidR="00C17300" w:rsidRPr="00BA2BA5">
        <w:rPr>
          <w:rFonts w:ascii="Bookman Old Style" w:hAnsi="Bookman Old Style"/>
        </w:rPr>
        <w:t xml:space="preserve">4 </w:t>
      </w:r>
      <w:r w:rsidR="00D55490" w:rsidRPr="00BA2BA5">
        <w:rPr>
          <w:rFonts w:ascii="Bookman Old Style" w:hAnsi="Bookman Old Style"/>
        </w:rPr>
        <w:t xml:space="preserve">light rescue vehicle, and 1 Type 4 rescue boat out of three fire stations </w:t>
      </w:r>
      <w:r w:rsidR="00094CC3" w:rsidRPr="00BA2BA5">
        <w:rPr>
          <w:rFonts w:ascii="Bookman Old Style" w:hAnsi="Bookman Old Style"/>
        </w:rPr>
        <w:t xml:space="preserve">(St.84 is currently unstaffed) </w:t>
      </w:r>
      <w:r w:rsidR="00D55490" w:rsidRPr="00BA2BA5">
        <w:rPr>
          <w:rFonts w:ascii="Bookman Old Style" w:hAnsi="Bookman Old Style"/>
        </w:rPr>
        <w:t>located at:</w:t>
      </w:r>
    </w:p>
    <w:p w:rsidR="00D55490" w:rsidRPr="00BA2BA5" w:rsidRDefault="00D55490" w:rsidP="00814354">
      <w:pPr>
        <w:pStyle w:val="NoSpacing"/>
        <w:rPr>
          <w:rFonts w:ascii="Bookman Old Style" w:hAnsi="Bookman Old Style"/>
        </w:rPr>
      </w:pPr>
    </w:p>
    <w:p w:rsidR="00D55490" w:rsidRPr="00BA2BA5" w:rsidRDefault="00D55490" w:rsidP="00814354">
      <w:pPr>
        <w:pStyle w:val="NoSpacing"/>
        <w:rPr>
          <w:rFonts w:ascii="Bookman Old Style" w:hAnsi="Bookman Old Style"/>
        </w:rPr>
      </w:pP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t>St81</w:t>
      </w:r>
      <w:r w:rsidRPr="00BA2BA5">
        <w:rPr>
          <w:rFonts w:ascii="Bookman Old Style" w:hAnsi="Bookman Old Style"/>
        </w:rPr>
        <w:tab/>
      </w:r>
      <w:r w:rsidRPr="00BA2BA5">
        <w:rPr>
          <w:rFonts w:ascii="Bookman Old Style" w:hAnsi="Bookman Old Style"/>
        </w:rPr>
        <w:tab/>
        <w:t>310 N. Oregon Ave</w:t>
      </w:r>
    </w:p>
    <w:p w:rsidR="00D55490" w:rsidRPr="00BA2BA5" w:rsidRDefault="00D55490" w:rsidP="00814354">
      <w:pPr>
        <w:pStyle w:val="NoSpacing"/>
        <w:rPr>
          <w:rFonts w:ascii="Bookman Old Style" w:hAnsi="Bookman Old Style"/>
        </w:rPr>
      </w:pP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t>St82</w:t>
      </w:r>
      <w:r w:rsidRPr="00BA2BA5">
        <w:rPr>
          <w:rFonts w:ascii="Bookman Old Style" w:hAnsi="Bookman Old Style"/>
        </w:rPr>
        <w:tab/>
      </w:r>
      <w:r w:rsidRPr="00BA2BA5">
        <w:rPr>
          <w:rFonts w:ascii="Bookman Old Style" w:hAnsi="Bookman Old Style"/>
        </w:rPr>
        <w:tab/>
        <w:t>3502 Varney Lane</w:t>
      </w:r>
    </w:p>
    <w:p w:rsidR="00D55490" w:rsidRPr="00BA2BA5" w:rsidRDefault="00D55490" w:rsidP="00814354">
      <w:pPr>
        <w:pStyle w:val="NoSpacing"/>
        <w:rPr>
          <w:rFonts w:ascii="Bookman Old Style" w:hAnsi="Bookman Old Style"/>
        </w:rPr>
      </w:pP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t>St83</w:t>
      </w:r>
      <w:r w:rsidRPr="00BA2BA5">
        <w:rPr>
          <w:rFonts w:ascii="Bookman Old Style" w:hAnsi="Bookman Old Style"/>
        </w:rPr>
        <w:tab/>
      </w:r>
      <w:r w:rsidRPr="00BA2BA5">
        <w:rPr>
          <w:rFonts w:ascii="Bookman Old Style" w:hAnsi="Bookman Old Style"/>
        </w:rPr>
        <w:tab/>
        <w:t>3203 Rd. 68</w:t>
      </w:r>
    </w:p>
    <w:p w:rsidR="002E6163" w:rsidRPr="00BA2BA5" w:rsidRDefault="002E6163" w:rsidP="00814354">
      <w:pPr>
        <w:pStyle w:val="NoSpacing"/>
        <w:rPr>
          <w:rFonts w:ascii="Bookman Old Style" w:hAnsi="Bookman Old Style"/>
        </w:rPr>
      </w:pP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r>
      <w:r w:rsidRPr="00BA2BA5">
        <w:rPr>
          <w:rFonts w:ascii="Bookman Old Style" w:hAnsi="Bookman Old Style"/>
        </w:rPr>
        <w:tab/>
        <w:t>St84</w:t>
      </w:r>
      <w:r w:rsidRPr="00BA2BA5">
        <w:rPr>
          <w:rFonts w:ascii="Bookman Old Style" w:hAnsi="Bookman Old Style"/>
        </w:rPr>
        <w:tab/>
      </w:r>
      <w:r w:rsidRPr="00BA2BA5">
        <w:rPr>
          <w:rFonts w:ascii="Bookman Old Style" w:hAnsi="Bookman Old Style"/>
        </w:rPr>
        <w:tab/>
      </w:r>
      <w:r w:rsidR="00FA534A" w:rsidRPr="00BA2BA5">
        <w:rPr>
          <w:rFonts w:ascii="Bookman Old Style" w:hAnsi="Bookman Old Style"/>
        </w:rPr>
        <w:t>1208 Rd. 48</w:t>
      </w:r>
    </w:p>
    <w:p w:rsidR="00D55490" w:rsidRPr="00BA2BA5" w:rsidRDefault="00D55490" w:rsidP="00814354">
      <w:pPr>
        <w:pStyle w:val="NoSpacing"/>
        <w:rPr>
          <w:rFonts w:ascii="Bookman Old Style" w:hAnsi="Bookman Old Style"/>
        </w:rPr>
      </w:pPr>
    </w:p>
    <w:p w:rsidR="00D55490" w:rsidRPr="00BA2BA5" w:rsidRDefault="00D55490" w:rsidP="00150CEE">
      <w:pPr>
        <w:pStyle w:val="NoSpacing"/>
        <w:spacing w:after="200"/>
        <w:contextualSpacing/>
        <w:rPr>
          <w:rFonts w:ascii="Bookman Old Style" w:hAnsi="Bookman Old Style"/>
        </w:rPr>
      </w:pPr>
      <w:r w:rsidRPr="00BA2BA5">
        <w:rPr>
          <w:rFonts w:ascii="Bookman Old Style" w:hAnsi="Bookman Old Style"/>
        </w:rPr>
        <w:t>The fire department also operates 2 Type 1 aircraft rescue and firefighting vehicles under contract with the Port of Pasco at the Tri-Cities airport.  Equipment</w:t>
      </w:r>
      <w:r w:rsidR="00FF4FA9">
        <w:rPr>
          <w:rFonts w:ascii="Bookman Old Style" w:hAnsi="Bookman Old Style"/>
        </w:rPr>
        <w:t xml:space="preserve"> and staffing</w:t>
      </w:r>
      <w:r w:rsidRPr="00BA2BA5">
        <w:rPr>
          <w:rFonts w:ascii="Bookman Old Style" w:hAnsi="Bookman Old Style"/>
        </w:rPr>
        <w:t xml:space="preserve"> distribution is as below:</w:t>
      </w:r>
    </w:p>
    <w:p w:rsidR="00D55490" w:rsidRPr="00BA2BA5" w:rsidRDefault="00D55490" w:rsidP="00814354">
      <w:pPr>
        <w:pStyle w:val="NoSpacing"/>
        <w:rPr>
          <w:rFonts w:ascii="Bookman Old Style" w:hAnsi="Bookman Old Style"/>
        </w:rPr>
      </w:pPr>
    </w:p>
    <w:tbl>
      <w:tblPr>
        <w:tblStyle w:val="TableGrid"/>
        <w:tblW w:w="0" w:type="auto"/>
        <w:tblLook w:val="04A0" w:firstRow="1" w:lastRow="0" w:firstColumn="1" w:lastColumn="0" w:noHBand="0" w:noVBand="1"/>
      </w:tblPr>
      <w:tblGrid>
        <w:gridCol w:w="2394"/>
        <w:gridCol w:w="2484"/>
        <w:gridCol w:w="2790"/>
        <w:gridCol w:w="1908"/>
      </w:tblGrid>
      <w:tr w:rsidR="00D55490" w:rsidRPr="00BA2BA5" w:rsidTr="002E6163">
        <w:tc>
          <w:tcPr>
            <w:tcW w:w="2394" w:type="dxa"/>
            <w:vAlign w:val="center"/>
          </w:tcPr>
          <w:p w:rsidR="00D55490" w:rsidRPr="00BA2BA5" w:rsidRDefault="00D55490" w:rsidP="004C4232">
            <w:pPr>
              <w:pStyle w:val="NoSpacing"/>
              <w:jc w:val="center"/>
              <w:rPr>
                <w:rFonts w:ascii="Bookman Old Style" w:hAnsi="Bookman Old Style"/>
              </w:rPr>
            </w:pPr>
            <w:r w:rsidRPr="00BA2BA5">
              <w:rPr>
                <w:rFonts w:ascii="Bookman Old Style" w:hAnsi="Bookman Old Style"/>
              </w:rPr>
              <w:t>Station 81</w:t>
            </w:r>
          </w:p>
        </w:tc>
        <w:tc>
          <w:tcPr>
            <w:tcW w:w="2484" w:type="dxa"/>
          </w:tcPr>
          <w:p w:rsidR="00D55490" w:rsidRPr="00BA2BA5" w:rsidRDefault="00D55490" w:rsidP="00D55490">
            <w:pPr>
              <w:pStyle w:val="NoSpacing"/>
              <w:jc w:val="center"/>
              <w:rPr>
                <w:rFonts w:ascii="Bookman Old Style" w:hAnsi="Bookman Old Style"/>
              </w:rPr>
            </w:pPr>
            <w:r w:rsidRPr="00BA2BA5">
              <w:rPr>
                <w:rFonts w:ascii="Bookman Old Style" w:hAnsi="Bookman Old Style"/>
              </w:rPr>
              <w:t>1 Command vehicle</w:t>
            </w:r>
          </w:p>
          <w:p w:rsidR="00D55490" w:rsidRPr="00BA2BA5" w:rsidRDefault="00D55490" w:rsidP="00D55490">
            <w:pPr>
              <w:pStyle w:val="NoSpacing"/>
              <w:jc w:val="center"/>
              <w:rPr>
                <w:rFonts w:ascii="Bookman Old Style" w:hAnsi="Bookman Old Style"/>
              </w:rPr>
            </w:pPr>
            <w:r w:rsidRPr="00BA2BA5">
              <w:rPr>
                <w:rFonts w:ascii="Bookman Old Style" w:hAnsi="Bookman Old Style"/>
              </w:rPr>
              <w:t>1 Type 1 Engine</w:t>
            </w:r>
          </w:p>
          <w:p w:rsidR="00D55490" w:rsidRPr="00BA2BA5" w:rsidRDefault="004C4232" w:rsidP="00D55490">
            <w:pPr>
              <w:pStyle w:val="NoSpacing"/>
              <w:jc w:val="center"/>
              <w:rPr>
                <w:rFonts w:ascii="Bookman Old Style" w:hAnsi="Bookman Old Style"/>
              </w:rPr>
            </w:pPr>
            <w:r w:rsidRPr="00BA2BA5">
              <w:rPr>
                <w:rFonts w:ascii="Bookman Old Style" w:hAnsi="Bookman Old Style"/>
              </w:rPr>
              <w:t xml:space="preserve">1 Type 2 ALS Ambulance </w:t>
            </w:r>
          </w:p>
          <w:p w:rsidR="00D55490" w:rsidRPr="00BA2BA5" w:rsidRDefault="004C4232" w:rsidP="00D55490">
            <w:pPr>
              <w:pStyle w:val="NoSpacing"/>
              <w:jc w:val="center"/>
              <w:rPr>
                <w:rFonts w:ascii="Bookman Old Style" w:hAnsi="Bookman Old Style"/>
              </w:rPr>
            </w:pPr>
            <w:r w:rsidRPr="00BA2BA5">
              <w:rPr>
                <w:rFonts w:ascii="Bookman Old Style" w:hAnsi="Bookman Old Style"/>
              </w:rPr>
              <w:t>1 Type 6 Engine</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1 Type 4 Rescue Boat</w:t>
            </w:r>
          </w:p>
        </w:tc>
        <w:tc>
          <w:tcPr>
            <w:tcW w:w="2790" w:type="dxa"/>
          </w:tcPr>
          <w:p w:rsidR="00D55490" w:rsidRPr="00BA2BA5" w:rsidRDefault="004C4232" w:rsidP="00D55490">
            <w:pPr>
              <w:pStyle w:val="NoSpacing"/>
              <w:jc w:val="center"/>
              <w:rPr>
                <w:rFonts w:ascii="Bookman Old Style" w:hAnsi="Bookman Old Style"/>
              </w:rPr>
            </w:pPr>
            <w:r w:rsidRPr="00BA2BA5">
              <w:rPr>
                <w:rFonts w:ascii="Bookman Old Style" w:hAnsi="Bookman Old Style"/>
              </w:rPr>
              <w:t>1 Battalion Chief</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1 Captain &amp; 1 Firefighter</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1 EMT &amp; 1 Paramedic</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Unstaffed</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Unstaffed</w:t>
            </w:r>
          </w:p>
        </w:tc>
        <w:tc>
          <w:tcPr>
            <w:tcW w:w="1908" w:type="dxa"/>
            <w:vAlign w:val="center"/>
          </w:tcPr>
          <w:p w:rsidR="00D55490" w:rsidRPr="00BA2BA5" w:rsidRDefault="002E6163" w:rsidP="002E6163">
            <w:pPr>
              <w:pStyle w:val="NoSpacing"/>
              <w:jc w:val="center"/>
              <w:rPr>
                <w:rFonts w:ascii="Bookman Old Style" w:hAnsi="Bookman Old Style"/>
              </w:rPr>
            </w:pPr>
            <w:r w:rsidRPr="00BA2BA5">
              <w:rPr>
                <w:rFonts w:ascii="Bookman Old Style" w:hAnsi="Bookman Old Style"/>
              </w:rPr>
              <w:t>Minimum Staffing</w:t>
            </w:r>
          </w:p>
          <w:p w:rsidR="002E6163" w:rsidRPr="00BA2BA5" w:rsidRDefault="002E6163" w:rsidP="002E6163">
            <w:pPr>
              <w:pStyle w:val="NoSpacing"/>
              <w:jc w:val="center"/>
              <w:rPr>
                <w:rFonts w:ascii="Bookman Old Style" w:hAnsi="Bookman Old Style"/>
              </w:rPr>
            </w:pPr>
            <w:r w:rsidRPr="00BA2BA5">
              <w:rPr>
                <w:rFonts w:ascii="Bookman Old Style" w:hAnsi="Bookman Old Style"/>
              </w:rPr>
              <w:t>5</w:t>
            </w:r>
          </w:p>
          <w:p w:rsidR="002E6163" w:rsidRPr="00BA2BA5" w:rsidRDefault="002E6163" w:rsidP="002E6163">
            <w:pPr>
              <w:pStyle w:val="NoSpacing"/>
              <w:jc w:val="center"/>
              <w:rPr>
                <w:rFonts w:ascii="Bookman Old Style" w:hAnsi="Bookman Old Style"/>
              </w:rPr>
            </w:pPr>
            <w:r w:rsidRPr="00BA2BA5">
              <w:rPr>
                <w:rFonts w:ascii="Bookman Old Style" w:hAnsi="Bookman Old Style"/>
              </w:rPr>
              <w:t>Maximum Staffing</w:t>
            </w:r>
          </w:p>
          <w:p w:rsidR="002E6163" w:rsidRPr="00BA2BA5" w:rsidRDefault="002E6163" w:rsidP="002E6163">
            <w:pPr>
              <w:pStyle w:val="NoSpacing"/>
              <w:jc w:val="center"/>
              <w:rPr>
                <w:rFonts w:ascii="Bookman Old Style" w:hAnsi="Bookman Old Style"/>
              </w:rPr>
            </w:pPr>
            <w:r w:rsidRPr="00BA2BA5">
              <w:rPr>
                <w:rFonts w:ascii="Bookman Old Style" w:hAnsi="Bookman Old Style"/>
              </w:rPr>
              <w:t>7</w:t>
            </w:r>
          </w:p>
        </w:tc>
      </w:tr>
      <w:tr w:rsidR="00D55490" w:rsidRPr="00BA2BA5" w:rsidTr="002E6163">
        <w:tc>
          <w:tcPr>
            <w:tcW w:w="2394" w:type="dxa"/>
            <w:vAlign w:val="center"/>
          </w:tcPr>
          <w:p w:rsidR="00D55490" w:rsidRPr="00BA2BA5" w:rsidRDefault="004C4232" w:rsidP="004C4232">
            <w:pPr>
              <w:pStyle w:val="NoSpacing"/>
              <w:jc w:val="center"/>
              <w:rPr>
                <w:rFonts w:ascii="Bookman Old Style" w:hAnsi="Bookman Old Style"/>
              </w:rPr>
            </w:pPr>
            <w:r w:rsidRPr="00BA2BA5">
              <w:rPr>
                <w:rFonts w:ascii="Bookman Old Style" w:hAnsi="Bookman Old Style"/>
              </w:rPr>
              <w:t>Station 82</w:t>
            </w:r>
          </w:p>
        </w:tc>
        <w:tc>
          <w:tcPr>
            <w:tcW w:w="2484" w:type="dxa"/>
          </w:tcPr>
          <w:p w:rsidR="00D55490" w:rsidRPr="00BA2BA5" w:rsidRDefault="004C4232" w:rsidP="00D55490">
            <w:pPr>
              <w:pStyle w:val="NoSpacing"/>
              <w:jc w:val="center"/>
              <w:rPr>
                <w:rFonts w:ascii="Bookman Old Style" w:hAnsi="Bookman Old Style"/>
              </w:rPr>
            </w:pPr>
            <w:r w:rsidRPr="00BA2BA5">
              <w:rPr>
                <w:rFonts w:ascii="Bookman Old Style" w:hAnsi="Bookman Old Style"/>
              </w:rPr>
              <w:t>1 Type 1 Ladder</w:t>
            </w:r>
          </w:p>
          <w:p w:rsidR="004C4232" w:rsidRPr="00BA2BA5" w:rsidRDefault="004C4232" w:rsidP="004C4232">
            <w:pPr>
              <w:pStyle w:val="NoSpacing"/>
              <w:jc w:val="center"/>
              <w:rPr>
                <w:rFonts w:ascii="Bookman Old Style" w:hAnsi="Bookman Old Style"/>
              </w:rPr>
            </w:pPr>
            <w:r w:rsidRPr="00BA2BA5">
              <w:rPr>
                <w:rFonts w:ascii="Bookman Old Style" w:hAnsi="Bookman Old Style"/>
              </w:rPr>
              <w:t>1 Type 2 ALS Ambulance</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2 Type 1 ARFF</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1 Type 2 Tender</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1 Type 4 Light Rescue</w:t>
            </w:r>
          </w:p>
        </w:tc>
        <w:tc>
          <w:tcPr>
            <w:tcW w:w="2790" w:type="dxa"/>
          </w:tcPr>
          <w:p w:rsidR="00D55490" w:rsidRPr="00BA2BA5" w:rsidRDefault="004C4232" w:rsidP="00D55490">
            <w:pPr>
              <w:pStyle w:val="NoSpacing"/>
              <w:jc w:val="center"/>
              <w:rPr>
                <w:rFonts w:ascii="Bookman Old Style" w:hAnsi="Bookman Old Style"/>
              </w:rPr>
            </w:pPr>
            <w:r w:rsidRPr="00BA2BA5">
              <w:rPr>
                <w:rFonts w:ascii="Bookman Old Style" w:hAnsi="Bookman Old Style"/>
              </w:rPr>
              <w:t>1 Captain &amp; 1 Firefighter</w:t>
            </w:r>
          </w:p>
          <w:p w:rsidR="004C4232" w:rsidRPr="00BA2BA5" w:rsidRDefault="004C4232" w:rsidP="004C4232">
            <w:pPr>
              <w:pStyle w:val="NoSpacing"/>
              <w:jc w:val="center"/>
              <w:rPr>
                <w:rFonts w:ascii="Bookman Old Style" w:hAnsi="Bookman Old Style"/>
              </w:rPr>
            </w:pPr>
            <w:r w:rsidRPr="00BA2BA5">
              <w:rPr>
                <w:rFonts w:ascii="Bookman Old Style" w:hAnsi="Bookman Old Style"/>
              </w:rPr>
              <w:t>1 EMT &amp; 1 Paramedic</w:t>
            </w:r>
          </w:p>
          <w:p w:rsidR="004C4232" w:rsidRPr="00BA2BA5" w:rsidRDefault="004C4232" w:rsidP="00D55490">
            <w:pPr>
              <w:pStyle w:val="NoSpacing"/>
              <w:jc w:val="center"/>
              <w:rPr>
                <w:rFonts w:ascii="Bookman Old Style" w:hAnsi="Bookman Old Style"/>
              </w:rPr>
            </w:pPr>
            <w:r w:rsidRPr="00BA2BA5">
              <w:rPr>
                <w:rFonts w:ascii="Bookman Old Style" w:hAnsi="Bookman Old Style"/>
              </w:rPr>
              <w:t>1 Lieutenant &amp; 1 Firefighter</w:t>
            </w:r>
          </w:p>
          <w:p w:rsidR="004C4232" w:rsidRPr="00BA2BA5" w:rsidRDefault="004C4232" w:rsidP="004C4232">
            <w:pPr>
              <w:pStyle w:val="NoSpacing"/>
              <w:jc w:val="center"/>
              <w:rPr>
                <w:rFonts w:ascii="Bookman Old Style" w:hAnsi="Bookman Old Style"/>
              </w:rPr>
            </w:pPr>
            <w:r w:rsidRPr="00BA2BA5">
              <w:rPr>
                <w:rFonts w:ascii="Bookman Old Style" w:hAnsi="Bookman Old Style"/>
              </w:rPr>
              <w:t>Unstaffed</w:t>
            </w:r>
          </w:p>
          <w:p w:rsidR="004C4232" w:rsidRPr="00BA2BA5" w:rsidRDefault="004C4232" w:rsidP="004C4232">
            <w:pPr>
              <w:pStyle w:val="NoSpacing"/>
              <w:jc w:val="center"/>
              <w:rPr>
                <w:rFonts w:ascii="Bookman Old Style" w:hAnsi="Bookman Old Style"/>
              </w:rPr>
            </w:pPr>
            <w:r w:rsidRPr="00BA2BA5">
              <w:rPr>
                <w:rFonts w:ascii="Bookman Old Style" w:hAnsi="Bookman Old Style"/>
              </w:rPr>
              <w:t>Unstaffed</w:t>
            </w:r>
          </w:p>
        </w:tc>
        <w:tc>
          <w:tcPr>
            <w:tcW w:w="1908" w:type="dxa"/>
            <w:vAlign w:val="center"/>
          </w:tcPr>
          <w:p w:rsidR="00D55490" w:rsidRPr="00BA2BA5" w:rsidRDefault="002E6163" w:rsidP="002E6163">
            <w:pPr>
              <w:pStyle w:val="NoSpacing"/>
              <w:jc w:val="center"/>
              <w:rPr>
                <w:rFonts w:ascii="Bookman Old Style" w:hAnsi="Bookman Old Style"/>
              </w:rPr>
            </w:pPr>
            <w:r w:rsidRPr="00BA2BA5">
              <w:rPr>
                <w:rFonts w:ascii="Bookman Old Style" w:hAnsi="Bookman Old Style"/>
              </w:rPr>
              <w:t>Minimum Staffing</w:t>
            </w:r>
          </w:p>
          <w:p w:rsidR="002E6163" w:rsidRPr="00BA2BA5" w:rsidRDefault="002E6163" w:rsidP="002E6163">
            <w:pPr>
              <w:pStyle w:val="NoSpacing"/>
              <w:jc w:val="center"/>
              <w:rPr>
                <w:rFonts w:ascii="Bookman Old Style" w:hAnsi="Bookman Old Style"/>
              </w:rPr>
            </w:pPr>
            <w:r w:rsidRPr="00BA2BA5">
              <w:rPr>
                <w:rFonts w:ascii="Bookman Old Style" w:hAnsi="Bookman Old Style"/>
              </w:rPr>
              <w:t>6</w:t>
            </w:r>
          </w:p>
          <w:p w:rsidR="002E6163" w:rsidRPr="00BA2BA5" w:rsidRDefault="002E6163" w:rsidP="002E6163">
            <w:pPr>
              <w:pStyle w:val="NoSpacing"/>
              <w:jc w:val="center"/>
              <w:rPr>
                <w:rFonts w:ascii="Bookman Old Style" w:hAnsi="Bookman Old Style"/>
              </w:rPr>
            </w:pPr>
            <w:r w:rsidRPr="00BA2BA5">
              <w:rPr>
                <w:rFonts w:ascii="Bookman Old Style" w:hAnsi="Bookman Old Style"/>
              </w:rPr>
              <w:t>Maximum Staffing</w:t>
            </w:r>
          </w:p>
          <w:p w:rsidR="002E6163" w:rsidRPr="00BA2BA5" w:rsidRDefault="002E6163" w:rsidP="002E6163">
            <w:pPr>
              <w:pStyle w:val="NoSpacing"/>
              <w:jc w:val="center"/>
              <w:rPr>
                <w:rFonts w:ascii="Bookman Old Style" w:hAnsi="Bookman Old Style"/>
              </w:rPr>
            </w:pPr>
            <w:r w:rsidRPr="00BA2BA5">
              <w:rPr>
                <w:rFonts w:ascii="Bookman Old Style" w:hAnsi="Bookman Old Style"/>
              </w:rPr>
              <w:t>7</w:t>
            </w:r>
          </w:p>
        </w:tc>
      </w:tr>
      <w:tr w:rsidR="00D55490" w:rsidRPr="00BA2BA5" w:rsidTr="002E6163">
        <w:tc>
          <w:tcPr>
            <w:tcW w:w="2394" w:type="dxa"/>
            <w:vAlign w:val="center"/>
          </w:tcPr>
          <w:p w:rsidR="00D55490" w:rsidRPr="00BA2BA5" w:rsidRDefault="004C4232" w:rsidP="004C4232">
            <w:pPr>
              <w:pStyle w:val="NoSpacing"/>
              <w:jc w:val="center"/>
              <w:rPr>
                <w:rFonts w:ascii="Bookman Old Style" w:hAnsi="Bookman Old Style"/>
              </w:rPr>
            </w:pPr>
            <w:r w:rsidRPr="00BA2BA5">
              <w:rPr>
                <w:rFonts w:ascii="Bookman Old Style" w:hAnsi="Bookman Old Style"/>
              </w:rPr>
              <w:t>Station 83</w:t>
            </w:r>
          </w:p>
        </w:tc>
        <w:tc>
          <w:tcPr>
            <w:tcW w:w="2484" w:type="dxa"/>
            <w:vAlign w:val="center"/>
          </w:tcPr>
          <w:p w:rsidR="00D55490" w:rsidRPr="00BA2BA5" w:rsidRDefault="004C4232" w:rsidP="002E6163">
            <w:pPr>
              <w:pStyle w:val="NoSpacing"/>
              <w:jc w:val="center"/>
              <w:rPr>
                <w:rFonts w:ascii="Bookman Old Style" w:hAnsi="Bookman Old Style"/>
              </w:rPr>
            </w:pPr>
            <w:r w:rsidRPr="00BA2BA5">
              <w:rPr>
                <w:rFonts w:ascii="Bookman Old Style" w:hAnsi="Bookman Old Style"/>
              </w:rPr>
              <w:t>1 Type 1 Engine</w:t>
            </w:r>
          </w:p>
          <w:p w:rsidR="004C4232" w:rsidRPr="00BA2BA5" w:rsidRDefault="004C4232" w:rsidP="002E6163">
            <w:pPr>
              <w:pStyle w:val="NoSpacing"/>
              <w:jc w:val="center"/>
              <w:rPr>
                <w:rFonts w:ascii="Bookman Old Style" w:hAnsi="Bookman Old Style"/>
              </w:rPr>
            </w:pPr>
            <w:r w:rsidRPr="00BA2BA5">
              <w:rPr>
                <w:rFonts w:ascii="Bookman Old Style" w:hAnsi="Bookman Old Style"/>
              </w:rPr>
              <w:t>1 Type 2 ALS Ambulance</w:t>
            </w:r>
          </w:p>
          <w:p w:rsidR="004C4232" w:rsidRPr="00BA2BA5" w:rsidRDefault="004C4232" w:rsidP="002E6163">
            <w:pPr>
              <w:pStyle w:val="NoSpacing"/>
              <w:jc w:val="center"/>
              <w:rPr>
                <w:rFonts w:ascii="Bookman Old Style" w:hAnsi="Bookman Old Style"/>
              </w:rPr>
            </w:pPr>
            <w:r w:rsidRPr="00BA2BA5">
              <w:rPr>
                <w:rFonts w:ascii="Bookman Old Style" w:hAnsi="Bookman Old Style"/>
              </w:rPr>
              <w:t>1 Type 6 Engine</w:t>
            </w:r>
          </w:p>
        </w:tc>
        <w:tc>
          <w:tcPr>
            <w:tcW w:w="2790" w:type="dxa"/>
            <w:vAlign w:val="center"/>
          </w:tcPr>
          <w:p w:rsidR="00D55490" w:rsidRPr="00BA2BA5" w:rsidRDefault="004C4232" w:rsidP="002E6163">
            <w:pPr>
              <w:pStyle w:val="NoSpacing"/>
              <w:jc w:val="center"/>
              <w:rPr>
                <w:rFonts w:ascii="Bookman Old Style" w:hAnsi="Bookman Old Style"/>
              </w:rPr>
            </w:pPr>
            <w:r w:rsidRPr="00BA2BA5">
              <w:rPr>
                <w:rFonts w:ascii="Bookman Old Style" w:hAnsi="Bookman Old Style"/>
              </w:rPr>
              <w:t>1 Captain &amp; 1 Firefighter</w:t>
            </w:r>
          </w:p>
          <w:p w:rsidR="004C4232" w:rsidRPr="00BA2BA5" w:rsidRDefault="004C4232" w:rsidP="002E6163">
            <w:pPr>
              <w:pStyle w:val="NoSpacing"/>
              <w:jc w:val="center"/>
              <w:rPr>
                <w:rFonts w:ascii="Bookman Old Style" w:hAnsi="Bookman Old Style"/>
              </w:rPr>
            </w:pPr>
            <w:r w:rsidRPr="00BA2BA5">
              <w:rPr>
                <w:rFonts w:ascii="Bookman Old Style" w:hAnsi="Bookman Old Style"/>
              </w:rPr>
              <w:t>1 EMT &amp; 1 Paramedic</w:t>
            </w:r>
          </w:p>
          <w:p w:rsidR="004C4232" w:rsidRPr="00BA2BA5" w:rsidRDefault="004C4232" w:rsidP="002E6163">
            <w:pPr>
              <w:pStyle w:val="NoSpacing"/>
              <w:jc w:val="center"/>
              <w:rPr>
                <w:rFonts w:ascii="Bookman Old Style" w:hAnsi="Bookman Old Style"/>
              </w:rPr>
            </w:pPr>
            <w:r w:rsidRPr="00BA2BA5">
              <w:rPr>
                <w:rFonts w:ascii="Bookman Old Style" w:hAnsi="Bookman Old Style"/>
              </w:rPr>
              <w:t>Unstaffed</w:t>
            </w:r>
          </w:p>
        </w:tc>
        <w:tc>
          <w:tcPr>
            <w:tcW w:w="1908" w:type="dxa"/>
          </w:tcPr>
          <w:p w:rsidR="00D55490" w:rsidRPr="00BA2BA5" w:rsidRDefault="002E6163" w:rsidP="00D55490">
            <w:pPr>
              <w:pStyle w:val="NoSpacing"/>
              <w:jc w:val="center"/>
              <w:rPr>
                <w:rFonts w:ascii="Bookman Old Style" w:hAnsi="Bookman Old Style"/>
              </w:rPr>
            </w:pPr>
            <w:r w:rsidRPr="00BA2BA5">
              <w:rPr>
                <w:rFonts w:ascii="Bookman Old Style" w:hAnsi="Bookman Old Style"/>
              </w:rPr>
              <w:t>Minimum Staffing</w:t>
            </w:r>
          </w:p>
          <w:p w:rsidR="002E6163" w:rsidRPr="00BA2BA5" w:rsidRDefault="002E6163" w:rsidP="00D55490">
            <w:pPr>
              <w:pStyle w:val="NoSpacing"/>
              <w:jc w:val="center"/>
              <w:rPr>
                <w:rFonts w:ascii="Bookman Old Style" w:hAnsi="Bookman Old Style"/>
              </w:rPr>
            </w:pPr>
            <w:r w:rsidRPr="00BA2BA5">
              <w:rPr>
                <w:rFonts w:ascii="Bookman Old Style" w:hAnsi="Bookman Old Style"/>
              </w:rPr>
              <w:t>4</w:t>
            </w:r>
          </w:p>
          <w:p w:rsidR="002E6163" w:rsidRPr="00BA2BA5" w:rsidRDefault="002E6163" w:rsidP="00D55490">
            <w:pPr>
              <w:pStyle w:val="NoSpacing"/>
              <w:jc w:val="center"/>
              <w:rPr>
                <w:rFonts w:ascii="Bookman Old Style" w:hAnsi="Bookman Old Style"/>
              </w:rPr>
            </w:pPr>
            <w:r w:rsidRPr="00BA2BA5">
              <w:rPr>
                <w:rFonts w:ascii="Bookman Old Style" w:hAnsi="Bookman Old Style"/>
              </w:rPr>
              <w:t>Maximum Staffing</w:t>
            </w:r>
          </w:p>
          <w:p w:rsidR="002E6163" w:rsidRPr="00BA2BA5" w:rsidRDefault="002E6163" w:rsidP="00D55490">
            <w:pPr>
              <w:pStyle w:val="NoSpacing"/>
              <w:jc w:val="center"/>
              <w:rPr>
                <w:rFonts w:ascii="Bookman Old Style" w:hAnsi="Bookman Old Style"/>
              </w:rPr>
            </w:pPr>
            <w:r w:rsidRPr="00BA2BA5">
              <w:rPr>
                <w:rFonts w:ascii="Bookman Old Style" w:hAnsi="Bookman Old Style"/>
              </w:rPr>
              <w:t>5</w:t>
            </w:r>
          </w:p>
        </w:tc>
      </w:tr>
      <w:tr w:rsidR="002E6163" w:rsidRPr="00BA2BA5" w:rsidTr="004C4232">
        <w:tc>
          <w:tcPr>
            <w:tcW w:w="2394" w:type="dxa"/>
            <w:vAlign w:val="center"/>
          </w:tcPr>
          <w:p w:rsidR="002E6163" w:rsidRPr="00BA2BA5" w:rsidRDefault="002E6163" w:rsidP="004C4232">
            <w:pPr>
              <w:pStyle w:val="NoSpacing"/>
              <w:jc w:val="center"/>
              <w:rPr>
                <w:rFonts w:ascii="Bookman Old Style" w:hAnsi="Bookman Old Style"/>
              </w:rPr>
            </w:pPr>
            <w:r w:rsidRPr="00BA2BA5">
              <w:rPr>
                <w:rFonts w:ascii="Bookman Old Style" w:hAnsi="Bookman Old Style"/>
              </w:rPr>
              <w:t>Station 84</w:t>
            </w:r>
          </w:p>
        </w:tc>
        <w:tc>
          <w:tcPr>
            <w:tcW w:w="2484" w:type="dxa"/>
          </w:tcPr>
          <w:p w:rsidR="002E6163" w:rsidRPr="00BA2BA5" w:rsidRDefault="002E6163" w:rsidP="00D55490">
            <w:pPr>
              <w:pStyle w:val="NoSpacing"/>
              <w:jc w:val="center"/>
              <w:rPr>
                <w:rFonts w:ascii="Bookman Old Style" w:hAnsi="Bookman Old Style"/>
              </w:rPr>
            </w:pPr>
          </w:p>
        </w:tc>
        <w:tc>
          <w:tcPr>
            <w:tcW w:w="2790" w:type="dxa"/>
          </w:tcPr>
          <w:p w:rsidR="002E6163" w:rsidRPr="00BA2BA5" w:rsidRDefault="002E6163" w:rsidP="00D55490">
            <w:pPr>
              <w:pStyle w:val="NoSpacing"/>
              <w:jc w:val="center"/>
              <w:rPr>
                <w:rFonts w:ascii="Bookman Old Style" w:hAnsi="Bookman Old Style"/>
              </w:rPr>
            </w:pPr>
            <w:r w:rsidRPr="00BA2BA5">
              <w:rPr>
                <w:rFonts w:ascii="Bookman Old Style" w:hAnsi="Bookman Old Style"/>
              </w:rPr>
              <w:t>Unstaffed</w:t>
            </w:r>
          </w:p>
        </w:tc>
        <w:tc>
          <w:tcPr>
            <w:tcW w:w="1908" w:type="dxa"/>
          </w:tcPr>
          <w:p w:rsidR="002E6163" w:rsidRPr="00BA2BA5" w:rsidRDefault="002E6163" w:rsidP="00D55490">
            <w:pPr>
              <w:pStyle w:val="NoSpacing"/>
              <w:jc w:val="center"/>
              <w:rPr>
                <w:rFonts w:ascii="Bookman Old Style" w:hAnsi="Bookman Old Style"/>
              </w:rPr>
            </w:pPr>
          </w:p>
        </w:tc>
      </w:tr>
    </w:tbl>
    <w:p w:rsidR="00D55490" w:rsidRPr="00BA2BA5" w:rsidRDefault="00D55490" w:rsidP="00D55490">
      <w:pPr>
        <w:pStyle w:val="NoSpacing"/>
        <w:jc w:val="center"/>
        <w:rPr>
          <w:rFonts w:ascii="Bookman Old Style" w:hAnsi="Bookman Old Style"/>
        </w:rPr>
      </w:pPr>
    </w:p>
    <w:p w:rsidR="0027512F" w:rsidRPr="00BA2BA5" w:rsidRDefault="0027512F" w:rsidP="00D55490">
      <w:pPr>
        <w:pStyle w:val="NoSpacing"/>
        <w:jc w:val="center"/>
        <w:rPr>
          <w:rFonts w:ascii="Bookman Old Style" w:hAnsi="Bookman Old Style"/>
        </w:rPr>
      </w:pPr>
    </w:p>
    <w:p w:rsidR="00235CCC" w:rsidRPr="00BA2BA5" w:rsidRDefault="002E6163" w:rsidP="00150CEE">
      <w:pPr>
        <w:pStyle w:val="NoSpacing"/>
        <w:spacing w:after="200"/>
        <w:contextualSpacing/>
        <w:jc w:val="both"/>
        <w:rPr>
          <w:rFonts w:ascii="Bookman Old Style" w:hAnsi="Bookman Old Style"/>
        </w:rPr>
      </w:pPr>
      <w:r w:rsidRPr="00BA2BA5">
        <w:rPr>
          <w:rFonts w:ascii="Bookman Old Style" w:hAnsi="Bookman Old Style"/>
        </w:rPr>
        <w:t>The fire department also maintains a type 1 engine and type 2 ALS ambulance</w:t>
      </w:r>
      <w:r w:rsidR="00B43612" w:rsidRPr="00BA2BA5">
        <w:rPr>
          <w:rFonts w:ascii="Bookman Old Style" w:hAnsi="Bookman Old Style"/>
        </w:rPr>
        <w:t>s</w:t>
      </w:r>
      <w:r w:rsidRPr="00BA2BA5">
        <w:rPr>
          <w:rFonts w:ascii="Bookman Old Style" w:hAnsi="Bookman Old Style"/>
        </w:rPr>
        <w:t xml:space="preserve"> in reserve at Station 83.  The administrative staff, which include</w:t>
      </w:r>
      <w:r w:rsidR="00B43612" w:rsidRPr="00BA2BA5">
        <w:rPr>
          <w:rFonts w:ascii="Bookman Old Style" w:hAnsi="Bookman Old Style"/>
        </w:rPr>
        <w:t>s the Chief, Assistant Chief</w:t>
      </w:r>
      <w:r w:rsidRPr="00BA2BA5">
        <w:rPr>
          <w:rFonts w:ascii="Bookman Old Style" w:hAnsi="Bookman Old Style"/>
        </w:rPr>
        <w:t xml:space="preserve">, </w:t>
      </w:r>
      <w:r w:rsidR="00C4299C" w:rsidRPr="00BA2BA5">
        <w:rPr>
          <w:rFonts w:ascii="Bookman Old Style" w:hAnsi="Bookman Old Style"/>
        </w:rPr>
        <w:t>and Training</w:t>
      </w:r>
      <w:r w:rsidRPr="00BA2BA5">
        <w:rPr>
          <w:rFonts w:ascii="Bookman Old Style" w:hAnsi="Bookman Old Style"/>
        </w:rPr>
        <w:t xml:space="preserve"> Officer, EMS Officer</w:t>
      </w:r>
      <w:r w:rsidR="00B43612" w:rsidRPr="00BA2BA5">
        <w:rPr>
          <w:rFonts w:ascii="Bookman Old Style" w:hAnsi="Bookman Old Style"/>
        </w:rPr>
        <w:t>, Community Risk Reduction Specialist</w:t>
      </w:r>
      <w:r w:rsidRPr="00BA2BA5">
        <w:rPr>
          <w:rFonts w:ascii="Bookman Old Style" w:hAnsi="Bookman Old Style"/>
        </w:rPr>
        <w:t xml:space="preserve"> and secretarial staff are located at 1011 E. Ainsworth at t</w:t>
      </w:r>
      <w:r w:rsidR="00854FEB" w:rsidRPr="00BA2BA5">
        <w:rPr>
          <w:rFonts w:ascii="Bookman Old Style" w:hAnsi="Bookman Old Style"/>
        </w:rPr>
        <w:t>he fire department headquarters</w:t>
      </w:r>
    </w:p>
    <w:p w:rsidR="0027512F" w:rsidRPr="00BA2BA5" w:rsidRDefault="0027512F" w:rsidP="00150CEE">
      <w:pPr>
        <w:pStyle w:val="NoSpacing"/>
        <w:jc w:val="both"/>
        <w:rPr>
          <w:rFonts w:ascii="Bookman Old Style" w:hAnsi="Bookman Old Style"/>
          <w:i/>
          <w:color w:val="808080" w:themeColor="background1" w:themeShade="80"/>
        </w:rPr>
      </w:pPr>
    </w:p>
    <w:p w:rsidR="00235CCC" w:rsidRPr="00BA2BA5" w:rsidRDefault="00235CCC" w:rsidP="00150CEE">
      <w:pPr>
        <w:pStyle w:val="NoSpacing"/>
        <w:jc w:val="both"/>
        <w:rPr>
          <w:rFonts w:ascii="Bookman Old Style" w:hAnsi="Bookman Old Style"/>
          <w:i/>
          <w:color w:val="808080" w:themeColor="background1" w:themeShade="80"/>
          <w:sz w:val="10"/>
        </w:rPr>
      </w:pPr>
    </w:p>
    <w:p w:rsidR="00910921" w:rsidRDefault="00910921" w:rsidP="00150CEE">
      <w:pPr>
        <w:pStyle w:val="NoSpacing"/>
        <w:spacing w:after="200"/>
        <w:contextualSpacing/>
        <w:jc w:val="both"/>
        <w:rPr>
          <w:rFonts w:ascii="Bookman Old Style" w:hAnsi="Bookman Old Style"/>
        </w:rPr>
      </w:pPr>
    </w:p>
    <w:p w:rsidR="00910921" w:rsidRDefault="00910921" w:rsidP="00150CEE">
      <w:pPr>
        <w:pStyle w:val="NoSpacing"/>
        <w:spacing w:after="200"/>
        <w:contextualSpacing/>
        <w:jc w:val="both"/>
        <w:rPr>
          <w:rFonts w:ascii="Bookman Old Style" w:hAnsi="Bookman Old Style"/>
        </w:rPr>
      </w:pPr>
    </w:p>
    <w:p w:rsidR="00910921" w:rsidRDefault="00910921" w:rsidP="00150CEE">
      <w:pPr>
        <w:pStyle w:val="NoSpacing"/>
        <w:spacing w:after="200"/>
        <w:contextualSpacing/>
        <w:jc w:val="both"/>
        <w:rPr>
          <w:rFonts w:ascii="Bookman Old Style" w:hAnsi="Bookman Old Style"/>
        </w:rPr>
      </w:pPr>
    </w:p>
    <w:p w:rsidR="00085701" w:rsidRDefault="00085701" w:rsidP="00910921">
      <w:pPr>
        <w:pStyle w:val="NoSpacing"/>
        <w:spacing w:afterLines="200" w:after="480"/>
        <w:contextualSpacing/>
        <w:jc w:val="both"/>
        <w:rPr>
          <w:rFonts w:ascii="Bookman Old Style" w:hAnsi="Bookman Old Style"/>
        </w:rPr>
      </w:pPr>
    </w:p>
    <w:p w:rsidR="008B669F" w:rsidRDefault="008B669F" w:rsidP="00910921">
      <w:pPr>
        <w:pStyle w:val="NoSpacing"/>
        <w:spacing w:afterLines="200" w:after="480"/>
        <w:contextualSpacing/>
        <w:jc w:val="both"/>
        <w:rPr>
          <w:rFonts w:ascii="Bookman Old Style" w:hAnsi="Bookman Old Style"/>
        </w:rPr>
      </w:pPr>
    </w:p>
    <w:p w:rsidR="008B669F" w:rsidRDefault="008B669F" w:rsidP="00910921">
      <w:pPr>
        <w:pStyle w:val="NoSpacing"/>
        <w:spacing w:afterLines="200" w:after="480"/>
        <w:contextualSpacing/>
        <w:jc w:val="both"/>
        <w:rPr>
          <w:rFonts w:ascii="Bookman Old Style" w:hAnsi="Bookman Old Style"/>
        </w:rPr>
      </w:pPr>
    </w:p>
    <w:p w:rsidR="002A4906" w:rsidRPr="00910921" w:rsidRDefault="00485A36" w:rsidP="00E14BB7">
      <w:pPr>
        <w:pStyle w:val="NoSpacing"/>
        <w:spacing w:after="200"/>
        <w:contextualSpacing/>
        <w:jc w:val="both"/>
        <w:rPr>
          <w:rFonts w:ascii="Bookman Old Style" w:hAnsi="Bookman Old Style"/>
        </w:rPr>
      </w:pPr>
      <w:r w:rsidRPr="00BA2BA5">
        <w:rPr>
          <w:rFonts w:ascii="Bookman Old Style" w:hAnsi="Bookman Old Style"/>
        </w:rPr>
        <w:t>The Pasco Fire Department owns 14 operational response vehicles and operates 16 vehicles out of 3 fire stations.  Two vehicles are owned by the Port of Pasco Tri-Cities airport.  The vehicles are within projected life cycles and are relatively well maintained.  The Pasco Fire Department equips their apparatus in accordance with NIMS apparatus typing criteria</w:t>
      </w:r>
      <w:r w:rsidR="00591225" w:rsidRPr="00BA2BA5">
        <w:rPr>
          <w:rFonts w:ascii="Bookman Old Style" w:hAnsi="Bookman Old Style"/>
        </w:rPr>
        <w:t xml:space="preserve"> and NFPA 1901 recommendations</w:t>
      </w:r>
      <w:r w:rsidRPr="00BA2BA5">
        <w:rPr>
          <w:rFonts w:ascii="Bookman Old Style" w:hAnsi="Bookman Old Style"/>
        </w:rPr>
        <w:t xml:space="preserve">.  </w:t>
      </w:r>
      <w:r w:rsidR="00A0655D" w:rsidRPr="00BA2BA5">
        <w:rPr>
          <w:rFonts w:ascii="Bookman Old Style" w:hAnsi="Bookman Old Style"/>
        </w:rPr>
        <w:t>Apparatus kept in a “hot” backup status are readily available for deployment, but not assigned as line apparatus, “cold” backup status indicates that the apparatus is not equipped for immediate response.</w:t>
      </w:r>
    </w:p>
    <w:p w:rsidR="00485A36" w:rsidRDefault="00485A36" w:rsidP="00BA5338">
      <w:pPr>
        <w:pStyle w:val="NoSpacing"/>
      </w:pPr>
    </w:p>
    <w:tbl>
      <w:tblPr>
        <w:tblStyle w:val="TableGrid"/>
        <w:tblW w:w="0" w:type="auto"/>
        <w:jc w:val="center"/>
        <w:tblLook w:val="04A0" w:firstRow="1" w:lastRow="0" w:firstColumn="1" w:lastColumn="0" w:noHBand="0" w:noVBand="1"/>
      </w:tblPr>
      <w:tblGrid>
        <w:gridCol w:w="1676"/>
        <w:gridCol w:w="1856"/>
        <w:gridCol w:w="1710"/>
        <w:gridCol w:w="1389"/>
        <w:gridCol w:w="1706"/>
      </w:tblGrid>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Vehicle Identifier</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Year of Manufacture</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Make</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NIMS Type</w:t>
            </w: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Comment</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E2811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2015</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Rosenbauer</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Engine 1</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E2813</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2003</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Central States</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Engine 1</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E2814</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2006</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HME</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Engine 1</w:t>
            </w: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“Hot” Backup</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E2819</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1999</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HME</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Engine 1</w:t>
            </w: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“Cold” Backup</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E2861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2002</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Engine 6</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E2863</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2012</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Engine 6</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L2811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2012</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Rosenbauer</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Ladder 1</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R2841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2006</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Rescue 4</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W2821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1997</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BMY M939</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Tender 2</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M2821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2009</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GMC/Horton</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Medic 2</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M2822</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2012</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GMC/Horton</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Medic 2</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M2823</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2011</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GMC/Horton</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Medic 2</w:t>
            </w: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M2829</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2002</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Ford/Horton</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Medic 2</w:t>
            </w: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“Hot” Backup</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B2841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2016</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Rogue Jetworks</w:t>
            </w:r>
          </w:p>
        </w:tc>
        <w:tc>
          <w:tcPr>
            <w:tcW w:w="1389"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Boat 4</w:t>
            </w: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Rescue Boat</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BC281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2015</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Chev. Tahoe</w:t>
            </w:r>
          </w:p>
        </w:tc>
        <w:tc>
          <w:tcPr>
            <w:tcW w:w="1389" w:type="dxa"/>
          </w:tcPr>
          <w:p w:rsidR="00346EF8" w:rsidRPr="00BA2BA5" w:rsidRDefault="00346EF8" w:rsidP="00485A36">
            <w:pPr>
              <w:pStyle w:val="NoSpacing"/>
              <w:jc w:val="center"/>
              <w:rPr>
                <w:rFonts w:ascii="Bookman Old Style" w:hAnsi="Bookman Old Style"/>
              </w:rPr>
            </w:pP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Shift Commander</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CH281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2010</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Chev. PU</w:t>
            </w:r>
          </w:p>
        </w:tc>
        <w:tc>
          <w:tcPr>
            <w:tcW w:w="1389" w:type="dxa"/>
          </w:tcPr>
          <w:p w:rsidR="00346EF8" w:rsidRPr="00BA2BA5" w:rsidRDefault="00346EF8" w:rsidP="00485A36">
            <w:pPr>
              <w:pStyle w:val="NoSpacing"/>
              <w:jc w:val="center"/>
              <w:rPr>
                <w:rFonts w:ascii="Bookman Old Style" w:hAnsi="Bookman Old Style"/>
              </w:rPr>
            </w:pP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Fire Chief</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CH282</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2016</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 PU</w:t>
            </w:r>
          </w:p>
        </w:tc>
        <w:tc>
          <w:tcPr>
            <w:tcW w:w="1389" w:type="dxa"/>
          </w:tcPr>
          <w:p w:rsidR="00346EF8" w:rsidRPr="00BA2BA5" w:rsidRDefault="00346EF8" w:rsidP="00485A36">
            <w:pPr>
              <w:pStyle w:val="NoSpacing"/>
              <w:jc w:val="center"/>
              <w:rPr>
                <w:rFonts w:ascii="Bookman Old Style" w:hAnsi="Bookman Old Style"/>
              </w:rPr>
            </w:pP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Asst. Chief</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TO281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2016</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 PU</w:t>
            </w:r>
          </w:p>
        </w:tc>
        <w:tc>
          <w:tcPr>
            <w:tcW w:w="1389" w:type="dxa"/>
          </w:tcPr>
          <w:p w:rsidR="00346EF8" w:rsidRPr="00BA2BA5" w:rsidRDefault="00346EF8" w:rsidP="00485A36">
            <w:pPr>
              <w:pStyle w:val="NoSpacing"/>
              <w:jc w:val="center"/>
              <w:rPr>
                <w:rFonts w:ascii="Bookman Old Style" w:hAnsi="Bookman Old Style"/>
              </w:rPr>
            </w:pP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Trng. Officer</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MO281</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2014</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Ford PU</w:t>
            </w:r>
          </w:p>
        </w:tc>
        <w:tc>
          <w:tcPr>
            <w:tcW w:w="1389" w:type="dxa"/>
          </w:tcPr>
          <w:p w:rsidR="00346EF8" w:rsidRPr="00BA2BA5" w:rsidRDefault="00346EF8" w:rsidP="00485A36">
            <w:pPr>
              <w:pStyle w:val="NoSpacing"/>
              <w:jc w:val="center"/>
              <w:rPr>
                <w:rFonts w:ascii="Bookman Old Style" w:hAnsi="Bookman Old Style"/>
              </w:rPr>
            </w:pPr>
          </w:p>
        </w:tc>
        <w:tc>
          <w:tcPr>
            <w:tcW w:w="1706" w:type="dxa"/>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EMS Officer</w:t>
            </w:r>
          </w:p>
        </w:tc>
      </w:tr>
      <w:tr w:rsidR="00346EF8" w:rsidRPr="00BA2BA5" w:rsidTr="00910921">
        <w:trPr>
          <w:jc w:val="center"/>
        </w:trPr>
        <w:tc>
          <w:tcPr>
            <w:tcW w:w="167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UT283</w:t>
            </w:r>
          </w:p>
        </w:tc>
        <w:tc>
          <w:tcPr>
            <w:tcW w:w="1856"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2000</w:t>
            </w:r>
          </w:p>
        </w:tc>
        <w:tc>
          <w:tcPr>
            <w:tcW w:w="1710" w:type="dxa"/>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Chev. PU</w:t>
            </w:r>
          </w:p>
        </w:tc>
        <w:tc>
          <w:tcPr>
            <w:tcW w:w="1389" w:type="dxa"/>
          </w:tcPr>
          <w:p w:rsidR="00346EF8" w:rsidRPr="00BA2BA5" w:rsidRDefault="00346EF8" w:rsidP="00485A36">
            <w:pPr>
              <w:pStyle w:val="NoSpacing"/>
              <w:jc w:val="center"/>
              <w:rPr>
                <w:rFonts w:ascii="Bookman Old Style" w:hAnsi="Bookman Old Style"/>
              </w:rPr>
            </w:pPr>
          </w:p>
        </w:tc>
        <w:tc>
          <w:tcPr>
            <w:tcW w:w="1706" w:type="dxa"/>
          </w:tcPr>
          <w:p w:rsidR="00346EF8" w:rsidRPr="00BA2BA5" w:rsidRDefault="00346EF8" w:rsidP="00485A36">
            <w:pPr>
              <w:pStyle w:val="NoSpacing"/>
              <w:jc w:val="center"/>
              <w:rPr>
                <w:rFonts w:ascii="Bookman Old Style" w:hAnsi="Bookman Old Style"/>
              </w:rPr>
            </w:pPr>
          </w:p>
        </w:tc>
      </w:tr>
      <w:tr w:rsidR="00346EF8" w:rsidRPr="00BA2BA5" w:rsidTr="00910921">
        <w:trPr>
          <w:jc w:val="center"/>
        </w:trPr>
        <w:tc>
          <w:tcPr>
            <w:tcW w:w="1676" w:type="dxa"/>
            <w:shd w:val="clear" w:color="auto" w:fill="BFBFBF" w:themeFill="background1" w:themeFillShade="BF"/>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AR281</w:t>
            </w:r>
          </w:p>
        </w:tc>
        <w:tc>
          <w:tcPr>
            <w:tcW w:w="1856" w:type="dxa"/>
            <w:shd w:val="clear" w:color="auto" w:fill="BFBFBF" w:themeFill="background1" w:themeFillShade="BF"/>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2010</w:t>
            </w:r>
          </w:p>
        </w:tc>
        <w:tc>
          <w:tcPr>
            <w:tcW w:w="1710" w:type="dxa"/>
            <w:shd w:val="clear" w:color="auto" w:fill="BFBFBF" w:themeFill="background1" w:themeFillShade="BF"/>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Oshkosh</w:t>
            </w:r>
          </w:p>
        </w:tc>
        <w:tc>
          <w:tcPr>
            <w:tcW w:w="1389" w:type="dxa"/>
            <w:shd w:val="clear" w:color="auto" w:fill="BFBFBF" w:themeFill="background1" w:themeFillShade="BF"/>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ARFF 1</w:t>
            </w:r>
          </w:p>
        </w:tc>
        <w:tc>
          <w:tcPr>
            <w:tcW w:w="1706" w:type="dxa"/>
            <w:shd w:val="clear" w:color="auto" w:fill="BFBFBF" w:themeFill="background1" w:themeFillShade="BF"/>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 xml:space="preserve">ARFF Stryker </w:t>
            </w:r>
          </w:p>
        </w:tc>
      </w:tr>
      <w:tr w:rsidR="00346EF8" w:rsidRPr="00BA2BA5" w:rsidTr="00910921">
        <w:trPr>
          <w:jc w:val="center"/>
        </w:trPr>
        <w:tc>
          <w:tcPr>
            <w:tcW w:w="1676" w:type="dxa"/>
            <w:shd w:val="clear" w:color="auto" w:fill="BFBFBF" w:themeFill="background1" w:themeFillShade="BF"/>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AR282</w:t>
            </w:r>
          </w:p>
        </w:tc>
        <w:tc>
          <w:tcPr>
            <w:tcW w:w="1856" w:type="dxa"/>
            <w:shd w:val="clear" w:color="auto" w:fill="BFBFBF" w:themeFill="background1" w:themeFillShade="BF"/>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1986</w:t>
            </w:r>
          </w:p>
        </w:tc>
        <w:tc>
          <w:tcPr>
            <w:tcW w:w="1710" w:type="dxa"/>
            <w:shd w:val="clear" w:color="auto" w:fill="BFBFBF" w:themeFill="background1" w:themeFillShade="BF"/>
          </w:tcPr>
          <w:p w:rsidR="00346EF8" w:rsidRPr="00BA2BA5" w:rsidRDefault="00346EF8" w:rsidP="00910921">
            <w:pPr>
              <w:pStyle w:val="NoSpacing"/>
              <w:jc w:val="center"/>
              <w:rPr>
                <w:rFonts w:ascii="Bookman Old Style" w:hAnsi="Bookman Old Style"/>
              </w:rPr>
            </w:pPr>
            <w:r w:rsidRPr="00BA2BA5">
              <w:rPr>
                <w:rFonts w:ascii="Bookman Old Style" w:hAnsi="Bookman Old Style"/>
              </w:rPr>
              <w:t>Oshkosh</w:t>
            </w:r>
          </w:p>
        </w:tc>
        <w:tc>
          <w:tcPr>
            <w:tcW w:w="1389" w:type="dxa"/>
            <w:shd w:val="clear" w:color="auto" w:fill="BFBFBF" w:themeFill="background1" w:themeFillShade="BF"/>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 xml:space="preserve"> ARFF 1</w:t>
            </w:r>
          </w:p>
        </w:tc>
        <w:tc>
          <w:tcPr>
            <w:tcW w:w="1706" w:type="dxa"/>
            <w:shd w:val="clear" w:color="auto" w:fill="BFBFBF" w:themeFill="background1" w:themeFillShade="BF"/>
          </w:tcPr>
          <w:p w:rsidR="00346EF8" w:rsidRPr="00BA2BA5" w:rsidRDefault="00346EF8" w:rsidP="00485A36">
            <w:pPr>
              <w:pStyle w:val="NoSpacing"/>
              <w:jc w:val="center"/>
              <w:rPr>
                <w:rFonts w:ascii="Bookman Old Style" w:hAnsi="Bookman Old Style"/>
              </w:rPr>
            </w:pPr>
            <w:r w:rsidRPr="00BA2BA5">
              <w:rPr>
                <w:rFonts w:ascii="Bookman Old Style" w:hAnsi="Bookman Old Style"/>
              </w:rPr>
              <w:t>ARFF T1500 Backup</w:t>
            </w:r>
          </w:p>
        </w:tc>
      </w:tr>
    </w:tbl>
    <w:p w:rsidR="005F1A43" w:rsidRDefault="005F1A43" w:rsidP="00BA5338">
      <w:pPr>
        <w:pStyle w:val="NoSpacing"/>
      </w:pPr>
    </w:p>
    <w:p w:rsidR="00A0655D" w:rsidRPr="00BA2BA5" w:rsidRDefault="00A0655D" w:rsidP="00910921">
      <w:pPr>
        <w:pStyle w:val="NoSpacing"/>
        <w:spacing w:after="200"/>
        <w:contextualSpacing/>
        <w:jc w:val="both"/>
        <w:rPr>
          <w:rFonts w:ascii="Bookman Old Style" w:hAnsi="Bookman Old Style"/>
        </w:rPr>
      </w:pPr>
      <w:r w:rsidRPr="00BA2BA5">
        <w:rPr>
          <w:rFonts w:ascii="Bookman Old Style" w:hAnsi="Bookman Old Style"/>
        </w:rPr>
        <w:t xml:space="preserve">Pasco Fire Department policy replaces engine and ladder apparatus on a fifteen year cycle.  Ambulances are replaced on an eight year cycle.  The “line” ARFF vehicles are </w:t>
      </w:r>
      <w:r w:rsidR="00346EF8" w:rsidRPr="00BA2BA5">
        <w:rPr>
          <w:rFonts w:ascii="Bookman Old Style" w:hAnsi="Bookman Old Style"/>
        </w:rPr>
        <w:t xml:space="preserve">owned by the Port of Pasco and operated by PFD.  They are </w:t>
      </w:r>
      <w:r w:rsidRPr="00BA2BA5">
        <w:rPr>
          <w:rFonts w:ascii="Bookman Old Style" w:hAnsi="Bookman Old Style"/>
        </w:rPr>
        <w:t xml:space="preserve">replaced in accordance with FAA replacement cycles of 20 years for an Index B airport. </w:t>
      </w:r>
    </w:p>
    <w:p w:rsidR="00854FEB" w:rsidRPr="00BA2BA5" w:rsidRDefault="00854FEB" w:rsidP="00BA5338">
      <w:pPr>
        <w:pStyle w:val="NoSpacing"/>
        <w:rPr>
          <w:rFonts w:ascii="Bookman Old Style" w:hAnsi="Bookman Old Style"/>
        </w:rPr>
      </w:pPr>
    </w:p>
    <w:p w:rsidR="00346EF8" w:rsidRDefault="00346EF8" w:rsidP="00BA5338">
      <w:pPr>
        <w:pStyle w:val="NoSpacing"/>
      </w:pPr>
    </w:p>
    <w:p w:rsidR="00346EF8" w:rsidRDefault="00346EF8" w:rsidP="00BA5338">
      <w:pPr>
        <w:pStyle w:val="NoSpacing"/>
      </w:pPr>
    </w:p>
    <w:p w:rsidR="00460C40" w:rsidRDefault="00460C40" w:rsidP="000F29DF">
      <w:pPr>
        <w:rPr>
          <w:rFonts w:ascii="Bookman Old Style" w:hAnsi="Bookman Old Style"/>
        </w:rPr>
      </w:pPr>
      <w:bookmarkStart w:id="22" w:name="_Toc474159548"/>
    </w:p>
    <w:p w:rsidR="00854FEB" w:rsidRPr="003746A2" w:rsidRDefault="00854FEB" w:rsidP="00460C40">
      <w:pPr>
        <w:pStyle w:val="Heading6"/>
        <w:spacing w:before="0" w:after="200"/>
        <w:rPr>
          <w:b/>
          <w:color w:val="auto"/>
          <w:sz w:val="24"/>
          <w:szCs w:val="24"/>
        </w:rPr>
      </w:pPr>
      <w:bookmarkStart w:id="23" w:name="_Toc475003857"/>
      <w:r w:rsidRPr="003746A2">
        <w:rPr>
          <w:b/>
          <w:color w:val="auto"/>
          <w:sz w:val="24"/>
          <w:szCs w:val="24"/>
        </w:rPr>
        <w:lastRenderedPageBreak/>
        <w:t>Facilities</w:t>
      </w:r>
      <w:bookmarkEnd w:id="22"/>
      <w:bookmarkEnd w:id="23"/>
    </w:p>
    <w:p w:rsidR="008D1CDD" w:rsidRPr="00BA2BA5" w:rsidRDefault="008D1CDD" w:rsidP="00910921">
      <w:pPr>
        <w:pStyle w:val="NoSpacing"/>
        <w:spacing w:after="200"/>
        <w:contextualSpacing/>
        <w:jc w:val="both"/>
        <w:rPr>
          <w:rFonts w:ascii="Bookman Old Style" w:hAnsi="Bookman Old Style"/>
        </w:rPr>
      </w:pPr>
      <w:r w:rsidRPr="00BA2BA5">
        <w:rPr>
          <w:rFonts w:ascii="Bookman Old Style" w:hAnsi="Bookman Old Style"/>
        </w:rPr>
        <w:t xml:space="preserve">According to the ESCI Emergency Services Master Plan dated </w:t>
      </w:r>
      <w:r w:rsidR="00C4299C" w:rsidRPr="00BA2BA5">
        <w:rPr>
          <w:rFonts w:ascii="Bookman Old Style" w:hAnsi="Bookman Old Style"/>
        </w:rPr>
        <w:t>fall</w:t>
      </w:r>
      <w:r w:rsidRPr="00BA2BA5">
        <w:rPr>
          <w:rFonts w:ascii="Bookman Old Style" w:hAnsi="Bookman Old Style"/>
        </w:rPr>
        <w:t xml:space="preserve"> 2016, the PFD facilities are collectively marginal at best from a design and functional standpoint.  There is only one training room amongst all of the stati</w:t>
      </w:r>
      <w:r w:rsidR="00CE4581" w:rsidRPr="00BA2BA5">
        <w:rPr>
          <w:rFonts w:ascii="Bookman Old Style" w:hAnsi="Bookman Old Style"/>
        </w:rPr>
        <w:t>o</w:t>
      </w:r>
      <w:r w:rsidRPr="00BA2BA5">
        <w:rPr>
          <w:rFonts w:ascii="Bookman Old Style" w:hAnsi="Bookman Old Style"/>
        </w:rPr>
        <w:t xml:space="preserve">ns, which may facilitate centralized training for the department, but does not accommodate individual crew training sessions, which is a more common need.  </w:t>
      </w:r>
    </w:p>
    <w:p w:rsidR="00441B40" w:rsidRPr="00BA2BA5" w:rsidRDefault="00441B40" w:rsidP="00910921">
      <w:pPr>
        <w:pStyle w:val="NoSpacing"/>
        <w:spacing w:after="200"/>
        <w:contextualSpacing/>
        <w:jc w:val="both"/>
        <w:rPr>
          <w:rFonts w:ascii="Bookman Old Style" w:hAnsi="Bookman Old Style"/>
        </w:rPr>
      </w:pPr>
    </w:p>
    <w:p w:rsidR="00441B40" w:rsidRPr="00BA2BA5" w:rsidRDefault="00441B40" w:rsidP="00910921">
      <w:pPr>
        <w:pStyle w:val="NoSpacing"/>
        <w:spacing w:after="200"/>
        <w:contextualSpacing/>
        <w:jc w:val="both"/>
        <w:rPr>
          <w:rFonts w:ascii="Bookman Old Style" w:hAnsi="Bookman Old Style"/>
        </w:rPr>
      </w:pPr>
      <w:r w:rsidRPr="00BA2BA5">
        <w:rPr>
          <w:rFonts w:ascii="Bookman Old Style" w:hAnsi="Bookman Old Style"/>
        </w:rPr>
        <w:t>Station 81 is wood framed and was built in 1999.  It is the only fire station on the east side of Pasco.</w:t>
      </w:r>
    </w:p>
    <w:p w:rsidR="00441B40" w:rsidRPr="00BA2BA5" w:rsidRDefault="00441B40" w:rsidP="00910921">
      <w:pPr>
        <w:pStyle w:val="NoSpacing"/>
        <w:spacing w:after="200"/>
        <w:contextualSpacing/>
        <w:jc w:val="both"/>
        <w:rPr>
          <w:rFonts w:ascii="Bookman Old Style" w:hAnsi="Bookman Old Style"/>
        </w:rPr>
      </w:pPr>
    </w:p>
    <w:p w:rsidR="00441B40" w:rsidRPr="00BA2BA5" w:rsidRDefault="00441B40" w:rsidP="00910921">
      <w:pPr>
        <w:pStyle w:val="NoSpacing"/>
        <w:spacing w:after="200"/>
        <w:contextualSpacing/>
        <w:jc w:val="both"/>
        <w:rPr>
          <w:rFonts w:ascii="Bookman Old Style" w:hAnsi="Bookman Old Style"/>
        </w:rPr>
      </w:pPr>
      <w:r w:rsidRPr="00BA2BA5">
        <w:rPr>
          <w:rFonts w:ascii="Bookman Old Style" w:hAnsi="Bookman Old Style"/>
        </w:rPr>
        <w:t>Station 82 is cinder block constructed and was built in 2006.  The station is collaboratively owned by the Port of Pasco and the City of Pasco.  The station serves the airport well but does not necessarily serve the surrounding po</w:t>
      </w:r>
      <w:r w:rsidR="00346EF8" w:rsidRPr="00BA2BA5">
        <w:rPr>
          <w:rFonts w:ascii="Bookman Old Style" w:hAnsi="Bookman Old Style"/>
        </w:rPr>
        <w:t>r</w:t>
      </w:r>
      <w:r w:rsidRPr="00BA2BA5">
        <w:rPr>
          <w:rFonts w:ascii="Bookman Old Style" w:hAnsi="Bookman Old Style"/>
        </w:rPr>
        <w:t>tion of the city as the airport itself acts as a barrier to the more populated areas that are physically closest to the station.</w:t>
      </w:r>
    </w:p>
    <w:p w:rsidR="00441B40" w:rsidRPr="00BA2BA5" w:rsidRDefault="00441B40" w:rsidP="00910921">
      <w:pPr>
        <w:pStyle w:val="NoSpacing"/>
        <w:spacing w:after="200"/>
        <w:contextualSpacing/>
        <w:jc w:val="both"/>
        <w:rPr>
          <w:rFonts w:ascii="Bookman Old Style" w:hAnsi="Bookman Old Style"/>
        </w:rPr>
      </w:pPr>
    </w:p>
    <w:p w:rsidR="00441B40" w:rsidRPr="00BA2BA5" w:rsidRDefault="00441B40" w:rsidP="00910921">
      <w:pPr>
        <w:pStyle w:val="NoSpacing"/>
        <w:spacing w:after="200"/>
        <w:contextualSpacing/>
        <w:jc w:val="both"/>
        <w:rPr>
          <w:rFonts w:ascii="Bookman Old Style" w:hAnsi="Bookman Old Style"/>
        </w:rPr>
      </w:pPr>
      <w:r w:rsidRPr="00BA2BA5">
        <w:rPr>
          <w:rFonts w:ascii="Bookman Old Style" w:hAnsi="Bookman Old Style"/>
        </w:rPr>
        <w:t xml:space="preserve">Station 83 is wood framed and was built in 1998.  The station is relatively </w:t>
      </w:r>
      <w:r w:rsidR="00591225" w:rsidRPr="00BA2BA5">
        <w:rPr>
          <w:rFonts w:ascii="Bookman Old Style" w:hAnsi="Bookman Old Style"/>
        </w:rPr>
        <w:t>small but</w:t>
      </w:r>
      <w:r w:rsidRPr="00BA2BA5">
        <w:rPr>
          <w:rFonts w:ascii="Bookman Old Style" w:hAnsi="Bookman Old Style"/>
        </w:rPr>
        <w:t xml:space="preserve"> has an annex building located behind the station that houses seasonal apparatus and equipment.</w:t>
      </w:r>
    </w:p>
    <w:p w:rsidR="00441B40" w:rsidRPr="00BA2BA5" w:rsidRDefault="00441B40" w:rsidP="00910921">
      <w:pPr>
        <w:pStyle w:val="NoSpacing"/>
        <w:spacing w:after="200"/>
        <w:contextualSpacing/>
        <w:jc w:val="both"/>
        <w:rPr>
          <w:rFonts w:ascii="Bookman Old Style" w:hAnsi="Bookman Old Style"/>
        </w:rPr>
      </w:pPr>
    </w:p>
    <w:p w:rsidR="00441B40" w:rsidRPr="00BA2BA5" w:rsidRDefault="00441B40" w:rsidP="00910921">
      <w:pPr>
        <w:pStyle w:val="NoSpacing"/>
        <w:spacing w:after="200"/>
        <w:contextualSpacing/>
        <w:jc w:val="both"/>
        <w:rPr>
          <w:rFonts w:ascii="Bookman Old Style" w:hAnsi="Bookman Old Style"/>
        </w:rPr>
      </w:pPr>
      <w:r w:rsidRPr="00BA2BA5">
        <w:rPr>
          <w:rFonts w:ascii="Bookman Old Style" w:hAnsi="Bookman Old Style"/>
        </w:rPr>
        <w:t>Station 84 is cinder block constructed and was built in 1958.  The station was acquired as an asset transfer from FCFD#3 when properties of the fire district were annexed</w:t>
      </w:r>
      <w:r w:rsidR="0001776D" w:rsidRPr="00BA2BA5">
        <w:rPr>
          <w:rFonts w:ascii="Bookman Old Style" w:hAnsi="Bookman Old Style"/>
        </w:rPr>
        <w:t xml:space="preserve"> into the City</w:t>
      </w:r>
      <w:r w:rsidRPr="00BA2BA5">
        <w:rPr>
          <w:rFonts w:ascii="Bookman Old Style" w:hAnsi="Bookman Old Style"/>
        </w:rPr>
        <w:t xml:space="preserve">.  The crew quarters were not designed to </w:t>
      </w:r>
      <w:r w:rsidR="0001776D" w:rsidRPr="00BA2BA5">
        <w:rPr>
          <w:rFonts w:ascii="Bookman Old Style" w:hAnsi="Bookman Old Style"/>
        </w:rPr>
        <w:t>accommodate shift</w:t>
      </w:r>
      <w:r w:rsidRPr="00BA2BA5">
        <w:rPr>
          <w:rFonts w:ascii="Bookman Old Style" w:hAnsi="Bookman Old Style"/>
        </w:rPr>
        <w:t xml:space="preserve"> work.</w:t>
      </w:r>
    </w:p>
    <w:p w:rsidR="0001776D" w:rsidRPr="00BA2BA5" w:rsidRDefault="0001776D" w:rsidP="00910921">
      <w:pPr>
        <w:pStyle w:val="NoSpacing"/>
        <w:spacing w:after="200"/>
        <w:contextualSpacing/>
        <w:jc w:val="both"/>
        <w:rPr>
          <w:rFonts w:ascii="Bookman Old Style" w:hAnsi="Bookman Old Style"/>
        </w:rPr>
      </w:pPr>
    </w:p>
    <w:p w:rsidR="0001776D" w:rsidRPr="00BA2BA5" w:rsidRDefault="0001776D" w:rsidP="00910921">
      <w:pPr>
        <w:pStyle w:val="NoSpacing"/>
        <w:spacing w:after="200"/>
        <w:contextualSpacing/>
        <w:jc w:val="both"/>
        <w:rPr>
          <w:rFonts w:ascii="Bookman Old Style" w:hAnsi="Bookman Old Style"/>
        </w:rPr>
      </w:pPr>
      <w:r w:rsidRPr="00BA2BA5">
        <w:rPr>
          <w:rFonts w:ascii="Bookman Old Style" w:hAnsi="Bookman Old Style"/>
        </w:rPr>
        <w:t>Headquarters is a cinder block building.  The building does not house response equipment.  It is rented from the Port of Pasco and sub-leased to Franklin County Emergency Management.  The building houses office space for FD Administration, FCEM Administration, a 40 person classroom and the Emergency Operations Center.</w:t>
      </w:r>
    </w:p>
    <w:p w:rsidR="00346EF8" w:rsidRPr="00BA2BA5" w:rsidRDefault="00346EF8" w:rsidP="00910921">
      <w:pPr>
        <w:pStyle w:val="NoSpacing"/>
        <w:spacing w:after="200"/>
        <w:contextualSpacing/>
        <w:jc w:val="both"/>
        <w:rPr>
          <w:rFonts w:ascii="Bookman Old Style" w:hAnsi="Bookman Old Style"/>
        </w:rPr>
      </w:pPr>
    </w:p>
    <w:p w:rsidR="00346EF8" w:rsidRPr="00BA2BA5" w:rsidRDefault="00346EF8" w:rsidP="00BA5338">
      <w:pPr>
        <w:pStyle w:val="NoSpacing"/>
        <w:rPr>
          <w:rFonts w:ascii="Bookman Old Style" w:hAnsi="Bookman Old Style"/>
        </w:rPr>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0F29DF" w:rsidRDefault="000F29DF" w:rsidP="000F29DF">
      <w:pPr>
        <w:pStyle w:val="NoSpacing"/>
        <w:jc w:val="center"/>
        <w:rPr>
          <w:rFonts w:ascii="Bookman Old Style" w:hAnsi="Bookman Old Style"/>
        </w:rPr>
      </w:pPr>
    </w:p>
    <w:p w:rsidR="00460C40" w:rsidRDefault="00460C40" w:rsidP="000F29DF">
      <w:pPr>
        <w:pStyle w:val="NoSpacing"/>
        <w:jc w:val="center"/>
        <w:rPr>
          <w:rFonts w:ascii="Bookman Old Style" w:hAnsi="Bookman Old Style"/>
        </w:rPr>
      </w:pPr>
    </w:p>
    <w:p w:rsidR="0001776D" w:rsidRPr="00BA2BA5" w:rsidRDefault="0001776D" w:rsidP="000F29DF">
      <w:pPr>
        <w:pStyle w:val="NoSpacing"/>
        <w:jc w:val="center"/>
        <w:rPr>
          <w:rFonts w:ascii="Bookman Old Style" w:hAnsi="Bookman Old Style"/>
        </w:rPr>
      </w:pPr>
      <w:r w:rsidRPr="00BA2BA5">
        <w:rPr>
          <w:rFonts w:ascii="Bookman Old Style" w:hAnsi="Bookman Old Style"/>
        </w:rPr>
        <w:lastRenderedPageBreak/>
        <w:t>The following charts detail specific station information:</w:t>
      </w:r>
    </w:p>
    <w:p w:rsidR="0001776D" w:rsidRPr="00BA2BA5" w:rsidRDefault="0001776D" w:rsidP="00286EFC">
      <w:pPr>
        <w:pStyle w:val="NoSpacing"/>
        <w:jc w:val="center"/>
        <w:rPr>
          <w:rFonts w:ascii="Bookman Old Style" w:hAnsi="Bookman Old Style"/>
        </w:rPr>
      </w:pPr>
    </w:p>
    <w:p w:rsidR="0001776D" w:rsidRPr="00BA2BA5" w:rsidRDefault="0001776D" w:rsidP="0001776D">
      <w:pPr>
        <w:pStyle w:val="NoSpacing"/>
        <w:jc w:val="center"/>
        <w:rPr>
          <w:rFonts w:ascii="Bookman Old Style" w:hAnsi="Bookman Old Style"/>
        </w:rPr>
      </w:pPr>
      <w:r w:rsidRPr="00BA2BA5">
        <w:rPr>
          <w:rFonts w:ascii="Bookman Old Style" w:hAnsi="Bookman Old Style"/>
        </w:rPr>
        <w:t>Station 81</w:t>
      </w:r>
    </w:p>
    <w:p w:rsidR="0001776D" w:rsidRPr="00BA2BA5" w:rsidRDefault="0001776D" w:rsidP="0001776D">
      <w:pPr>
        <w:pStyle w:val="NoSpacing"/>
        <w:jc w:val="center"/>
        <w:rPr>
          <w:rFonts w:ascii="Bookman Old Style" w:hAnsi="Bookman Old Style"/>
        </w:rPr>
      </w:pPr>
      <w:r w:rsidRPr="00BA2BA5">
        <w:rPr>
          <w:rFonts w:ascii="Bookman Old Style" w:hAnsi="Bookman Old Style"/>
        </w:rPr>
        <w:t>310 N. Oregon Ave.</w:t>
      </w:r>
    </w:p>
    <w:p w:rsidR="0001776D" w:rsidRPr="00BA2BA5" w:rsidRDefault="0001776D" w:rsidP="00BA5338">
      <w:pPr>
        <w:pStyle w:val="NoSpacing"/>
        <w:rPr>
          <w:rFonts w:ascii="Bookman Old Style" w:hAnsi="Bookman Old Style"/>
        </w:rPr>
      </w:pPr>
    </w:p>
    <w:tbl>
      <w:tblPr>
        <w:tblW w:w="3716" w:type="pct"/>
        <w:jc w:val="center"/>
        <w:tblBorders>
          <w:top w:val="single" w:sz="2" w:space="0" w:color="000000"/>
          <w:bottom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3233"/>
        <w:gridCol w:w="3894"/>
      </w:tblGrid>
      <w:tr w:rsidR="0001776D" w:rsidRPr="00BA2BA5" w:rsidTr="007A05B3">
        <w:trPr>
          <w:cantSplit/>
          <w:trHeight w:hRule="exact" w:val="2592"/>
          <w:jc w:val="center"/>
        </w:trPr>
        <w:tc>
          <w:tcPr>
            <w:tcW w:w="2268" w:type="pct"/>
            <w:tcBorders>
              <w:top w:val="single" w:sz="18" w:space="0" w:color="8DB3E2" w:themeColor="text2" w:themeTint="66"/>
              <w:left w:val="single" w:sz="18" w:space="0" w:color="8DB3E2" w:themeColor="text2" w:themeTint="66"/>
              <w:bottom w:val="single" w:sz="8" w:space="0" w:color="0B3D70"/>
              <w:right w:val="single" w:sz="8" w:space="0" w:color="0B3D70"/>
            </w:tcBorders>
            <w:shd w:val="clear" w:color="auto" w:fill="auto"/>
            <w:vAlign w:val="center"/>
          </w:tcPr>
          <w:p w:rsidR="0001776D" w:rsidRPr="00BA2BA5" w:rsidRDefault="0001776D" w:rsidP="00910921">
            <w:pPr>
              <w:spacing w:after="0" w:line="240" w:lineRule="auto"/>
              <w:jc w:val="center"/>
              <w:rPr>
                <w:rFonts w:ascii="Bookman Old Style" w:eastAsia="Calibri" w:hAnsi="Bookman Old Style" w:cs="Times New Roman"/>
              </w:rPr>
            </w:pPr>
            <w:r w:rsidRPr="00BA2BA5">
              <w:rPr>
                <w:rFonts w:ascii="Bookman Old Style" w:eastAsia="Calibri" w:hAnsi="Bookman Old Style" w:cs="Times New Roman"/>
                <w:noProof/>
              </w:rPr>
              <w:drawing>
                <wp:inline distT="0" distB="0" distL="0" distR="0" wp14:anchorId="7033A090" wp14:editId="07A3AE13">
                  <wp:extent cx="1993900" cy="1495425"/>
                  <wp:effectExtent l="0" t="0" r="6350" b="9525"/>
                  <wp:docPr id="1097" name="Picture 1097" descr="Fire Station No.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Station No.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inline>
              </w:drawing>
            </w:r>
          </w:p>
        </w:tc>
        <w:tc>
          <w:tcPr>
            <w:tcW w:w="2732" w:type="pct"/>
            <w:tcBorders>
              <w:top w:val="single" w:sz="18" w:space="0" w:color="8DB3E2" w:themeColor="text2" w:themeTint="66"/>
              <w:left w:val="single" w:sz="8" w:space="0" w:color="0B3D70"/>
              <w:bottom w:val="single" w:sz="8" w:space="0" w:color="0B3D70"/>
              <w:right w:val="single" w:sz="18" w:space="0" w:color="8DB3E2" w:themeColor="text2" w:themeTint="66"/>
            </w:tcBorders>
            <w:shd w:val="clear" w:color="auto" w:fill="auto"/>
            <w:vAlign w:val="center"/>
          </w:tcPr>
          <w:p w:rsidR="0001776D" w:rsidRPr="00BA2BA5" w:rsidRDefault="0001776D" w:rsidP="0001776D">
            <w:pPr>
              <w:spacing w:after="0" w:line="240" w:lineRule="auto"/>
              <w:rPr>
                <w:rFonts w:ascii="Bookman Old Style" w:eastAsia="Calibri" w:hAnsi="Bookman Old Style" w:cs="Times New Roman"/>
                <w:sz w:val="20"/>
                <w:szCs w:val="20"/>
              </w:rPr>
            </w:pPr>
            <w:r w:rsidRPr="00BA2BA5">
              <w:rPr>
                <w:rFonts w:ascii="Bookman Old Style" w:eastAsia="Calibri" w:hAnsi="Bookman Old Style" w:cs="Times New Roman"/>
                <w:noProof/>
                <w:sz w:val="20"/>
                <w:szCs w:val="20"/>
              </w:rPr>
              <mc:AlternateContent>
                <mc:Choice Requires="wps">
                  <w:drawing>
                    <wp:anchor distT="0" distB="0" distL="114300" distR="114300" simplePos="0" relativeHeight="251676672" behindDoc="0" locked="0" layoutInCell="1" allowOverlap="1" wp14:anchorId="2D59C8D3" wp14:editId="687A09C9">
                      <wp:simplePos x="0" y="0"/>
                      <wp:positionH relativeFrom="column">
                        <wp:posOffset>-15240</wp:posOffset>
                      </wp:positionH>
                      <wp:positionV relativeFrom="paragraph">
                        <wp:posOffset>11430</wp:posOffset>
                      </wp:positionV>
                      <wp:extent cx="2321560" cy="1600835"/>
                      <wp:effectExtent l="0" t="0" r="2540" b="0"/>
                      <wp:wrapNone/>
                      <wp:docPr id="1098" name="Text Box 1098"/>
                      <wp:cNvGraphicFramePr/>
                      <a:graphic xmlns:a="http://schemas.openxmlformats.org/drawingml/2006/main">
                        <a:graphicData uri="http://schemas.microsoft.com/office/word/2010/wordprocessingShape">
                          <wps:wsp>
                            <wps:cNvSpPr txBox="1"/>
                            <wps:spPr>
                              <a:xfrm>
                                <a:off x="0" y="0"/>
                                <a:ext cx="2321560" cy="1600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1951" w:rsidRPr="0001776D" w:rsidRDefault="003E1951" w:rsidP="0001776D">
                                  <w:pPr>
                                    <w:jc w:val="center"/>
                                    <w:rPr>
                                      <w:sz w:val="18"/>
                                    </w:rPr>
                                  </w:pPr>
                                  <w:r w:rsidRPr="0001776D">
                                    <w:rPr>
                                      <w:sz w:val="18"/>
                                    </w:rPr>
                                    <w:t>Station 81 houses a Type 1 Engine, Type 2 Ambulance, and Type 6 Engine.  The station is staffed with a minimum of 5 personnel (including the Battalion Chief).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8" o:spid="_x0000_s1029" type="#_x0000_t202" style="position:absolute;margin-left:-1.2pt;margin-top:.9pt;width:182.8pt;height:1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" fillcolor="white [3201]" stroked="f" strokeweight=".5pt">
                      <v:textbox>
                        <w:txbxContent>
                          <w:p w:rsidR="003E1951" w:rsidRPr="0001776D" w:rsidRDefault="003E1951" w:rsidP="0001776D">
                            <w:pPr>
                              <w:jc w:val="center"/>
                              <w:rPr>
                                <w:sz w:val="18"/>
                              </w:rPr>
                            </w:pPr>
                            <w:r w:rsidRPr="0001776D">
                              <w:rPr>
                                <w:sz w:val="18"/>
                              </w:rPr>
                              <w:t>Station 81 houses a Type 1 Engine, Type 2 Ambulance, and Type 6 Engine.  The station is staffed with a minimum of 5 personnel (including the Battalion Chief).</w:t>
                            </w:r>
                          </w:p>
                        </w:txbxContent>
                      </v:textbox>
                    </v:shape>
                  </w:pict>
                </mc:Fallback>
              </mc:AlternateContent>
            </w:r>
            <w:r w:rsidRPr="00BA2BA5">
              <w:rPr>
                <w:rFonts w:ascii="Bookman Old Style" w:eastAsia="Calibri" w:hAnsi="Bookman Old Style" w:cs="Times New Roman"/>
                <w:sz w:val="20"/>
                <w:szCs w:val="20"/>
              </w:rPr>
              <w:t>Station 81 serves as the administrative offices and headquarters station. It houses an engine and medic unit, each staffed with two (four-person minimum assigned to the station).  The administrative offices are cramped with no room for expansion; the circulation to the administrative offices follows a confusing path.  Ambulance billing is conducted in an open space, leading to confidentiality issues.</w:t>
            </w:r>
          </w:p>
        </w:tc>
      </w:tr>
      <w:tr w:rsidR="0001776D" w:rsidRPr="00BA2BA5" w:rsidTr="007A05B3">
        <w:trPr>
          <w:cantSplit/>
          <w:trHeight w:val="360"/>
          <w:jc w:val="center"/>
        </w:trPr>
        <w:tc>
          <w:tcPr>
            <w:tcW w:w="2268" w:type="pct"/>
            <w:tcBorders>
              <w:top w:val="single" w:sz="8" w:space="0" w:color="0B3D70"/>
              <w:left w:val="single" w:sz="18" w:space="0" w:color="8DB3E2" w:themeColor="text2" w:themeTint="66"/>
              <w:bottom w:val="single" w:sz="4" w:space="0" w:color="8DB3E2" w:themeColor="text2" w:themeTint="66"/>
              <w:right w:val="single" w:sz="2" w:space="0" w:color="FFFFFF"/>
            </w:tcBorders>
            <w:shd w:val="clear" w:color="auto" w:fill="365F91"/>
            <w:vAlign w:val="center"/>
            <w:hideMark/>
          </w:tcPr>
          <w:p w:rsidR="0001776D" w:rsidRPr="00BA2BA5" w:rsidRDefault="0001776D" w:rsidP="00910921">
            <w:pPr>
              <w:spacing w:after="0" w:line="240" w:lineRule="auto"/>
              <w:jc w:val="center"/>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SURVEY COMPONENT</w:t>
            </w:r>
          </w:p>
        </w:tc>
        <w:tc>
          <w:tcPr>
            <w:tcW w:w="2732" w:type="pct"/>
            <w:tcBorders>
              <w:top w:val="single" w:sz="8" w:space="0" w:color="0B3D70"/>
              <w:left w:val="single" w:sz="2" w:space="0" w:color="FFFFFF"/>
              <w:bottom w:val="single" w:sz="4" w:space="0" w:color="8DB3E2" w:themeColor="text2" w:themeTint="66"/>
              <w:right w:val="single" w:sz="18" w:space="0" w:color="8DB3E2" w:themeColor="text2" w:themeTint="66"/>
            </w:tcBorders>
            <w:shd w:val="clear" w:color="auto" w:fill="365F91"/>
            <w:vAlign w:val="center"/>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Observations</w:t>
            </w:r>
          </w:p>
        </w:tc>
      </w:tr>
      <w:tr w:rsidR="0001776D" w:rsidRPr="00BA2BA5" w:rsidTr="007A05B3">
        <w:trPr>
          <w:cantSplit/>
          <w:trHeight w:val="315"/>
          <w:jc w:val="center"/>
        </w:trPr>
        <w:tc>
          <w:tcPr>
            <w:tcW w:w="5000" w:type="pct"/>
            <w:gridSpan w:val="2"/>
            <w:tcBorders>
              <w:top w:val="single" w:sz="4" w:space="0" w:color="8DB3E2" w:themeColor="text2" w:themeTint="66"/>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910921">
            <w:pPr>
              <w:spacing w:after="0" w:line="240" w:lineRule="auto"/>
              <w:jc w:val="center"/>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structure -- Station 81</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Construction type</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Wood frame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Date</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11-30-1999</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Seismic protection/energy audits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Auxiliary power</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Diesel Generator</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Condition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Fair</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Special considerations (ADA, mixed gender appropriate, storage, etc.)</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Meets ADA standards and is mixed gender appropriate.  Storage is minimal</w:t>
            </w:r>
          </w:p>
        </w:tc>
      </w:tr>
      <w:tr w:rsidR="0001776D" w:rsidRPr="00BA2BA5" w:rsidTr="007A05B3">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Square footage</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6,200</w:t>
            </w:r>
          </w:p>
        </w:tc>
      </w:tr>
      <w:tr w:rsidR="0001776D" w:rsidRPr="00BA2BA5" w:rsidTr="007A05B3">
        <w:trPr>
          <w:cantSplit/>
          <w:trHeight w:val="313"/>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910921">
            <w:pPr>
              <w:spacing w:after="0" w:line="240" w:lineRule="auto"/>
              <w:jc w:val="center"/>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Exercise/workout</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Kitchen/dormitory</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Lockers/showers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Training/meetings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Washer/dryer</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317"/>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910921">
            <w:pPr>
              <w:spacing w:after="0" w:line="240" w:lineRule="auto"/>
              <w:jc w:val="center"/>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Sprinkler system</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Smoke detection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bottom w:val="single" w:sz="2" w:space="0" w:color="000000"/>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Security</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bottom w:val="single" w:sz="18" w:space="0" w:color="8DB3E2" w:themeColor="text2" w:themeTint="66"/>
            </w:tcBorders>
            <w:vAlign w:val="center"/>
          </w:tcPr>
          <w:p w:rsidR="0001776D" w:rsidRPr="00BA2BA5" w:rsidRDefault="0001776D" w:rsidP="00910921">
            <w:pPr>
              <w:tabs>
                <w:tab w:val="left" w:pos="-1890"/>
              </w:tabs>
              <w:spacing w:after="0" w:line="240" w:lineRule="auto"/>
              <w:jc w:val="center"/>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Apparatus exhaust system</w:t>
            </w:r>
          </w:p>
        </w:tc>
        <w:tc>
          <w:tcPr>
            <w:tcW w:w="2732" w:type="pct"/>
            <w:tcBorders>
              <w:bottom w:val="single" w:sz="18" w:space="0" w:color="8DB3E2" w:themeColor="text2" w:themeTint="66"/>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bl>
    <w:p w:rsidR="0001776D" w:rsidRDefault="0001776D" w:rsidP="0001776D">
      <w:pPr>
        <w:pStyle w:val="NoSpacing"/>
        <w:jc w:val="center"/>
      </w:pPr>
    </w:p>
    <w:p w:rsidR="008D1CDD" w:rsidRDefault="008D1CDD" w:rsidP="00BA5338">
      <w:pPr>
        <w:pStyle w:val="NoSpacing"/>
      </w:pPr>
    </w:p>
    <w:p w:rsidR="0001776D" w:rsidRDefault="0001776D" w:rsidP="00BA5338">
      <w:pPr>
        <w:pStyle w:val="NoSpacing"/>
      </w:pPr>
    </w:p>
    <w:p w:rsidR="0001776D" w:rsidRDefault="0001776D" w:rsidP="00BA5338">
      <w:pPr>
        <w:pStyle w:val="NoSpacing"/>
      </w:pPr>
    </w:p>
    <w:p w:rsidR="0001776D" w:rsidRDefault="0001776D" w:rsidP="00BA5338">
      <w:pPr>
        <w:pStyle w:val="NoSpacing"/>
      </w:pPr>
    </w:p>
    <w:p w:rsidR="0001776D" w:rsidRDefault="0001776D" w:rsidP="00BA5338">
      <w:pPr>
        <w:pStyle w:val="NoSpacing"/>
      </w:pPr>
    </w:p>
    <w:p w:rsidR="0001776D" w:rsidRPr="00BA2BA5" w:rsidRDefault="0001776D" w:rsidP="00BA5338">
      <w:pPr>
        <w:pStyle w:val="NoSpacing"/>
        <w:rPr>
          <w:rFonts w:ascii="Bookman Old Style" w:hAnsi="Bookman Old Style"/>
        </w:rPr>
      </w:pPr>
    </w:p>
    <w:p w:rsidR="00554E82" w:rsidRDefault="00554E82" w:rsidP="0001776D">
      <w:pPr>
        <w:pStyle w:val="NoSpacing"/>
        <w:jc w:val="center"/>
        <w:rPr>
          <w:rFonts w:ascii="Bookman Old Style" w:hAnsi="Bookman Old Style"/>
        </w:rPr>
      </w:pPr>
    </w:p>
    <w:p w:rsidR="0001776D" w:rsidRPr="00BA2BA5" w:rsidRDefault="0001776D" w:rsidP="0001776D">
      <w:pPr>
        <w:pStyle w:val="NoSpacing"/>
        <w:jc w:val="center"/>
        <w:rPr>
          <w:rFonts w:ascii="Bookman Old Style" w:hAnsi="Bookman Old Style"/>
        </w:rPr>
      </w:pPr>
      <w:r w:rsidRPr="00BA2BA5">
        <w:rPr>
          <w:rFonts w:ascii="Bookman Old Style" w:hAnsi="Bookman Old Style"/>
        </w:rPr>
        <w:lastRenderedPageBreak/>
        <w:t>Station 82</w:t>
      </w:r>
    </w:p>
    <w:p w:rsidR="0001776D" w:rsidRPr="00BA2BA5" w:rsidRDefault="0001776D" w:rsidP="0001776D">
      <w:pPr>
        <w:pStyle w:val="NoSpacing"/>
        <w:jc w:val="center"/>
        <w:rPr>
          <w:rFonts w:ascii="Bookman Old Style" w:hAnsi="Bookman Old Style"/>
        </w:rPr>
      </w:pPr>
      <w:r w:rsidRPr="00BA2BA5">
        <w:rPr>
          <w:rFonts w:ascii="Bookman Old Style" w:hAnsi="Bookman Old Style"/>
        </w:rPr>
        <w:t>3502 Varney Lane (Airport)</w:t>
      </w:r>
    </w:p>
    <w:p w:rsidR="0001776D" w:rsidRPr="00BA2BA5" w:rsidRDefault="0001776D" w:rsidP="0001776D">
      <w:pPr>
        <w:pStyle w:val="NoSpacing"/>
        <w:jc w:val="center"/>
        <w:rPr>
          <w:rFonts w:ascii="Bookman Old Style" w:hAnsi="Bookman Old Style"/>
        </w:rPr>
      </w:pPr>
    </w:p>
    <w:tbl>
      <w:tblPr>
        <w:tblW w:w="3716" w:type="pct"/>
        <w:jc w:val="center"/>
        <w:tblBorders>
          <w:top w:val="single" w:sz="2" w:space="0" w:color="000000"/>
          <w:bottom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3233"/>
        <w:gridCol w:w="3894"/>
      </w:tblGrid>
      <w:tr w:rsidR="0001776D" w:rsidRPr="00BA2BA5" w:rsidTr="00910921">
        <w:trPr>
          <w:cantSplit/>
          <w:trHeight w:hRule="exact" w:val="2592"/>
          <w:jc w:val="center"/>
        </w:trPr>
        <w:tc>
          <w:tcPr>
            <w:tcW w:w="2268" w:type="pct"/>
            <w:tcBorders>
              <w:top w:val="single" w:sz="18" w:space="0" w:color="8DB3E2" w:themeColor="text2" w:themeTint="66"/>
              <w:left w:val="single" w:sz="18" w:space="0" w:color="8DB3E2" w:themeColor="text2" w:themeTint="66"/>
              <w:bottom w:val="single" w:sz="8" w:space="0" w:color="0B3D70"/>
              <w:right w:val="single" w:sz="8" w:space="0" w:color="0B3D70"/>
            </w:tcBorders>
            <w:shd w:val="clear" w:color="auto" w:fill="auto"/>
            <w:vAlign w:val="center"/>
          </w:tcPr>
          <w:p w:rsidR="0001776D" w:rsidRPr="00BA2BA5" w:rsidRDefault="0001776D" w:rsidP="0001776D">
            <w:pPr>
              <w:spacing w:after="0" w:line="240" w:lineRule="auto"/>
              <w:jc w:val="center"/>
              <w:rPr>
                <w:rFonts w:ascii="Bookman Old Style" w:eastAsia="Calibri" w:hAnsi="Bookman Old Style" w:cs="Times New Roman"/>
              </w:rPr>
            </w:pPr>
            <w:r w:rsidRPr="00BA2BA5">
              <w:rPr>
                <w:rFonts w:ascii="Bookman Old Style" w:eastAsia="Calibri" w:hAnsi="Bookman Old Style" w:cs="Times New Roman"/>
                <w:noProof/>
              </w:rPr>
              <w:drawing>
                <wp:inline distT="0" distB="0" distL="0" distR="0" wp14:anchorId="2CD65AA2" wp14:editId="365FC0EF">
                  <wp:extent cx="1862978" cy="1266825"/>
                  <wp:effectExtent l="0" t="0" r="4445" b="0"/>
                  <wp:docPr id="1099" name="Picture 1099" descr="Fire Station No.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Station No.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8753" cy="1270752"/>
                          </a:xfrm>
                          <a:prstGeom prst="rect">
                            <a:avLst/>
                          </a:prstGeom>
                          <a:noFill/>
                          <a:ln>
                            <a:noFill/>
                          </a:ln>
                        </pic:spPr>
                      </pic:pic>
                    </a:graphicData>
                  </a:graphic>
                </wp:inline>
              </w:drawing>
            </w:r>
          </w:p>
        </w:tc>
        <w:tc>
          <w:tcPr>
            <w:tcW w:w="2732" w:type="pct"/>
            <w:tcBorders>
              <w:top w:val="single" w:sz="18" w:space="0" w:color="8DB3E2" w:themeColor="text2" w:themeTint="66"/>
              <w:left w:val="single" w:sz="8" w:space="0" w:color="0B3D70"/>
              <w:bottom w:val="single" w:sz="8" w:space="0" w:color="0B3D70"/>
              <w:right w:val="single" w:sz="18" w:space="0" w:color="8DB3E2" w:themeColor="text2" w:themeTint="66"/>
            </w:tcBorders>
            <w:shd w:val="clear" w:color="auto" w:fill="auto"/>
            <w:vAlign w:val="center"/>
          </w:tcPr>
          <w:p w:rsidR="0001776D" w:rsidRPr="00BA2BA5" w:rsidRDefault="0001776D" w:rsidP="0001776D">
            <w:pPr>
              <w:spacing w:after="0" w:line="240" w:lineRule="auto"/>
              <w:rPr>
                <w:rFonts w:ascii="Bookman Old Style" w:eastAsia="Calibri" w:hAnsi="Bookman Old Style" w:cs="Times New Roman"/>
                <w:sz w:val="20"/>
                <w:szCs w:val="20"/>
              </w:rPr>
            </w:pPr>
            <w:r w:rsidRPr="00BA2BA5">
              <w:rPr>
                <w:rFonts w:ascii="Bookman Old Style" w:eastAsia="Calibri" w:hAnsi="Bookman Old Style" w:cs="Times New Roman"/>
                <w:sz w:val="20"/>
                <w:szCs w:val="20"/>
              </w:rPr>
              <w:t>This is a six-bay station on airport property, minimum six personnel, maximum seven personnel staffing.  Two stay on site for ARFF responses to the airport.  Houses an ARFF unit, a Stryker unit, a ladder truck and a medic unit.  The station is also home to a reserve engine and miscellaneous trailers for operations support.</w:t>
            </w:r>
          </w:p>
        </w:tc>
      </w:tr>
      <w:tr w:rsidR="0001776D" w:rsidRPr="00BA2BA5" w:rsidTr="00910921">
        <w:trPr>
          <w:cantSplit/>
          <w:trHeight w:val="360"/>
          <w:jc w:val="center"/>
        </w:trPr>
        <w:tc>
          <w:tcPr>
            <w:tcW w:w="2268" w:type="pct"/>
            <w:tcBorders>
              <w:top w:val="single" w:sz="8" w:space="0" w:color="0B3D70"/>
              <w:left w:val="single" w:sz="18" w:space="0" w:color="8DB3E2" w:themeColor="text2" w:themeTint="66"/>
              <w:bottom w:val="single" w:sz="4" w:space="0" w:color="8DB3E2" w:themeColor="text2" w:themeTint="66"/>
              <w:right w:val="single" w:sz="2" w:space="0" w:color="FFFFFF"/>
            </w:tcBorders>
            <w:shd w:val="clear" w:color="auto" w:fill="365F91"/>
            <w:vAlign w:val="center"/>
            <w:hideMark/>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SURVEY COMPONENT</w:t>
            </w:r>
          </w:p>
        </w:tc>
        <w:tc>
          <w:tcPr>
            <w:tcW w:w="2732" w:type="pct"/>
            <w:tcBorders>
              <w:top w:val="single" w:sz="8" w:space="0" w:color="0B3D70"/>
              <w:left w:val="single" w:sz="2" w:space="0" w:color="FFFFFF"/>
              <w:bottom w:val="single" w:sz="4" w:space="0" w:color="8DB3E2" w:themeColor="text2" w:themeTint="66"/>
              <w:right w:val="single" w:sz="18" w:space="0" w:color="8DB3E2" w:themeColor="text2" w:themeTint="66"/>
            </w:tcBorders>
            <w:shd w:val="clear" w:color="auto" w:fill="365F91"/>
            <w:vAlign w:val="center"/>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Observations</w:t>
            </w:r>
          </w:p>
        </w:tc>
      </w:tr>
      <w:tr w:rsidR="0001776D" w:rsidRPr="00BA2BA5" w:rsidTr="00910921">
        <w:trPr>
          <w:cantSplit/>
          <w:trHeight w:val="315"/>
          <w:jc w:val="center"/>
        </w:trPr>
        <w:tc>
          <w:tcPr>
            <w:tcW w:w="5000" w:type="pct"/>
            <w:gridSpan w:val="2"/>
            <w:tcBorders>
              <w:top w:val="single" w:sz="4" w:space="0" w:color="8DB3E2" w:themeColor="text2" w:themeTint="66"/>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structure -- Station 82</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Construction type</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Cinder Block</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Date</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03-13-2006</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Seismic protection/energy audits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Auxiliary power</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Diesel Generator</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Condition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Good</w:t>
            </w:r>
          </w:p>
        </w:tc>
      </w:tr>
      <w:tr w:rsidR="0001776D" w:rsidRPr="00BA2BA5" w:rsidTr="00910921">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Special considerations (ADA, mixed gender appropriate, storage, etc.)</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Meets ADA standards and is mixed gender appropriate.  Storage is adequate.</w:t>
            </w:r>
          </w:p>
        </w:tc>
      </w:tr>
      <w:tr w:rsidR="0001776D" w:rsidRPr="00BA2BA5" w:rsidTr="00910921">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Square footage</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10,710</w:t>
            </w:r>
          </w:p>
        </w:tc>
      </w:tr>
      <w:tr w:rsidR="0001776D" w:rsidRPr="00BA2BA5" w:rsidTr="00910921">
        <w:trPr>
          <w:cantSplit/>
          <w:trHeight w:val="313"/>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Exercise/workout</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910921">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 xml:space="preserve">Kitchen/dormitory </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910921">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Lockers/showers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910921">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Training/meetings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 occupancy of 27</w:t>
            </w:r>
          </w:p>
        </w:tc>
      </w:tr>
      <w:tr w:rsidR="0001776D" w:rsidRPr="00BA2BA5" w:rsidTr="00910921">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Washer/dryer</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910921">
        <w:trPr>
          <w:cantSplit/>
          <w:trHeight w:val="317"/>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910921">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Sprinkler system</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910921">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Smoke detection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910921">
        <w:trPr>
          <w:cantSplit/>
          <w:trHeight w:val="288"/>
          <w:jc w:val="center"/>
        </w:trPr>
        <w:tc>
          <w:tcPr>
            <w:tcW w:w="2268" w:type="pct"/>
            <w:tcBorders>
              <w:left w:val="single" w:sz="18" w:space="0" w:color="8DB3E2" w:themeColor="text2" w:themeTint="66"/>
              <w:bottom w:val="single" w:sz="2" w:space="0" w:color="00000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Security</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 Required to be locked at all times due to FAA rules.</w:t>
            </w:r>
          </w:p>
        </w:tc>
      </w:tr>
      <w:tr w:rsidR="0001776D" w:rsidRPr="00BA2BA5" w:rsidTr="00910921">
        <w:trPr>
          <w:cantSplit/>
          <w:trHeight w:val="288"/>
          <w:jc w:val="center"/>
        </w:trPr>
        <w:tc>
          <w:tcPr>
            <w:tcW w:w="2268" w:type="pct"/>
            <w:tcBorders>
              <w:left w:val="single" w:sz="18" w:space="0" w:color="8DB3E2" w:themeColor="text2" w:themeTint="66"/>
              <w:bottom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Apparatus exhaust system</w:t>
            </w:r>
          </w:p>
        </w:tc>
        <w:tc>
          <w:tcPr>
            <w:tcW w:w="2732" w:type="pct"/>
            <w:tcBorders>
              <w:bottom w:val="single" w:sz="18" w:space="0" w:color="8DB3E2" w:themeColor="text2" w:themeTint="66"/>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 – budgeted for 2017</w:t>
            </w:r>
          </w:p>
        </w:tc>
      </w:tr>
    </w:tbl>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3D1199" w:rsidRDefault="003D1199" w:rsidP="0001776D">
      <w:pPr>
        <w:pStyle w:val="NoSpacing"/>
        <w:jc w:val="center"/>
      </w:pPr>
    </w:p>
    <w:p w:rsidR="0001776D" w:rsidRPr="00BA2BA5" w:rsidRDefault="0001776D" w:rsidP="0001776D">
      <w:pPr>
        <w:pStyle w:val="NoSpacing"/>
        <w:jc w:val="center"/>
        <w:rPr>
          <w:rFonts w:ascii="Bookman Old Style" w:hAnsi="Bookman Old Style"/>
        </w:rPr>
      </w:pPr>
      <w:r w:rsidRPr="00BA2BA5">
        <w:rPr>
          <w:rFonts w:ascii="Bookman Old Style" w:hAnsi="Bookman Old Style"/>
        </w:rPr>
        <w:lastRenderedPageBreak/>
        <w:t>Station 83</w:t>
      </w:r>
    </w:p>
    <w:p w:rsidR="0001776D" w:rsidRPr="00BA2BA5" w:rsidRDefault="0001776D" w:rsidP="0001776D">
      <w:pPr>
        <w:pStyle w:val="NoSpacing"/>
        <w:jc w:val="center"/>
        <w:rPr>
          <w:rFonts w:ascii="Bookman Old Style" w:hAnsi="Bookman Old Style"/>
        </w:rPr>
      </w:pPr>
      <w:r w:rsidRPr="00BA2BA5">
        <w:rPr>
          <w:rFonts w:ascii="Bookman Old Style" w:hAnsi="Bookman Old Style"/>
        </w:rPr>
        <w:t>3203 Road 68</w:t>
      </w:r>
    </w:p>
    <w:p w:rsidR="0001776D" w:rsidRDefault="0001776D" w:rsidP="0001776D">
      <w:pPr>
        <w:pStyle w:val="NoSpacing"/>
        <w:jc w:val="center"/>
      </w:pPr>
    </w:p>
    <w:tbl>
      <w:tblPr>
        <w:tblW w:w="3716" w:type="pct"/>
        <w:jc w:val="center"/>
        <w:tblBorders>
          <w:top w:val="single" w:sz="2" w:space="0" w:color="000000"/>
          <w:bottom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3233"/>
        <w:gridCol w:w="3894"/>
      </w:tblGrid>
      <w:tr w:rsidR="0001776D" w:rsidRPr="00BA2BA5" w:rsidTr="007A05B3">
        <w:trPr>
          <w:cantSplit/>
          <w:trHeight w:hRule="exact" w:val="2592"/>
          <w:jc w:val="center"/>
        </w:trPr>
        <w:tc>
          <w:tcPr>
            <w:tcW w:w="2268" w:type="pct"/>
            <w:tcBorders>
              <w:top w:val="single" w:sz="18" w:space="0" w:color="8DB3E2" w:themeColor="text2" w:themeTint="66"/>
              <w:left w:val="single" w:sz="18" w:space="0" w:color="8DB3E2" w:themeColor="text2" w:themeTint="66"/>
              <w:bottom w:val="single" w:sz="8" w:space="0" w:color="0B3D70"/>
              <w:right w:val="single" w:sz="8" w:space="0" w:color="0B3D70"/>
            </w:tcBorders>
            <w:shd w:val="clear" w:color="auto" w:fill="auto"/>
            <w:vAlign w:val="center"/>
          </w:tcPr>
          <w:p w:rsidR="0001776D" w:rsidRPr="00BA2BA5" w:rsidRDefault="0001776D" w:rsidP="0001776D">
            <w:pPr>
              <w:spacing w:after="0" w:line="240" w:lineRule="auto"/>
              <w:jc w:val="center"/>
              <w:rPr>
                <w:rFonts w:ascii="Bookman Old Style" w:eastAsia="Calibri" w:hAnsi="Bookman Old Style" w:cs="Times New Roman"/>
              </w:rPr>
            </w:pPr>
            <w:r w:rsidRPr="00BA2BA5">
              <w:rPr>
                <w:rFonts w:ascii="Bookman Old Style" w:eastAsia="Calibri" w:hAnsi="Bookman Old Style" w:cs="Times New Roman"/>
                <w:noProof/>
              </w:rPr>
              <w:drawing>
                <wp:inline distT="0" distB="0" distL="0" distR="0" wp14:anchorId="127960A0" wp14:editId="557C9EC2">
                  <wp:extent cx="1905000" cy="1428750"/>
                  <wp:effectExtent l="0" t="0" r="0" b="0"/>
                  <wp:docPr id="1100" name="Picture 1100" descr="Fire Station No.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 Station No.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2732" w:type="pct"/>
            <w:tcBorders>
              <w:top w:val="single" w:sz="18" w:space="0" w:color="8DB3E2" w:themeColor="text2" w:themeTint="66"/>
              <w:left w:val="single" w:sz="8" w:space="0" w:color="0B3D70"/>
              <w:bottom w:val="single" w:sz="8" w:space="0" w:color="0B3D70"/>
              <w:right w:val="single" w:sz="18" w:space="0" w:color="8DB3E2" w:themeColor="text2" w:themeTint="66"/>
            </w:tcBorders>
            <w:shd w:val="clear" w:color="auto" w:fill="auto"/>
            <w:vAlign w:val="center"/>
          </w:tcPr>
          <w:p w:rsidR="0001776D" w:rsidRPr="00BA2BA5" w:rsidRDefault="0001776D" w:rsidP="0001776D">
            <w:pPr>
              <w:spacing w:after="0" w:line="240" w:lineRule="auto"/>
              <w:rPr>
                <w:rFonts w:ascii="Bookman Old Style" w:eastAsia="Calibri" w:hAnsi="Bookman Old Style" w:cs="Times New Roman"/>
                <w:sz w:val="20"/>
                <w:szCs w:val="20"/>
              </w:rPr>
            </w:pPr>
            <w:r w:rsidRPr="00BA2BA5">
              <w:rPr>
                <w:rFonts w:ascii="Bookman Old Style" w:eastAsia="Calibri" w:hAnsi="Bookman Old Style" w:cs="Times New Roman"/>
                <w:sz w:val="20"/>
                <w:szCs w:val="20"/>
              </w:rPr>
              <w:t>This is a two-bay station (with four bay storage building out back) and a minimum of four personnel, maximum five staffing.  The crew splits response on an Engine and a Medic Unit (two each).</w:t>
            </w:r>
          </w:p>
        </w:tc>
      </w:tr>
      <w:tr w:rsidR="0001776D" w:rsidRPr="00BA2BA5" w:rsidTr="007A05B3">
        <w:trPr>
          <w:cantSplit/>
          <w:trHeight w:val="360"/>
          <w:jc w:val="center"/>
        </w:trPr>
        <w:tc>
          <w:tcPr>
            <w:tcW w:w="2268" w:type="pct"/>
            <w:tcBorders>
              <w:top w:val="single" w:sz="8" w:space="0" w:color="0B3D70"/>
              <w:left w:val="single" w:sz="18" w:space="0" w:color="8DB3E2" w:themeColor="text2" w:themeTint="66"/>
              <w:bottom w:val="nil"/>
              <w:right w:val="single" w:sz="2" w:space="0" w:color="FFFFFF"/>
            </w:tcBorders>
            <w:shd w:val="clear" w:color="auto" w:fill="365F91"/>
            <w:vAlign w:val="center"/>
            <w:hideMark/>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SURVEY COMPONENT</w:t>
            </w:r>
          </w:p>
        </w:tc>
        <w:tc>
          <w:tcPr>
            <w:tcW w:w="2732" w:type="pct"/>
            <w:tcBorders>
              <w:top w:val="single" w:sz="8" w:space="0" w:color="0B3D70"/>
              <w:left w:val="single" w:sz="2" w:space="0" w:color="FFFFFF"/>
              <w:bottom w:val="nil"/>
              <w:right w:val="single" w:sz="18" w:space="0" w:color="8DB3E2" w:themeColor="text2" w:themeTint="66"/>
            </w:tcBorders>
            <w:shd w:val="clear" w:color="auto" w:fill="365F91"/>
            <w:vAlign w:val="center"/>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Observations</w:t>
            </w:r>
          </w:p>
        </w:tc>
      </w:tr>
      <w:tr w:rsidR="0001776D" w:rsidRPr="00BA2BA5" w:rsidTr="007A05B3">
        <w:trPr>
          <w:cantSplit/>
          <w:trHeight w:val="315"/>
          <w:jc w:val="center"/>
        </w:trPr>
        <w:tc>
          <w:tcPr>
            <w:tcW w:w="5000" w:type="pct"/>
            <w:gridSpan w:val="2"/>
            <w:tcBorders>
              <w:top w:val="nil"/>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structure -- Station 83</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Construction type</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Wood frame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Date</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12-04-1998</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Seismic protection/energy audits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Auxiliary power</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Diesel Generator</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Condition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Fair</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Special considerations (ADA, mixed gender appropriate, storage, etc.)</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Meets ADA standards and is mixed gender appropriate.  Storage is minimal</w:t>
            </w:r>
          </w:p>
        </w:tc>
      </w:tr>
      <w:tr w:rsidR="0001776D" w:rsidRPr="00BA2BA5" w:rsidTr="007A05B3">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Square footage</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Not Available</w:t>
            </w:r>
          </w:p>
        </w:tc>
      </w:tr>
      <w:tr w:rsidR="0001776D" w:rsidRPr="00BA2BA5" w:rsidTr="007A05B3">
        <w:trPr>
          <w:cantSplit/>
          <w:trHeight w:val="313"/>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Exercise/workout</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 xml:space="preserve">Kitchen/dormitory </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Lockers/showers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Training/meetings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Washer/dryer</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317"/>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Sprinkler system</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Smoke detection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bottom w:val="single" w:sz="2" w:space="0" w:color="00000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Security</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bottom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Apparatus exhaust system</w:t>
            </w:r>
          </w:p>
        </w:tc>
        <w:tc>
          <w:tcPr>
            <w:tcW w:w="2732" w:type="pct"/>
            <w:tcBorders>
              <w:bottom w:val="single" w:sz="18" w:space="0" w:color="8DB3E2" w:themeColor="text2" w:themeTint="66"/>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 xml:space="preserve">Yes </w:t>
            </w:r>
          </w:p>
        </w:tc>
      </w:tr>
    </w:tbl>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01776D" w:rsidRDefault="0001776D" w:rsidP="0001776D">
      <w:pPr>
        <w:pStyle w:val="NoSpacing"/>
        <w:jc w:val="center"/>
      </w:pPr>
    </w:p>
    <w:p w:rsidR="00554E82" w:rsidRDefault="00554E82" w:rsidP="007A05B3">
      <w:pPr>
        <w:pStyle w:val="NoSpacing"/>
        <w:jc w:val="center"/>
        <w:rPr>
          <w:rFonts w:ascii="Bookman Old Style" w:hAnsi="Bookman Old Style"/>
        </w:rPr>
      </w:pPr>
    </w:p>
    <w:p w:rsidR="00554E82" w:rsidRDefault="00554E82" w:rsidP="007A05B3">
      <w:pPr>
        <w:pStyle w:val="NoSpacing"/>
        <w:jc w:val="center"/>
        <w:rPr>
          <w:rFonts w:ascii="Bookman Old Style" w:hAnsi="Bookman Old Style"/>
        </w:rPr>
      </w:pPr>
    </w:p>
    <w:p w:rsidR="00554E82" w:rsidRDefault="00554E82" w:rsidP="007A05B3">
      <w:pPr>
        <w:pStyle w:val="NoSpacing"/>
        <w:jc w:val="center"/>
        <w:rPr>
          <w:rFonts w:ascii="Bookman Old Style" w:hAnsi="Bookman Old Style"/>
        </w:rPr>
      </w:pPr>
    </w:p>
    <w:p w:rsidR="00554E82" w:rsidRDefault="00554E82" w:rsidP="007A05B3">
      <w:pPr>
        <w:pStyle w:val="NoSpacing"/>
        <w:jc w:val="center"/>
        <w:rPr>
          <w:rFonts w:ascii="Bookman Old Style" w:hAnsi="Bookman Old Style"/>
        </w:rPr>
      </w:pPr>
    </w:p>
    <w:p w:rsidR="00554E82" w:rsidRDefault="00554E82" w:rsidP="007A05B3">
      <w:pPr>
        <w:pStyle w:val="NoSpacing"/>
        <w:jc w:val="center"/>
        <w:rPr>
          <w:rFonts w:ascii="Bookman Old Style" w:hAnsi="Bookman Old Style"/>
        </w:rPr>
      </w:pPr>
    </w:p>
    <w:p w:rsidR="0001776D" w:rsidRPr="00BA2BA5" w:rsidRDefault="0001776D" w:rsidP="007A05B3">
      <w:pPr>
        <w:pStyle w:val="NoSpacing"/>
        <w:jc w:val="center"/>
        <w:rPr>
          <w:rFonts w:ascii="Bookman Old Style" w:hAnsi="Bookman Old Style"/>
        </w:rPr>
      </w:pPr>
      <w:r w:rsidRPr="00BA2BA5">
        <w:rPr>
          <w:rFonts w:ascii="Bookman Old Style" w:hAnsi="Bookman Old Style"/>
        </w:rPr>
        <w:lastRenderedPageBreak/>
        <w:t>Station 84</w:t>
      </w:r>
    </w:p>
    <w:p w:rsidR="0001776D" w:rsidRPr="00BA2BA5" w:rsidRDefault="0001776D" w:rsidP="007A05B3">
      <w:pPr>
        <w:pStyle w:val="NoSpacing"/>
        <w:jc w:val="center"/>
        <w:rPr>
          <w:rFonts w:ascii="Bookman Old Style" w:hAnsi="Bookman Old Style"/>
        </w:rPr>
      </w:pPr>
      <w:r w:rsidRPr="00BA2BA5">
        <w:rPr>
          <w:rFonts w:ascii="Bookman Old Style" w:hAnsi="Bookman Old Style"/>
        </w:rPr>
        <w:t>1208 Road 48</w:t>
      </w:r>
    </w:p>
    <w:p w:rsidR="0001776D" w:rsidRDefault="0001776D" w:rsidP="0001776D">
      <w:pPr>
        <w:pStyle w:val="NoSpacing"/>
        <w:jc w:val="center"/>
      </w:pPr>
    </w:p>
    <w:tbl>
      <w:tblPr>
        <w:tblW w:w="3716" w:type="pct"/>
        <w:jc w:val="center"/>
        <w:tblBorders>
          <w:top w:val="single" w:sz="2" w:space="0" w:color="000000"/>
          <w:bottom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3233"/>
        <w:gridCol w:w="3894"/>
      </w:tblGrid>
      <w:tr w:rsidR="0001776D" w:rsidRPr="00BA2BA5" w:rsidTr="007A05B3">
        <w:trPr>
          <w:cantSplit/>
          <w:trHeight w:hRule="exact" w:val="2592"/>
          <w:jc w:val="center"/>
        </w:trPr>
        <w:tc>
          <w:tcPr>
            <w:tcW w:w="2268" w:type="pct"/>
            <w:tcBorders>
              <w:top w:val="single" w:sz="18" w:space="0" w:color="8DB3E2" w:themeColor="text2" w:themeTint="66"/>
              <w:left w:val="single" w:sz="18" w:space="0" w:color="8DB3E2" w:themeColor="text2" w:themeTint="66"/>
              <w:bottom w:val="single" w:sz="8" w:space="0" w:color="0B3D70"/>
              <w:right w:val="single" w:sz="8" w:space="0" w:color="0B3D70"/>
            </w:tcBorders>
            <w:shd w:val="clear" w:color="auto" w:fill="auto"/>
            <w:vAlign w:val="center"/>
          </w:tcPr>
          <w:p w:rsidR="0001776D" w:rsidRPr="00BA2BA5" w:rsidRDefault="00DD5FFA" w:rsidP="0001776D">
            <w:pPr>
              <w:spacing w:after="0" w:line="240" w:lineRule="auto"/>
              <w:jc w:val="center"/>
              <w:rPr>
                <w:rFonts w:ascii="Bookman Old Style" w:eastAsia="Calibri" w:hAnsi="Bookman Old Style" w:cs="Times New Roman"/>
              </w:rPr>
            </w:pPr>
            <w:r w:rsidRPr="00BA2BA5">
              <w:rPr>
                <w:rFonts w:ascii="Bookman Old Style" w:eastAsia="Calibri" w:hAnsi="Bookman Old Style" w:cs="Times New Roman"/>
                <w:noProof/>
              </w:rPr>
              <mc:AlternateContent>
                <mc:Choice Requires="wps">
                  <w:drawing>
                    <wp:anchor distT="0" distB="0" distL="114300" distR="114300" simplePos="0" relativeHeight="251677696" behindDoc="0" locked="0" layoutInCell="1" allowOverlap="1" wp14:anchorId="28E36101" wp14:editId="360D25C0">
                      <wp:simplePos x="0" y="0"/>
                      <wp:positionH relativeFrom="column">
                        <wp:posOffset>-48868</wp:posOffset>
                      </wp:positionH>
                      <wp:positionV relativeFrom="paragraph">
                        <wp:posOffset>26724</wp:posOffset>
                      </wp:positionV>
                      <wp:extent cx="1997413" cy="1588851"/>
                      <wp:effectExtent l="0" t="0" r="3175" b="0"/>
                      <wp:wrapNone/>
                      <wp:docPr id="1101" name="Text Box 1101"/>
                      <wp:cNvGraphicFramePr/>
                      <a:graphic xmlns:a="http://schemas.openxmlformats.org/drawingml/2006/main">
                        <a:graphicData uri="http://schemas.microsoft.com/office/word/2010/wordprocessingShape">
                          <wps:wsp>
                            <wps:cNvSpPr txBox="1"/>
                            <wps:spPr>
                              <a:xfrm>
                                <a:off x="0" y="0"/>
                                <a:ext cx="1997413" cy="1588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1951" w:rsidRDefault="003E1951" w:rsidP="00DD5FFA">
                                  <w:pPr>
                                    <w:jc w:val="center"/>
                                  </w:pPr>
                                  <w:r>
                                    <w:rPr>
                                      <w:noProof/>
                                    </w:rPr>
                                    <w:drawing>
                                      <wp:inline distT="0" distB="0" distL="0" distR="0" wp14:anchorId="11A0CF91" wp14:editId="6147B66E">
                                        <wp:extent cx="1807845" cy="115125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0">
                                                  <a:extLst>
                                                    <a:ext uri="{28A0092B-C50C-407E-A947-70E740481C1C}">
                                                      <a14:useLocalDpi xmlns:a14="http://schemas.microsoft.com/office/drawing/2010/main" val="0"/>
                                                    </a:ext>
                                                  </a:extLst>
                                                </a:blip>
                                                <a:stretch>
                                                  <a:fillRect/>
                                                </a:stretch>
                                              </pic:blipFill>
                                              <pic:spPr>
                                                <a:xfrm>
                                                  <a:off x="0" y="0"/>
                                                  <a:ext cx="1807845" cy="1151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1" o:spid="_x0000_s1030" type="#_x0000_t202" style="position:absolute;left:0;text-align:left;margin-left:-3.85pt;margin-top:2.1pt;width:157.3pt;height:125.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" fillcolor="white [3201]" stroked="f" strokeweight=".5pt">
                      <v:textbox>
                        <w:txbxContent>
                          <w:p w:rsidR="003E1951" w:rsidRDefault="003E1951" w:rsidP="00DD5FFA">
                            <w:pPr>
                              <w:jc w:val="center"/>
                            </w:pPr>
                            <w:r>
                              <w:rPr>
                                <w:noProof/>
                              </w:rPr>
                              <w:drawing>
                                <wp:inline distT="0" distB="0" distL="0" distR="0" wp14:anchorId="11A0CF91" wp14:editId="6147B66E">
                                  <wp:extent cx="1807845" cy="115125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0">
                                            <a:extLst>
                                              <a:ext uri="{28A0092B-C50C-407E-A947-70E740481C1C}">
                                                <a14:useLocalDpi xmlns:a14="http://schemas.microsoft.com/office/drawing/2010/main" val="0"/>
                                              </a:ext>
                                            </a:extLst>
                                          </a:blip>
                                          <a:stretch>
                                            <a:fillRect/>
                                          </a:stretch>
                                        </pic:blipFill>
                                        <pic:spPr>
                                          <a:xfrm>
                                            <a:off x="0" y="0"/>
                                            <a:ext cx="1807845" cy="1151255"/>
                                          </a:xfrm>
                                          <a:prstGeom prst="rect">
                                            <a:avLst/>
                                          </a:prstGeom>
                                        </pic:spPr>
                                      </pic:pic>
                                    </a:graphicData>
                                  </a:graphic>
                                </wp:inline>
                              </w:drawing>
                            </w:r>
                          </w:p>
                        </w:txbxContent>
                      </v:textbox>
                    </v:shape>
                  </w:pict>
                </mc:Fallback>
              </mc:AlternateContent>
            </w:r>
            <w:r w:rsidR="0001776D" w:rsidRPr="00BA2BA5">
              <w:rPr>
                <w:rFonts w:ascii="Bookman Old Style" w:eastAsia="Calibri" w:hAnsi="Bookman Old Style" w:cs="Times New Roman"/>
              </w:rPr>
              <w:t>No Picture Available</w:t>
            </w:r>
          </w:p>
        </w:tc>
        <w:tc>
          <w:tcPr>
            <w:tcW w:w="2732" w:type="pct"/>
            <w:tcBorders>
              <w:top w:val="single" w:sz="18" w:space="0" w:color="8DB3E2" w:themeColor="text2" w:themeTint="66"/>
              <w:left w:val="single" w:sz="8" w:space="0" w:color="0B3D70"/>
              <w:bottom w:val="single" w:sz="8" w:space="0" w:color="0B3D70"/>
              <w:right w:val="single" w:sz="18" w:space="0" w:color="8DB3E2" w:themeColor="text2" w:themeTint="66"/>
            </w:tcBorders>
            <w:shd w:val="clear" w:color="auto" w:fill="auto"/>
            <w:vAlign w:val="center"/>
          </w:tcPr>
          <w:p w:rsidR="0001776D" w:rsidRPr="00BA2BA5" w:rsidRDefault="0001776D" w:rsidP="0001776D">
            <w:pPr>
              <w:spacing w:after="0" w:line="240" w:lineRule="auto"/>
              <w:rPr>
                <w:rFonts w:ascii="Bookman Old Style" w:eastAsia="Calibri" w:hAnsi="Bookman Old Style" w:cs="Times New Roman"/>
                <w:sz w:val="20"/>
                <w:szCs w:val="20"/>
              </w:rPr>
            </w:pPr>
            <w:r w:rsidRPr="00BA2BA5">
              <w:rPr>
                <w:rFonts w:ascii="Bookman Old Style" w:eastAsia="Calibri" w:hAnsi="Bookman Old Style" w:cs="Times New Roman"/>
                <w:sz w:val="20"/>
                <w:szCs w:val="20"/>
              </w:rPr>
              <w:t>This unstaffed fire station was acquired by PFD from Franklin County Fire District #3 as an asset transfer due to annexation.  It is not well suited as an operational fire station.  The apparatus bays are small, with low overhead for modern fire apparatus.  The crew quarters are not designed for shift accommodation.  The PFD also owns t</w:t>
            </w:r>
            <w:r w:rsidR="00D4020B">
              <w:rPr>
                <w:rFonts w:ascii="Bookman Old Style" w:eastAsia="Calibri" w:hAnsi="Bookman Old Style" w:cs="Times New Roman"/>
                <w:sz w:val="20"/>
                <w:szCs w:val="20"/>
              </w:rPr>
              <w:t xml:space="preserve">he adjacent home.  </w:t>
            </w:r>
          </w:p>
        </w:tc>
      </w:tr>
      <w:tr w:rsidR="0001776D" w:rsidRPr="00BA2BA5" w:rsidTr="007A05B3">
        <w:trPr>
          <w:cantSplit/>
          <w:trHeight w:val="360"/>
          <w:jc w:val="center"/>
        </w:trPr>
        <w:tc>
          <w:tcPr>
            <w:tcW w:w="2268" w:type="pct"/>
            <w:tcBorders>
              <w:top w:val="single" w:sz="8" w:space="0" w:color="0B3D70"/>
              <w:left w:val="single" w:sz="18" w:space="0" w:color="8DB3E2" w:themeColor="text2" w:themeTint="66"/>
              <w:bottom w:val="single" w:sz="18" w:space="0" w:color="8DB3E2" w:themeColor="text2" w:themeTint="66"/>
              <w:right w:val="single" w:sz="2" w:space="0" w:color="FFFFFF"/>
            </w:tcBorders>
            <w:shd w:val="clear" w:color="auto" w:fill="365F91"/>
            <w:vAlign w:val="center"/>
            <w:hideMark/>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SURVEY COMPONENT</w:t>
            </w:r>
          </w:p>
        </w:tc>
        <w:tc>
          <w:tcPr>
            <w:tcW w:w="2732" w:type="pct"/>
            <w:tcBorders>
              <w:top w:val="single" w:sz="8" w:space="0" w:color="0B3D70"/>
              <w:left w:val="single" w:sz="2" w:space="0" w:color="FFFFFF"/>
              <w:bottom w:val="single" w:sz="18" w:space="0" w:color="8DB3E2" w:themeColor="text2" w:themeTint="66"/>
              <w:right w:val="single" w:sz="18" w:space="0" w:color="8DB3E2" w:themeColor="text2" w:themeTint="66"/>
            </w:tcBorders>
            <w:shd w:val="clear" w:color="auto" w:fill="365F91"/>
            <w:vAlign w:val="center"/>
          </w:tcPr>
          <w:p w:rsidR="0001776D" w:rsidRPr="00BA2BA5" w:rsidRDefault="0001776D" w:rsidP="0001776D">
            <w:pPr>
              <w:spacing w:after="0" w:line="240" w:lineRule="auto"/>
              <w:rPr>
                <w:rFonts w:ascii="Bookman Old Style" w:eastAsia="Calibri" w:hAnsi="Bookman Old Style" w:cs="Times New Roman"/>
                <w:b/>
                <w:caps/>
                <w:color w:val="FFFFFF"/>
                <w:sz w:val="20"/>
                <w:szCs w:val="20"/>
                <w:lang w:eastAsia="ja-JP"/>
              </w:rPr>
            </w:pPr>
            <w:r w:rsidRPr="00BA2BA5">
              <w:rPr>
                <w:rFonts w:ascii="Bookman Old Style" w:eastAsia="Calibri" w:hAnsi="Bookman Old Style" w:cs="Times New Roman"/>
                <w:b/>
                <w:caps/>
                <w:color w:val="FFFFFF"/>
                <w:sz w:val="20"/>
                <w:szCs w:val="20"/>
                <w:lang w:eastAsia="ja-JP"/>
              </w:rPr>
              <w:t>Observations</w:t>
            </w:r>
          </w:p>
        </w:tc>
      </w:tr>
      <w:tr w:rsidR="0001776D" w:rsidRPr="00BA2BA5" w:rsidTr="007A05B3">
        <w:trPr>
          <w:cantSplit/>
          <w:trHeight w:val="315"/>
          <w:jc w:val="center"/>
        </w:trPr>
        <w:tc>
          <w:tcPr>
            <w:tcW w:w="5000" w:type="pct"/>
            <w:gridSpan w:val="2"/>
            <w:tcBorders>
              <w:top w:val="single" w:sz="18" w:space="0" w:color="8DB3E2" w:themeColor="text2" w:themeTint="66"/>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structure -- Station 84</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Construction type</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Cinder Block</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Date</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1958</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Seismic protection/energy audits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Auxiliary power</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Condition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Poor</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Special considerations (ADA, mixed gender appropriate, storage, etc.)</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Does not accommodate personnel assignments well.  Not ADA or mixed gender appropriate.  Very limited storage.</w:t>
            </w:r>
          </w:p>
        </w:tc>
      </w:tr>
      <w:tr w:rsidR="0001776D" w:rsidRPr="00BA2BA5" w:rsidTr="007A05B3">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Square footage</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1,920</w:t>
            </w:r>
          </w:p>
        </w:tc>
      </w:tr>
      <w:tr w:rsidR="0001776D" w:rsidRPr="00BA2BA5" w:rsidTr="007A05B3">
        <w:trPr>
          <w:cantSplit/>
          <w:trHeight w:val="313"/>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Exercise/workout</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 xml:space="preserve">Kitchen/dormitory </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Lockers/showers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Training/meetings</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bottom w:val="single" w:sz="8" w:space="0" w:color="0B3D7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Washer/dryer</w:t>
            </w:r>
          </w:p>
        </w:tc>
        <w:tc>
          <w:tcPr>
            <w:tcW w:w="2732" w:type="pct"/>
            <w:tcBorders>
              <w:bottom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317"/>
          <w:jc w:val="center"/>
        </w:trPr>
        <w:tc>
          <w:tcPr>
            <w:tcW w:w="5000" w:type="pct"/>
            <w:gridSpan w:val="2"/>
            <w:tcBorders>
              <w:top w:val="single" w:sz="8" w:space="0" w:color="0B3D70"/>
              <w:left w:val="single" w:sz="18" w:space="0" w:color="8DB3E2" w:themeColor="text2" w:themeTint="66"/>
              <w:bottom w:val="single" w:sz="8" w:space="0" w:color="0B3D70"/>
              <w:right w:val="single" w:sz="18" w:space="0" w:color="8DB3E2" w:themeColor="text2" w:themeTint="66"/>
            </w:tcBorders>
            <w:shd w:val="clear" w:color="auto" w:fill="D9D9D9"/>
            <w:vAlign w:val="center"/>
            <w:hideMark/>
          </w:tcPr>
          <w:p w:rsidR="0001776D" w:rsidRPr="00BA2BA5" w:rsidRDefault="0001776D" w:rsidP="0001776D">
            <w:pPr>
              <w:spacing w:after="0" w:line="240" w:lineRule="auto"/>
              <w:rPr>
                <w:rFonts w:ascii="Bookman Old Style" w:eastAsia="Times New Roman" w:hAnsi="Bookman Old Style" w:cs="Times New Roman"/>
                <w:caps/>
                <w:sz w:val="20"/>
                <w:szCs w:val="20"/>
                <w:lang w:eastAsia="ja-JP"/>
              </w:rPr>
            </w:pPr>
            <w:r w:rsidRPr="00BA2BA5">
              <w:rPr>
                <w:rFonts w:ascii="Bookman Old Style" w:eastAsia="Times New Roman" w:hAnsi="Bookman Old Style" w:cs="Times New Roman"/>
                <w:b/>
                <w:caps/>
                <w:color w:val="365F91"/>
                <w:sz w:val="20"/>
                <w:szCs w:val="20"/>
                <w:lang w:eastAsia="ja-JP"/>
              </w:rPr>
              <w:t>facilities available</w:t>
            </w:r>
          </w:p>
        </w:tc>
      </w:tr>
      <w:tr w:rsidR="0001776D" w:rsidRPr="00BA2BA5" w:rsidTr="007A05B3">
        <w:trPr>
          <w:cantSplit/>
          <w:trHeight w:val="288"/>
          <w:jc w:val="center"/>
        </w:trPr>
        <w:tc>
          <w:tcPr>
            <w:tcW w:w="2268" w:type="pct"/>
            <w:tcBorders>
              <w:top w:val="single" w:sz="8" w:space="0" w:color="0B3D70"/>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Sprinkler system</w:t>
            </w:r>
          </w:p>
        </w:tc>
        <w:tc>
          <w:tcPr>
            <w:tcW w:w="2732" w:type="pct"/>
            <w:tcBorders>
              <w:top w:val="single" w:sz="8" w:space="0" w:color="0B3D70"/>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Smoke detection</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Yes, battery only</w:t>
            </w:r>
          </w:p>
        </w:tc>
      </w:tr>
      <w:tr w:rsidR="0001776D" w:rsidRPr="00BA2BA5" w:rsidTr="007A05B3">
        <w:trPr>
          <w:cantSplit/>
          <w:trHeight w:val="288"/>
          <w:jc w:val="center"/>
        </w:trPr>
        <w:tc>
          <w:tcPr>
            <w:tcW w:w="2268" w:type="pct"/>
            <w:tcBorders>
              <w:left w:val="single" w:sz="18" w:space="0" w:color="8DB3E2" w:themeColor="text2" w:themeTint="66"/>
              <w:bottom w:val="single" w:sz="2" w:space="0" w:color="000000"/>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Security</w:t>
            </w:r>
          </w:p>
        </w:tc>
        <w:tc>
          <w:tcPr>
            <w:tcW w:w="2732" w:type="pct"/>
            <w:tcBorders>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r w:rsidR="0001776D" w:rsidRPr="00BA2BA5" w:rsidTr="007A05B3">
        <w:trPr>
          <w:cantSplit/>
          <w:trHeight w:val="288"/>
          <w:jc w:val="center"/>
        </w:trPr>
        <w:tc>
          <w:tcPr>
            <w:tcW w:w="2268" w:type="pct"/>
            <w:tcBorders>
              <w:left w:val="single" w:sz="18" w:space="0" w:color="8DB3E2" w:themeColor="text2" w:themeTint="66"/>
              <w:bottom w:val="single" w:sz="18" w:space="0" w:color="8DB3E2" w:themeColor="text2" w:themeTint="66"/>
            </w:tcBorders>
            <w:vAlign w:val="center"/>
          </w:tcPr>
          <w:p w:rsidR="0001776D" w:rsidRPr="00BA2BA5" w:rsidRDefault="0001776D" w:rsidP="0001776D">
            <w:pPr>
              <w:tabs>
                <w:tab w:val="left" w:pos="-1890"/>
              </w:tabs>
              <w:spacing w:after="0" w:line="240" w:lineRule="auto"/>
              <w:rPr>
                <w:rFonts w:ascii="Bookman Old Style" w:eastAsia="Times New Roman" w:hAnsi="Bookman Old Style" w:cs="Times New Roman"/>
                <w:color w:val="365F91"/>
                <w:sz w:val="20"/>
                <w:szCs w:val="20"/>
                <w:lang w:eastAsia="ja-JP"/>
              </w:rPr>
            </w:pPr>
            <w:r w:rsidRPr="00BA2BA5">
              <w:rPr>
                <w:rFonts w:ascii="Bookman Old Style" w:eastAsia="Times New Roman" w:hAnsi="Bookman Old Style" w:cs="Times New Roman"/>
                <w:color w:val="365F91"/>
                <w:sz w:val="20"/>
                <w:szCs w:val="20"/>
                <w:lang w:eastAsia="ja-JP"/>
              </w:rPr>
              <w:t>Apparatus exhaust system</w:t>
            </w:r>
          </w:p>
        </w:tc>
        <w:tc>
          <w:tcPr>
            <w:tcW w:w="2732" w:type="pct"/>
            <w:tcBorders>
              <w:bottom w:val="single" w:sz="18" w:space="0" w:color="8DB3E2" w:themeColor="text2" w:themeTint="66"/>
              <w:right w:val="single" w:sz="18" w:space="0" w:color="8DB3E2" w:themeColor="text2" w:themeTint="66"/>
            </w:tcBorders>
            <w:vAlign w:val="center"/>
          </w:tcPr>
          <w:p w:rsidR="0001776D" w:rsidRPr="00BA2BA5" w:rsidRDefault="0001776D" w:rsidP="0001776D">
            <w:pPr>
              <w:spacing w:after="0" w:line="240" w:lineRule="auto"/>
              <w:rPr>
                <w:rFonts w:ascii="Bookman Old Style" w:eastAsia="Times New Roman" w:hAnsi="Bookman Old Style" w:cs="Times New Roman"/>
                <w:sz w:val="20"/>
                <w:szCs w:val="20"/>
                <w:lang w:eastAsia="ja-JP"/>
              </w:rPr>
            </w:pPr>
            <w:r w:rsidRPr="00BA2BA5">
              <w:rPr>
                <w:rFonts w:ascii="Bookman Old Style" w:eastAsia="Times New Roman" w:hAnsi="Bookman Old Style" w:cs="Times New Roman"/>
                <w:sz w:val="20"/>
                <w:szCs w:val="20"/>
                <w:lang w:eastAsia="ja-JP"/>
              </w:rPr>
              <w:t>No</w:t>
            </w:r>
          </w:p>
        </w:tc>
      </w:tr>
    </w:tbl>
    <w:p w:rsidR="0073773F" w:rsidRDefault="0073773F"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46EF8" w:rsidRDefault="00346EF8" w:rsidP="00BA5338">
      <w:pPr>
        <w:pStyle w:val="NoSpacing"/>
      </w:pPr>
    </w:p>
    <w:p w:rsidR="003D1199" w:rsidRDefault="003D1199" w:rsidP="00BA5338">
      <w:pPr>
        <w:pStyle w:val="NoSpacing"/>
        <w:rPr>
          <w:i/>
          <w:color w:val="808080" w:themeColor="background1" w:themeShade="80"/>
        </w:rPr>
      </w:pPr>
    </w:p>
    <w:p w:rsidR="003D1199" w:rsidRDefault="003D1199" w:rsidP="00BA5338">
      <w:pPr>
        <w:pStyle w:val="NoSpacing"/>
        <w:rPr>
          <w:i/>
          <w:color w:val="808080" w:themeColor="background1" w:themeShade="80"/>
        </w:rPr>
      </w:pPr>
    </w:p>
    <w:p w:rsidR="007A05B3" w:rsidRDefault="007A05B3" w:rsidP="00BA5338">
      <w:pPr>
        <w:pStyle w:val="NoSpacing"/>
        <w:rPr>
          <w:i/>
          <w:color w:val="808080" w:themeColor="background1" w:themeShade="80"/>
        </w:rPr>
      </w:pPr>
    </w:p>
    <w:p w:rsidR="000F29DF" w:rsidRDefault="000F29DF" w:rsidP="000F29DF">
      <w:pPr>
        <w:rPr>
          <w:rFonts w:ascii="Bookman Old Style" w:hAnsi="Bookman Old Style"/>
          <w:sz w:val="24"/>
          <w:szCs w:val="24"/>
        </w:rPr>
      </w:pPr>
      <w:bookmarkStart w:id="24" w:name="_Toc474159549"/>
    </w:p>
    <w:p w:rsidR="0073773F" w:rsidRPr="003746A2" w:rsidRDefault="00707F29" w:rsidP="00460C40">
      <w:pPr>
        <w:pStyle w:val="Heading7"/>
        <w:spacing w:before="0" w:after="200"/>
        <w:rPr>
          <w:b/>
          <w:color w:val="auto"/>
          <w:sz w:val="24"/>
          <w:szCs w:val="24"/>
        </w:rPr>
      </w:pPr>
      <w:bookmarkStart w:id="25" w:name="_Toc475003858"/>
      <w:r w:rsidRPr="003746A2">
        <w:rPr>
          <w:b/>
          <w:color w:val="auto"/>
          <w:sz w:val="24"/>
          <w:szCs w:val="24"/>
        </w:rPr>
        <w:lastRenderedPageBreak/>
        <w:t>Funding</w:t>
      </w:r>
      <w:bookmarkEnd w:id="24"/>
      <w:bookmarkEnd w:id="25"/>
    </w:p>
    <w:p w:rsidR="00E14BB7" w:rsidRPr="004318CB" w:rsidRDefault="00707F29" w:rsidP="00E14BB7">
      <w:pPr>
        <w:spacing w:line="240" w:lineRule="auto"/>
        <w:contextualSpacing/>
        <w:jc w:val="both"/>
        <w:rPr>
          <w:rFonts w:ascii="Bookman Old Style" w:hAnsi="Bookman Old Style"/>
        </w:rPr>
      </w:pPr>
      <w:r w:rsidRPr="004318CB">
        <w:rPr>
          <w:rFonts w:ascii="Bookman Old Style" w:hAnsi="Bookman Old Style"/>
        </w:rPr>
        <w:t xml:space="preserve">The fire department derives </w:t>
      </w:r>
      <w:r w:rsidR="00CB47B6" w:rsidRPr="004318CB">
        <w:rPr>
          <w:rFonts w:ascii="Bookman Old Style" w:hAnsi="Bookman Old Style"/>
        </w:rPr>
        <w:t>its operational budget</w:t>
      </w:r>
      <w:r w:rsidR="00851592" w:rsidRPr="004318CB">
        <w:rPr>
          <w:rFonts w:ascii="Bookman Old Style" w:hAnsi="Bookman Old Style"/>
        </w:rPr>
        <w:t xml:space="preserve"> from primarily three</w:t>
      </w:r>
      <w:r w:rsidRPr="004318CB">
        <w:rPr>
          <w:rFonts w:ascii="Bookman Old Style" w:hAnsi="Bookman Old Style"/>
        </w:rPr>
        <w:t xml:space="preserve"> separate funding streams. </w:t>
      </w:r>
      <w:r w:rsidR="00CB47B6" w:rsidRPr="004318CB">
        <w:rPr>
          <w:rFonts w:ascii="Bookman Old Style" w:hAnsi="Bookman Old Style"/>
        </w:rPr>
        <w:t xml:space="preserve">  The General Fund apportionment for the fire department has historically averaged 12.5% of the fund revenues over the past four fiscal years (2013-2016).</w:t>
      </w:r>
      <w:r w:rsidR="00282721" w:rsidRPr="004318CB">
        <w:rPr>
          <w:rFonts w:ascii="Bookman Old Style" w:hAnsi="Bookman Old Style"/>
        </w:rPr>
        <w:t xml:space="preserve">  The General Fund is primarily supported through property taxes which are limited to a maximum 1% annual growth rate by </w:t>
      </w:r>
      <w:r w:rsidR="00851592" w:rsidRPr="004318CB">
        <w:rPr>
          <w:rFonts w:ascii="Bookman Old Style" w:hAnsi="Bookman Old Style"/>
        </w:rPr>
        <w:t xml:space="preserve">Washington State </w:t>
      </w:r>
      <w:r w:rsidR="00282721" w:rsidRPr="004318CB">
        <w:rPr>
          <w:rFonts w:ascii="Bookman Old Style" w:hAnsi="Bookman Old Style"/>
        </w:rPr>
        <w:t>Initiative 747 (2001).</w:t>
      </w:r>
      <w:r w:rsidRPr="004318CB">
        <w:rPr>
          <w:rFonts w:ascii="Bookman Old Style" w:hAnsi="Bookman Old Style"/>
        </w:rPr>
        <w:t xml:space="preserve"> </w:t>
      </w:r>
      <w:r w:rsidR="00851592" w:rsidRPr="004318CB">
        <w:rPr>
          <w:rFonts w:ascii="Bookman Old Style" w:hAnsi="Bookman Old Style"/>
        </w:rPr>
        <w:t xml:space="preserve"> Other funding sources include sales tax, fees and fines, etc.</w:t>
      </w:r>
      <w:r w:rsidR="00246BF2" w:rsidRPr="004318CB">
        <w:rPr>
          <w:rFonts w:ascii="Bookman Old Style" w:hAnsi="Bookman Old Style"/>
        </w:rPr>
        <w:t xml:space="preserve">  General Fund apportionments account for approximately 50% of the total fire department operating budget.</w:t>
      </w:r>
    </w:p>
    <w:p w:rsidR="00E14BB7" w:rsidRPr="004318CB" w:rsidRDefault="00E14BB7" w:rsidP="00E14BB7">
      <w:pPr>
        <w:spacing w:line="240" w:lineRule="auto"/>
        <w:contextualSpacing/>
        <w:jc w:val="both"/>
        <w:rPr>
          <w:rFonts w:ascii="Bookman Old Style" w:hAnsi="Bookman Old Style"/>
        </w:rPr>
      </w:pPr>
    </w:p>
    <w:p w:rsidR="00E14BB7" w:rsidRPr="004318CB" w:rsidRDefault="00851592" w:rsidP="00E14BB7">
      <w:pPr>
        <w:spacing w:line="240" w:lineRule="auto"/>
        <w:contextualSpacing/>
        <w:jc w:val="both"/>
        <w:rPr>
          <w:rFonts w:ascii="Bookman Old Style" w:hAnsi="Bookman Old Style"/>
        </w:rPr>
      </w:pPr>
      <w:r w:rsidRPr="004318CB">
        <w:rPr>
          <w:rFonts w:ascii="Bookman Old Style" w:hAnsi="Bookman Old Style"/>
        </w:rPr>
        <w:t xml:space="preserve">A secondary funding source for the fire department is the Ambulance Utility Fund.  This fund is supported through a monthly utility charge of $14.55 per household (2017 assessment) for service charges, and demand charges of $600 per call (plus expendable supplies costs).  Both the service and demand charges are determined by City Council.  </w:t>
      </w:r>
      <w:r w:rsidR="00246BF2" w:rsidRPr="004318CB">
        <w:rPr>
          <w:rFonts w:ascii="Bookman Old Style" w:hAnsi="Bookman Old Style"/>
        </w:rPr>
        <w:t>The ambulance utility provides approximately 44% of the department’s total budget.</w:t>
      </w:r>
    </w:p>
    <w:p w:rsidR="00E14BB7" w:rsidRPr="004318CB" w:rsidRDefault="00E14BB7" w:rsidP="00E14BB7">
      <w:pPr>
        <w:spacing w:line="240" w:lineRule="auto"/>
        <w:contextualSpacing/>
        <w:jc w:val="both"/>
        <w:rPr>
          <w:rFonts w:ascii="Bookman Old Style" w:hAnsi="Bookman Old Style"/>
        </w:rPr>
      </w:pPr>
    </w:p>
    <w:p w:rsidR="00246BF2" w:rsidRPr="004318CB" w:rsidRDefault="00851592" w:rsidP="00E14BB7">
      <w:pPr>
        <w:spacing w:line="240" w:lineRule="auto"/>
        <w:contextualSpacing/>
        <w:jc w:val="both"/>
        <w:rPr>
          <w:rFonts w:ascii="Bookman Old Style" w:hAnsi="Bookman Old Style"/>
        </w:rPr>
      </w:pPr>
      <w:r w:rsidRPr="004318CB">
        <w:rPr>
          <w:rFonts w:ascii="Bookman Old Style" w:hAnsi="Bookman Old Style"/>
        </w:rPr>
        <w:t>The third primary funding stream is through contracted services.  The fire department contracts with the Port of Pasco to provide aircraft rescue and firefighting ser</w:t>
      </w:r>
      <w:r w:rsidR="00246BF2" w:rsidRPr="004318CB">
        <w:rPr>
          <w:rFonts w:ascii="Bookman Old Style" w:hAnsi="Bookman Old Style"/>
        </w:rPr>
        <w:t xml:space="preserve">vices to the Tri-Cities Airport and other agencies to provide specialized services such as technical rescue response.  The contracts are renewable and account for approximately 5% of the total fire department operating budget. </w:t>
      </w:r>
    </w:p>
    <w:p w:rsidR="00E14BB7" w:rsidRPr="004318CB" w:rsidRDefault="00E14BB7" w:rsidP="00E14BB7">
      <w:pPr>
        <w:spacing w:line="240" w:lineRule="auto"/>
        <w:contextualSpacing/>
        <w:jc w:val="both"/>
        <w:rPr>
          <w:rFonts w:ascii="Bookman Old Style" w:hAnsi="Bookman Old Style"/>
        </w:rPr>
      </w:pPr>
    </w:p>
    <w:p w:rsidR="00246BF2" w:rsidRPr="004318CB" w:rsidRDefault="00246BF2" w:rsidP="00E14BB7">
      <w:pPr>
        <w:spacing w:line="240" w:lineRule="auto"/>
        <w:contextualSpacing/>
        <w:rPr>
          <w:rFonts w:ascii="Bookman Old Style" w:hAnsi="Bookman Old Style"/>
        </w:rPr>
      </w:pPr>
      <w:r w:rsidRPr="004318CB">
        <w:rPr>
          <w:rFonts w:ascii="Bookman Old Style" w:hAnsi="Bookman Old Style"/>
        </w:rPr>
        <w:t>Approximately 1% of the budget is funded through alternative sources such as grants and fees for service.</w:t>
      </w:r>
    </w:p>
    <w:p w:rsidR="00246BF2" w:rsidRPr="004318CB" w:rsidRDefault="00246BF2" w:rsidP="007A05B3">
      <w:pPr>
        <w:pStyle w:val="NoSpacing"/>
        <w:spacing w:after="200"/>
        <w:contextualSpacing/>
        <w:jc w:val="both"/>
        <w:rPr>
          <w:rFonts w:ascii="Bookman Old Style" w:hAnsi="Bookman Old Style"/>
        </w:rPr>
      </w:pPr>
    </w:p>
    <w:p w:rsidR="00246BF2" w:rsidRPr="004318CB" w:rsidRDefault="00246BF2" w:rsidP="00E14BB7">
      <w:pPr>
        <w:spacing w:line="240" w:lineRule="auto"/>
        <w:jc w:val="both"/>
        <w:rPr>
          <w:rFonts w:ascii="Bookman Old Style" w:hAnsi="Bookman Old Style"/>
        </w:rPr>
      </w:pPr>
      <w:r w:rsidRPr="004318CB">
        <w:rPr>
          <w:rFonts w:ascii="Bookman Old Style" w:hAnsi="Bookman Old Style"/>
        </w:rPr>
        <w:t>The chart below shows the typical funding sources for the fire department annual budget.</w:t>
      </w:r>
    </w:p>
    <w:p w:rsidR="00246BF2" w:rsidRDefault="00E40A01" w:rsidP="00BA5338">
      <w:pPr>
        <w:pStyle w:val="NoSpacing"/>
      </w:pPr>
      <w:r>
        <w:rPr>
          <w:noProof/>
        </w:rPr>
        <mc:AlternateContent>
          <mc:Choice Requires="wps">
            <w:drawing>
              <wp:anchor distT="0" distB="0" distL="114300" distR="114300" simplePos="0" relativeHeight="251670528" behindDoc="0" locked="0" layoutInCell="1" allowOverlap="1" wp14:anchorId="316E0E0B" wp14:editId="661D86EC">
                <wp:simplePos x="0" y="0"/>
                <wp:positionH relativeFrom="column">
                  <wp:posOffset>648592</wp:posOffset>
                </wp:positionH>
                <wp:positionV relativeFrom="paragraph">
                  <wp:posOffset>109220</wp:posOffset>
                </wp:positionV>
                <wp:extent cx="4208145" cy="1809115"/>
                <wp:effectExtent l="0" t="0" r="1905" b="635"/>
                <wp:wrapNone/>
                <wp:docPr id="11" name="Text Box 11"/>
                <wp:cNvGraphicFramePr/>
                <a:graphic xmlns:a="http://schemas.openxmlformats.org/drawingml/2006/main">
                  <a:graphicData uri="http://schemas.microsoft.com/office/word/2010/wordprocessingShape">
                    <wps:wsp>
                      <wps:cNvSpPr txBox="1"/>
                      <wps:spPr>
                        <a:xfrm>
                          <a:off x="0" y="0"/>
                          <a:ext cx="4208145" cy="180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1951" w:rsidRDefault="003E1951" w:rsidP="00A908A3">
                            <w:pPr>
                              <w:jc w:val="center"/>
                            </w:pPr>
                            <w:r>
                              <w:rPr>
                                <w:noProof/>
                              </w:rPr>
                              <w:drawing>
                                <wp:inline distT="0" distB="0" distL="0" distR="0" wp14:anchorId="7E5AB5E1" wp14:editId="79008095">
                                  <wp:extent cx="4257675" cy="19621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51.05pt;margin-top:8.6pt;width:331.35pt;height:14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" fillcolor="white [3201]" stroked="f" strokeweight=".5pt">
                <v:textbox>
                  <w:txbxContent>
                    <w:p w:rsidR="003E1951" w:rsidRDefault="003E1951" w:rsidP="00A908A3">
                      <w:pPr>
                        <w:jc w:val="center"/>
                      </w:pPr>
                      <w:r>
                        <w:rPr>
                          <w:noProof/>
                        </w:rPr>
                        <w:drawing>
                          <wp:inline distT="0" distB="0" distL="0" distR="0" wp14:anchorId="7E5AB5E1" wp14:editId="79008095">
                            <wp:extent cx="4257675" cy="19621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246BF2" w:rsidRDefault="00246BF2" w:rsidP="00BA5338">
      <w:pPr>
        <w:pStyle w:val="NoSpacing"/>
      </w:pPr>
    </w:p>
    <w:p w:rsidR="004C3E65" w:rsidRDefault="004C3E65" w:rsidP="00BA5338">
      <w:pPr>
        <w:pStyle w:val="NoSpacing"/>
      </w:pPr>
    </w:p>
    <w:p w:rsidR="004C3E65" w:rsidRDefault="004C3E65" w:rsidP="00BA5338">
      <w:pPr>
        <w:pStyle w:val="NoSpacing"/>
      </w:pPr>
    </w:p>
    <w:p w:rsidR="00E14BB7" w:rsidRDefault="00E14BB7" w:rsidP="004318CB">
      <w:pPr>
        <w:pStyle w:val="NoSpacing"/>
      </w:pPr>
    </w:p>
    <w:p w:rsidR="004318CB" w:rsidRDefault="004318CB" w:rsidP="004318CB">
      <w:pPr>
        <w:pStyle w:val="NoSpacing"/>
        <w:rPr>
          <w:b/>
          <w:sz w:val="28"/>
        </w:rPr>
      </w:pPr>
    </w:p>
    <w:p w:rsidR="00E14BB7" w:rsidRDefault="00E14BB7" w:rsidP="00597CF9">
      <w:pPr>
        <w:pStyle w:val="NoSpacing"/>
        <w:jc w:val="center"/>
        <w:rPr>
          <w:b/>
          <w:sz w:val="28"/>
        </w:rPr>
      </w:pPr>
    </w:p>
    <w:p w:rsidR="007F57A5" w:rsidRPr="00597CF9" w:rsidRDefault="00597CF9" w:rsidP="00597CF9">
      <w:pPr>
        <w:pStyle w:val="NoSpacing"/>
        <w:jc w:val="center"/>
        <w:rPr>
          <w:b/>
          <w:sz w:val="28"/>
        </w:rPr>
      </w:pPr>
      <w:r w:rsidRPr="00597CF9">
        <w:rPr>
          <w:b/>
          <w:sz w:val="28"/>
        </w:rPr>
        <w:lastRenderedPageBreak/>
        <w:t>City of Pasco Fire Department</w:t>
      </w:r>
    </w:p>
    <w:p w:rsidR="00597CF9" w:rsidRPr="00597CF9" w:rsidRDefault="00597CF9" w:rsidP="00597CF9">
      <w:pPr>
        <w:pStyle w:val="NoSpacing"/>
        <w:jc w:val="center"/>
        <w:rPr>
          <w:b/>
          <w:sz w:val="28"/>
        </w:rPr>
      </w:pPr>
      <w:r w:rsidRPr="00597CF9">
        <w:rPr>
          <w:b/>
          <w:sz w:val="28"/>
        </w:rPr>
        <w:t>Five-Year Expenditures</w:t>
      </w:r>
    </w:p>
    <w:p w:rsidR="00597CF9" w:rsidRPr="00597CF9" w:rsidRDefault="00597CF9" w:rsidP="00597CF9">
      <w:pPr>
        <w:pStyle w:val="NoSpacing"/>
        <w:jc w:val="center"/>
        <w:rPr>
          <w:b/>
          <w:sz w:val="28"/>
        </w:rPr>
      </w:pPr>
      <w:r w:rsidRPr="00597CF9">
        <w:rPr>
          <w:b/>
          <w:sz w:val="28"/>
        </w:rPr>
        <w:t>Combined General Fund (Fire) &amp; Ambulance Utility Fund</w:t>
      </w:r>
    </w:p>
    <w:p w:rsidR="00597CF9" w:rsidRPr="00597CF9" w:rsidRDefault="00597CF9" w:rsidP="00597CF9">
      <w:pPr>
        <w:pStyle w:val="NoSpacing"/>
        <w:jc w:val="center"/>
        <w:rPr>
          <w:sz w:val="2"/>
        </w:rPr>
      </w:pPr>
    </w:p>
    <w:p w:rsidR="007F57A5" w:rsidRDefault="007F57A5" w:rsidP="00BA5338">
      <w:pPr>
        <w:pStyle w:val="NoSpacing"/>
      </w:pPr>
    </w:p>
    <w:tbl>
      <w:tblPr>
        <w:tblStyle w:val="TableGrid"/>
        <w:tblW w:w="0" w:type="auto"/>
        <w:tblLook w:val="04A0" w:firstRow="1" w:lastRow="0" w:firstColumn="1" w:lastColumn="0" w:noHBand="0" w:noVBand="1"/>
      </w:tblPr>
      <w:tblGrid>
        <w:gridCol w:w="2023"/>
        <w:gridCol w:w="1218"/>
        <w:gridCol w:w="1218"/>
        <w:gridCol w:w="1239"/>
        <w:gridCol w:w="1218"/>
        <w:gridCol w:w="1330"/>
        <w:gridCol w:w="1330"/>
      </w:tblGrid>
      <w:tr w:rsidR="00597CF9" w:rsidTr="00597CF9">
        <w:tc>
          <w:tcPr>
            <w:tcW w:w="2628" w:type="dxa"/>
            <w:tcBorders>
              <w:bottom w:val="single" w:sz="4" w:space="0" w:color="auto"/>
            </w:tcBorders>
            <w:shd w:val="clear" w:color="auto" w:fill="D99594" w:themeFill="accent2" w:themeFillTint="99"/>
          </w:tcPr>
          <w:p w:rsidR="00597CF9" w:rsidRPr="00597CF9" w:rsidRDefault="00597CF9" w:rsidP="007F57A5">
            <w:pPr>
              <w:pStyle w:val="NoSpacing"/>
              <w:rPr>
                <w:b/>
              </w:rPr>
            </w:pPr>
            <w:r w:rsidRPr="00597CF9">
              <w:rPr>
                <w:b/>
              </w:rPr>
              <w:t>Expenditures</w:t>
            </w:r>
          </w:p>
        </w:tc>
        <w:tc>
          <w:tcPr>
            <w:tcW w:w="1080" w:type="dxa"/>
            <w:shd w:val="clear" w:color="auto" w:fill="D99594" w:themeFill="accent2" w:themeFillTint="99"/>
            <w:vAlign w:val="center"/>
          </w:tcPr>
          <w:p w:rsidR="00597CF9" w:rsidRPr="00597CF9" w:rsidRDefault="00597CF9" w:rsidP="00597CF9">
            <w:pPr>
              <w:pStyle w:val="NoSpacing"/>
              <w:jc w:val="center"/>
              <w:rPr>
                <w:b/>
              </w:rPr>
            </w:pPr>
            <w:r w:rsidRPr="00597CF9">
              <w:rPr>
                <w:b/>
              </w:rPr>
              <w:t>2011</w:t>
            </w:r>
          </w:p>
        </w:tc>
        <w:tc>
          <w:tcPr>
            <w:tcW w:w="1170" w:type="dxa"/>
            <w:shd w:val="clear" w:color="auto" w:fill="D99594" w:themeFill="accent2" w:themeFillTint="99"/>
            <w:vAlign w:val="center"/>
          </w:tcPr>
          <w:p w:rsidR="00597CF9" w:rsidRPr="00597CF9" w:rsidRDefault="00597CF9" w:rsidP="00597CF9">
            <w:pPr>
              <w:pStyle w:val="NoSpacing"/>
              <w:jc w:val="center"/>
              <w:rPr>
                <w:b/>
              </w:rPr>
            </w:pPr>
            <w:r w:rsidRPr="00597CF9">
              <w:rPr>
                <w:b/>
              </w:rPr>
              <w:t>2012</w:t>
            </w:r>
          </w:p>
        </w:tc>
        <w:tc>
          <w:tcPr>
            <w:tcW w:w="1260" w:type="dxa"/>
            <w:shd w:val="clear" w:color="auto" w:fill="D99594" w:themeFill="accent2" w:themeFillTint="99"/>
            <w:vAlign w:val="center"/>
          </w:tcPr>
          <w:p w:rsidR="00597CF9" w:rsidRPr="00597CF9" w:rsidRDefault="00597CF9" w:rsidP="00597CF9">
            <w:pPr>
              <w:pStyle w:val="NoSpacing"/>
              <w:jc w:val="center"/>
              <w:rPr>
                <w:b/>
              </w:rPr>
            </w:pPr>
            <w:r w:rsidRPr="00597CF9">
              <w:rPr>
                <w:b/>
              </w:rPr>
              <w:t>2013</w:t>
            </w:r>
          </w:p>
        </w:tc>
        <w:tc>
          <w:tcPr>
            <w:tcW w:w="1170" w:type="dxa"/>
            <w:shd w:val="clear" w:color="auto" w:fill="D99594" w:themeFill="accent2" w:themeFillTint="99"/>
            <w:vAlign w:val="center"/>
          </w:tcPr>
          <w:p w:rsidR="00597CF9" w:rsidRPr="00597CF9" w:rsidRDefault="00597CF9" w:rsidP="00597CF9">
            <w:pPr>
              <w:pStyle w:val="NoSpacing"/>
              <w:jc w:val="center"/>
              <w:rPr>
                <w:b/>
              </w:rPr>
            </w:pPr>
            <w:r w:rsidRPr="00597CF9">
              <w:rPr>
                <w:b/>
              </w:rPr>
              <w:t>2014</w:t>
            </w:r>
          </w:p>
        </w:tc>
        <w:tc>
          <w:tcPr>
            <w:tcW w:w="1170" w:type="dxa"/>
            <w:shd w:val="clear" w:color="auto" w:fill="D99594" w:themeFill="accent2" w:themeFillTint="99"/>
            <w:vAlign w:val="center"/>
          </w:tcPr>
          <w:p w:rsidR="00597CF9" w:rsidRPr="00597CF9" w:rsidRDefault="00597CF9" w:rsidP="00597CF9">
            <w:pPr>
              <w:pStyle w:val="NoSpacing"/>
              <w:jc w:val="center"/>
              <w:rPr>
                <w:b/>
              </w:rPr>
            </w:pPr>
            <w:r w:rsidRPr="00597CF9">
              <w:rPr>
                <w:b/>
              </w:rPr>
              <w:t>2015</w:t>
            </w:r>
          </w:p>
        </w:tc>
        <w:tc>
          <w:tcPr>
            <w:tcW w:w="1098" w:type="dxa"/>
            <w:shd w:val="clear" w:color="auto" w:fill="D99594" w:themeFill="accent2" w:themeFillTint="99"/>
            <w:vAlign w:val="center"/>
          </w:tcPr>
          <w:p w:rsidR="00597CF9" w:rsidRPr="00597CF9" w:rsidRDefault="00597CF9" w:rsidP="00597CF9">
            <w:pPr>
              <w:pStyle w:val="NoSpacing"/>
              <w:jc w:val="center"/>
              <w:rPr>
                <w:b/>
              </w:rPr>
            </w:pPr>
            <w:r w:rsidRPr="00597CF9">
              <w:rPr>
                <w:b/>
              </w:rPr>
              <w:t>2016</w:t>
            </w:r>
          </w:p>
        </w:tc>
      </w:tr>
      <w:tr w:rsidR="00597CF9" w:rsidTr="00597CF9">
        <w:tc>
          <w:tcPr>
            <w:tcW w:w="2628" w:type="dxa"/>
            <w:tcBorders>
              <w:bottom w:val="nil"/>
            </w:tcBorders>
          </w:tcPr>
          <w:p w:rsidR="00597CF9" w:rsidRPr="00597CF9" w:rsidRDefault="00597CF9" w:rsidP="007F57A5">
            <w:pPr>
              <w:pStyle w:val="NoSpacing"/>
              <w:rPr>
                <w:i/>
              </w:rPr>
            </w:pPr>
            <w:r w:rsidRPr="00597CF9">
              <w:rPr>
                <w:i/>
              </w:rPr>
              <w:t>Salaries and Wages</w:t>
            </w:r>
          </w:p>
        </w:tc>
        <w:tc>
          <w:tcPr>
            <w:tcW w:w="1080" w:type="dxa"/>
            <w:vAlign w:val="center"/>
          </w:tcPr>
          <w:p w:rsidR="00597CF9" w:rsidRDefault="00597CF9" w:rsidP="00597CF9">
            <w:pPr>
              <w:pStyle w:val="NoSpacing"/>
              <w:jc w:val="right"/>
            </w:pPr>
            <w:r>
              <w:t>4,606,830</w:t>
            </w:r>
          </w:p>
        </w:tc>
        <w:tc>
          <w:tcPr>
            <w:tcW w:w="1170" w:type="dxa"/>
            <w:vAlign w:val="center"/>
          </w:tcPr>
          <w:p w:rsidR="00597CF9" w:rsidRDefault="00597CF9" w:rsidP="00597CF9">
            <w:pPr>
              <w:pStyle w:val="NoSpacing"/>
              <w:jc w:val="right"/>
            </w:pPr>
            <w:r>
              <w:t>4,811,111</w:t>
            </w:r>
          </w:p>
        </w:tc>
        <w:tc>
          <w:tcPr>
            <w:tcW w:w="1260" w:type="dxa"/>
            <w:vAlign w:val="center"/>
          </w:tcPr>
          <w:p w:rsidR="00597CF9" w:rsidRDefault="00597CF9" w:rsidP="00597CF9">
            <w:pPr>
              <w:pStyle w:val="NoSpacing"/>
              <w:jc w:val="right"/>
            </w:pPr>
            <w:r>
              <w:t>6,314,892</w:t>
            </w:r>
          </w:p>
        </w:tc>
        <w:tc>
          <w:tcPr>
            <w:tcW w:w="1170" w:type="dxa"/>
            <w:vAlign w:val="center"/>
          </w:tcPr>
          <w:p w:rsidR="00597CF9" w:rsidRDefault="00597CF9" w:rsidP="00597CF9">
            <w:pPr>
              <w:pStyle w:val="NoSpacing"/>
              <w:jc w:val="right"/>
            </w:pPr>
            <w:r>
              <w:t>5,390,746</w:t>
            </w:r>
          </w:p>
        </w:tc>
        <w:tc>
          <w:tcPr>
            <w:tcW w:w="1170" w:type="dxa"/>
            <w:vAlign w:val="center"/>
          </w:tcPr>
          <w:p w:rsidR="00597CF9" w:rsidRDefault="00597CF9" w:rsidP="00597CF9">
            <w:pPr>
              <w:pStyle w:val="NoSpacing"/>
              <w:jc w:val="right"/>
            </w:pPr>
            <w:r>
              <w:t>6,405,473</w:t>
            </w:r>
          </w:p>
        </w:tc>
        <w:tc>
          <w:tcPr>
            <w:tcW w:w="1098" w:type="dxa"/>
            <w:vAlign w:val="center"/>
          </w:tcPr>
          <w:p w:rsidR="00597CF9" w:rsidRDefault="00597CF9" w:rsidP="00597CF9">
            <w:pPr>
              <w:pStyle w:val="NoSpacing"/>
              <w:jc w:val="right"/>
            </w:pPr>
            <w:r>
              <w:t>6,564,756</w:t>
            </w:r>
          </w:p>
        </w:tc>
      </w:tr>
      <w:tr w:rsidR="00597CF9" w:rsidTr="00597CF9">
        <w:tc>
          <w:tcPr>
            <w:tcW w:w="2628" w:type="dxa"/>
            <w:tcBorders>
              <w:top w:val="nil"/>
              <w:bottom w:val="nil"/>
            </w:tcBorders>
          </w:tcPr>
          <w:p w:rsidR="00597CF9" w:rsidRPr="00597CF9" w:rsidRDefault="00597CF9" w:rsidP="007F57A5">
            <w:pPr>
              <w:pStyle w:val="NoSpacing"/>
              <w:rPr>
                <w:i/>
              </w:rPr>
            </w:pPr>
            <w:r w:rsidRPr="00597CF9">
              <w:rPr>
                <w:i/>
              </w:rPr>
              <w:t>Personnel Benefits</w:t>
            </w:r>
          </w:p>
        </w:tc>
        <w:tc>
          <w:tcPr>
            <w:tcW w:w="1080" w:type="dxa"/>
            <w:vAlign w:val="center"/>
          </w:tcPr>
          <w:p w:rsidR="00597CF9" w:rsidRDefault="00597CF9" w:rsidP="00597CF9">
            <w:pPr>
              <w:pStyle w:val="NoSpacing"/>
              <w:jc w:val="right"/>
            </w:pPr>
            <w:r>
              <w:t>925,387</w:t>
            </w:r>
          </w:p>
        </w:tc>
        <w:tc>
          <w:tcPr>
            <w:tcW w:w="1170" w:type="dxa"/>
            <w:vAlign w:val="center"/>
          </w:tcPr>
          <w:p w:rsidR="00597CF9" w:rsidRDefault="00597CF9" w:rsidP="00597CF9">
            <w:pPr>
              <w:pStyle w:val="NoSpacing"/>
              <w:jc w:val="right"/>
            </w:pPr>
            <w:r>
              <w:t>986,066</w:t>
            </w:r>
          </w:p>
        </w:tc>
        <w:tc>
          <w:tcPr>
            <w:tcW w:w="1260" w:type="dxa"/>
            <w:vAlign w:val="center"/>
          </w:tcPr>
          <w:p w:rsidR="00597CF9" w:rsidRDefault="00597CF9" w:rsidP="00597CF9">
            <w:pPr>
              <w:pStyle w:val="NoSpacing"/>
              <w:jc w:val="right"/>
            </w:pPr>
            <w:r>
              <w:t>1,321,995</w:t>
            </w:r>
          </w:p>
        </w:tc>
        <w:tc>
          <w:tcPr>
            <w:tcW w:w="1170" w:type="dxa"/>
            <w:vAlign w:val="center"/>
          </w:tcPr>
          <w:p w:rsidR="00597CF9" w:rsidRDefault="00597CF9" w:rsidP="00597CF9">
            <w:pPr>
              <w:pStyle w:val="NoSpacing"/>
              <w:jc w:val="right"/>
            </w:pPr>
            <w:r>
              <w:t>1,425,619</w:t>
            </w:r>
          </w:p>
        </w:tc>
        <w:tc>
          <w:tcPr>
            <w:tcW w:w="1170" w:type="dxa"/>
            <w:vAlign w:val="center"/>
          </w:tcPr>
          <w:p w:rsidR="00597CF9" w:rsidRDefault="00597CF9" w:rsidP="00597CF9">
            <w:pPr>
              <w:pStyle w:val="NoSpacing"/>
              <w:jc w:val="right"/>
            </w:pPr>
            <w:r>
              <w:t>1,592,826</w:t>
            </w:r>
          </w:p>
        </w:tc>
        <w:tc>
          <w:tcPr>
            <w:tcW w:w="1098" w:type="dxa"/>
            <w:vAlign w:val="center"/>
          </w:tcPr>
          <w:p w:rsidR="00597CF9" w:rsidRDefault="00597CF9" w:rsidP="00597CF9">
            <w:pPr>
              <w:pStyle w:val="NoSpacing"/>
              <w:jc w:val="right"/>
            </w:pPr>
            <w:r>
              <w:t>1,805,817</w:t>
            </w:r>
          </w:p>
        </w:tc>
      </w:tr>
      <w:tr w:rsidR="00597CF9" w:rsidTr="00597CF9">
        <w:tc>
          <w:tcPr>
            <w:tcW w:w="2628" w:type="dxa"/>
            <w:tcBorders>
              <w:top w:val="nil"/>
              <w:bottom w:val="nil"/>
            </w:tcBorders>
          </w:tcPr>
          <w:p w:rsidR="00597CF9" w:rsidRPr="00597CF9" w:rsidRDefault="00597CF9" w:rsidP="007F57A5">
            <w:pPr>
              <w:pStyle w:val="NoSpacing"/>
              <w:rPr>
                <w:i/>
              </w:rPr>
            </w:pPr>
            <w:r w:rsidRPr="00597CF9">
              <w:rPr>
                <w:i/>
              </w:rPr>
              <w:t>Supplies</w:t>
            </w:r>
          </w:p>
        </w:tc>
        <w:tc>
          <w:tcPr>
            <w:tcW w:w="1080" w:type="dxa"/>
            <w:vAlign w:val="center"/>
          </w:tcPr>
          <w:p w:rsidR="00597CF9" w:rsidRDefault="00597CF9" w:rsidP="00597CF9">
            <w:pPr>
              <w:pStyle w:val="NoSpacing"/>
              <w:jc w:val="right"/>
            </w:pPr>
            <w:r>
              <w:t>289,745</w:t>
            </w:r>
          </w:p>
        </w:tc>
        <w:tc>
          <w:tcPr>
            <w:tcW w:w="1170" w:type="dxa"/>
            <w:vAlign w:val="center"/>
          </w:tcPr>
          <w:p w:rsidR="00597CF9" w:rsidRDefault="00597CF9" w:rsidP="00597CF9">
            <w:pPr>
              <w:pStyle w:val="NoSpacing"/>
              <w:jc w:val="right"/>
            </w:pPr>
            <w:r>
              <w:t>219,574</w:t>
            </w:r>
          </w:p>
        </w:tc>
        <w:tc>
          <w:tcPr>
            <w:tcW w:w="1260" w:type="dxa"/>
            <w:vAlign w:val="center"/>
          </w:tcPr>
          <w:p w:rsidR="00597CF9" w:rsidRDefault="00597CF9" w:rsidP="00597CF9">
            <w:pPr>
              <w:pStyle w:val="NoSpacing"/>
              <w:jc w:val="right"/>
            </w:pPr>
            <w:r>
              <w:t>231,485</w:t>
            </w:r>
          </w:p>
        </w:tc>
        <w:tc>
          <w:tcPr>
            <w:tcW w:w="1170" w:type="dxa"/>
            <w:vAlign w:val="center"/>
          </w:tcPr>
          <w:p w:rsidR="00597CF9" w:rsidRDefault="00597CF9" w:rsidP="00597CF9">
            <w:pPr>
              <w:pStyle w:val="NoSpacing"/>
              <w:jc w:val="right"/>
            </w:pPr>
            <w:r>
              <w:t>252,919</w:t>
            </w:r>
          </w:p>
        </w:tc>
        <w:tc>
          <w:tcPr>
            <w:tcW w:w="1170" w:type="dxa"/>
            <w:vAlign w:val="center"/>
          </w:tcPr>
          <w:p w:rsidR="00597CF9" w:rsidRDefault="00597CF9" w:rsidP="00597CF9">
            <w:pPr>
              <w:pStyle w:val="NoSpacing"/>
              <w:jc w:val="right"/>
            </w:pPr>
            <w:r>
              <w:t>376,584</w:t>
            </w:r>
          </w:p>
        </w:tc>
        <w:tc>
          <w:tcPr>
            <w:tcW w:w="1098" w:type="dxa"/>
            <w:vAlign w:val="center"/>
          </w:tcPr>
          <w:p w:rsidR="00597CF9" w:rsidRDefault="00597CF9" w:rsidP="00597CF9">
            <w:pPr>
              <w:pStyle w:val="NoSpacing"/>
              <w:jc w:val="right"/>
            </w:pPr>
            <w:r>
              <w:t>417,062</w:t>
            </w:r>
          </w:p>
        </w:tc>
      </w:tr>
      <w:tr w:rsidR="00597CF9" w:rsidTr="00597CF9">
        <w:tc>
          <w:tcPr>
            <w:tcW w:w="2628" w:type="dxa"/>
            <w:tcBorders>
              <w:top w:val="nil"/>
              <w:bottom w:val="nil"/>
            </w:tcBorders>
          </w:tcPr>
          <w:p w:rsidR="00597CF9" w:rsidRPr="00597CF9" w:rsidRDefault="00597CF9" w:rsidP="007F57A5">
            <w:pPr>
              <w:pStyle w:val="NoSpacing"/>
              <w:rPr>
                <w:i/>
              </w:rPr>
            </w:pPr>
            <w:r>
              <w:rPr>
                <w:i/>
              </w:rPr>
              <w:t>Other Srv</w:t>
            </w:r>
            <w:r w:rsidRPr="00597CF9">
              <w:rPr>
                <w:i/>
              </w:rPr>
              <w:t>s/Charges</w:t>
            </w:r>
          </w:p>
        </w:tc>
        <w:tc>
          <w:tcPr>
            <w:tcW w:w="1080" w:type="dxa"/>
            <w:vAlign w:val="center"/>
          </w:tcPr>
          <w:p w:rsidR="00597CF9" w:rsidRDefault="00597CF9" w:rsidP="00597CF9">
            <w:pPr>
              <w:pStyle w:val="NoSpacing"/>
              <w:jc w:val="right"/>
            </w:pPr>
            <w:r>
              <w:t>1,138,045</w:t>
            </w:r>
          </w:p>
        </w:tc>
        <w:tc>
          <w:tcPr>
            <w:tcW w:w="1170" w:type="dxa"/>
            <w:vAlign w:val="center"/>
          </w:tcPr>
          <w:p w:rsidR="00597CF9" w:rsidRDefault="00597CF9" w:rsidP="00597CF9">
            <w:pPr>
              <w:pStyle w:val="NoSpacing"/>
              <w:jc w:val="right"/>
            </w:pPr>
            <w:r>
              <w:t>1,575,413</w:t>
            </w:r>
          </w:p>
        </w:tc>
        <w:tc>
          <w:tcPr>
            <w:tcW w:w="1260" w:type="dxa"/>
            <w:vAlign w:val="center"/>
          </w:tcPr>
          <w:p w:rsidR="00597CF9" w:rsidRDefault="00597CF9" w:rsidP="00597CF9">
            <w:pPr>
              <w:pStyle w:val="NoSpacing"/>
              <w:jc w:val="right"/>
            </w:pPr>
            <w:r>
              <w:t>1,478,011</w:t>
            </w:r>
          </w:p>
        </w:tc>
        <w:tc>
          <w:tcPr>
            <w:tcW w:w="1170" w:type="dxa"/>
            <w:vAlign w:val="center"/>
          </w:tcPr>
          <w:p w:rsidR="00597CF9" w:rsidRDefault="00597CF9" w:rsidP="00597CF9">
            <w:pPr>
              <w:pStyle w:val="NoSpacing"/>
              <w:jc w:val="right"/>
            </w:pPr>
            <w:r>
              <w:t>1,620,423</w:t>
            </w:r>
          </w:p>
        </w:tc>
        <w:tc>
          <w:tcPr>
            <w:tcW w:w="1170" w:type="dxa"/>
            <w:vAlign w:val="center"/>
          </w:tcPr>
          <w:p w:rsidR="00597CF9" w:rsidRDefault="00597CF9" w:rsidP="00597CF9">
            <w:pPr>
              <w:pStyle w:val="NoSpacing"/>
              <w:jc w:val="right"/>
            </w:pPr>
            <w:r>
              <w:t>1,900,689</w:t>
            </w:r>
          </w:p>
        </w:tc>
        <w:tc>
          <w:tcPr>
            <w:tcW w:w="1098" w:type="dxa"/>
            <w:vAlign w:val="center"/>
          </w:tcPr>
          <w:p w:rsidR="00597CF9" w:rsidRDefault="00597CF9" w:rsidP="00597CF9">
            <w:pPr>
              <w:pStyle w:val="NoSpacing"/>
              <w:jc w:val="right"/>
            </w:pPr>
            <w:r>
              <w:t>2,247,763</w:t>
            </w:r>
          </w:p>
        </w:tc>
      </w:tr>
      <w:tr w:rsidR="00597CF9" w:rsidTr="00597CF9">
        <w:tc>
          <w:tcPr>
            <w:tcW w:w="2628" w:type="dxa"/>
            <w:tcBorders>
              <w:top w:val="nil"/>
              <w:bottom w:val="nil"/>
            </w:tcBorders>
          </w:tcPr>
          <w:p w:rsidR="00597CF9" w:rsidRPr="00597CF9" w:rsidRDefault="00597CF9" w:rsidP="007F57A5">
            <w:pPr>
              <w:pStyle w:val="NoSpacing"/>
              <w:rPr>
                <w:i/>
              </w:rPr>
            </w:pPr>
            <w:r w:rsidRPr="00597CF9">
              <w:rPr>
                <w:i/>
              </w:rPr>
              <w:t>Interfund Transfers</w:t>
            </w:r>
          </w:p>
        </w:tc>
        <w:tc>
          <w:tcPr>
            <w:tcW w:w="1080" w:type="dxa"/>
            <w:vAlign w:val="center"/>
          </w:tcPr>
          <w:p w:rsidR="00597CF9" w:rsidRDefault="00597CF9" w:rsidP="00597CF9">
            <w:pPr>
              <w:pStyle w:val="NoSpacing"/>
              <w:jc w:val="right"/>
            </w:pPr>
            <w:r>
              <w:t>0</w:t>
            </w:r>
          </w:p>
        </w:tc>
        <w:tc>
          <w:tcPr>
            <w:tcW w:w="1170" w:type="dxa"/>
            <w:vAlign w:val="center"/>
          </w:tcPr>
          <w:p w:rsidR="00597CF9" w:rsidRDefault="00597CF9" w:rsidP="00597CF9">
            <w:pPr>
              <w:pStyle w:val="NoSpacing"/>
              <w:jc w:val="right"/>
            </w:pPr>
            <w:r>
              <w:t>132,680</w:t>
            </w:r>
          </w:p>
        </w:tc>
        <w:tc>
          <w:tcPr>
            <w:tcW w:w="1260" w:type="dxa"/>
            <w:vAlign w:val="center"/>
          </w:tcPr>
          <w:p w:rsidR="00597CF9" w:rsidRDefault="00597CF9" w:rsidP="00597CF9">
            <w:pPr>
              <w:pStyle w:val="NoSpacing"/>
              <w:jc w:val="right"/>
            </w:pPr>
            <w:r>
              <w:t>1,268</w:t>
            </w:r>
          </w:p>
        </w:tc>
        <w:tc>
          <w:tcPr>
            <w:tcW w:w="1170" w:type="dxa"/>
            <w:vAlign w:val="center"/>
          </w:tcPr>
          <w:p w:rsidR="00597CF9" w:rsidRDefault="00597CF9" w:rsidP="00597CF9">
            <w:pPr>
              <w:pStyle w:val="NoSpacing"/>
              <w:jc w:val="right"/>
            </w:pPr>
            <w:r>
              <w:t>88,200</w:t>
            </w:r>
          </w:p>
        </w:tc>
        <w:tc>
          <w:tcPr>
            <w:tcW w:w="1170" w:type="dxa"/>
            <w:vAlign w:val="center"/>
          </w:tcPr>
          <w:p w:rsidR="00597CF9" w:rsidRDefault="00597CF9" w:rsidP="00597CF9">
            <w:pPr>
              <w:pStyle w:val="NoSpacing"/>
              <w:jc w:val="right"/>
            </w:pPr>
            <w:r>
              <w:t>0</w:t>
            </w:r>
          </w:p>
        </w:tc>
        <w:tc>
          <w:tcPr>
            <w:tcW w:w="1098" w:type="dxa"/>
            <w:vAlign w:val="center"/>
          </w:tcPr>
          <w:p w:rsidR="00597CF9" w:rsidRDefault="00597CF9" w:rsidP="00597CF9">
            <w:pPr>
              <w:pStyle w:val="NoSpacing"/>
              <w:jc w:val="right"/>
            </w:pPr>
            <w:r>
              <w:t>0</w:t>
            </w:r>
          </w:p>
        </w:tc>
      </w:tr>
      <w:tr w:rsidR="00597CF9" w:rsidTr="00597CF9">
        <w:tc>
          <w:tcPr>
            <w:tcW w:w="2628" w:type="dxa"/>
            <w:tcBorders>
              <w:top w:val="nil"/>
              <w:bottom w:val="nil"/>
            </w:tcBorders>
          </w:tcPr>
          <w:p w:rsidR="00597CF9" w:rsidRPr="00597CF9" w:rsidRDefault="00597CF9" w:rsidP="007F57A5">
            <w:pPr>
              <w:pStyle w:val="NoSpacing"/>
              <w:rPr>
                <w:i/>
              </w:rPr>
            </w:pPr>
            <w:r w:rsidRPr="00597CF9">
              <w:rPr>
                <w:i/>
              </w:rPr>
              <w:t>Capital Outlay</w:t>
            </w:r>
          </w:p>
        </w:tc>
        <w:tc>
          <w:tcPr>
            <w:tcW w:w="1080" w:type="dxa"/>
            <w:vAlign w:val="center"/>
          </w:tcPr>
          <w:p w:rsidR="00597CF9" w:rsidRDefault="00597CF9" w:rsidP="00597CF9">
            <w:pPr>
              <w:pStyle w:val="NoSpacing"/>
              <w:jc w:val="right"/>
            </w:pPr>
            <w:r>
              <w:t>7,535</w:t>
            </w:r>
          </w:p>
        </w:tc>
        <w:tc>
          <w:tcPr>
            <w:tcW w:w="1170" w:type="dxa"/>
            <w:vAlign w:val="center"/>
          </w:tcPr>
          <w:p w:rsidR="00597CF9" w:rsidRDefault="00597CF9" w:rsidP="00597CF9">
            <w:pPr>
              <w:pStyle w:val="NoSpacing"/>
              <w:jc w:val="right"/>
            </w:pPr>
            <w:r>
              <w:t>50,568</w:t>
            </w:r>
          </w:p>
        </w:tc>
        <w:tc>
          <w:tcPr>
            <w:tcW w:w="1260" w:type="dxa"/>
            <w:vAlign w:val="center"/>
          </w:tcPr>
          <w:p w:rsidR="00597CF9" w:rsidRDefault="00597CF9" w:rsidP="00597CF9">
            <w:pPr>
              <w:pStyle w:val="NoSpacing"/>
              <w:jc w:val="right"/>
            </w:pPr>
            <w:r>
              <w:t>0</w:t>
            </w:r>
          </w:p>
        </w:tc>
        <w:tc>
          <w:tcPr>
            <w:tcW w:w="1170" w:type="dxa"/>
            <w:vAlign w:val="center"/>
          </w:tcPr>
          <w:p w:rsidR="00597CF9" w:rsidRDefault="00597CF9" w:rsidP="00597CF9">
            <w:pPr>
              <w:pStyle w:val="NoSpacing"/>
              <w:jc w:val="right"/>
            </w:pPr>
            <w:r>
              <w:t>71,150</w:t>
            </w:r>
          </w:p>
        </w:tc>
        <w:tc>
          <w:tcPr>
            <w:tcW w:w="1170" w:type="dxa"/>
            <w:vAlign w:val="center"/>
          </w:tcPr>
          <w:p w:rsidR="00597CF9" w:rsidRDefault="00597CF9" w:rsidP="00597CF9">
            <w:pPr>
              <w:pStyle w:val="NoSpacing"/>
              <w:jc w:val="right"/>
            </w:pPr>
            <w:r>
              <w:t>60,374</w:t>
            </w:r>
          </w:p>
        </w:tc>
        <w:tc>
          <w:tcPr>
            <w:tcW w:w="1098" w:type="dxa"/>
            <w:vAlign w:val="center"/>
          </w:tcPr>
          <w:p w:rsidR="00597CF9" w:rsidRDefault="00597CF9" w:rsidP="00597CF9">
            <w:pPr>
              <w:pStyle w:val="NoSpacing"/>
              <w:jc w:val="right"/>
            </w:pPr>
            <w:r>
              <w:t>127,500</w:t>
            </w:r>
          </w:p>
        </w:tc>
      </w:tr>
      <w:tr w:rsidR="00597CF9" w:rsidTr="00597CF9">
        <w:tc>
          <w:tcPr>
            <w:tcW w:w="2628" w:type="dxa"/>
            <w:tcBorders>
              <w:top w:val="nil"/>
              <w:bottom w:val="single" w:sz="4" w:space="0" w:color="auto"/>
            </w:tcBorders>
          </w:tcPr>
          <w:p w:rsidR="00597CF9" w:rsidRPr="00597CF9" w:rsidRDefault="00597CF9" w:rsidP="007F57A5">
            <w:pPr>
              <w:pStyle w:val="NoSpacing"/>
              <w:rPr>
                <w:i/>
              </w:rPr>
            </w:pPr>
            <w:r w:rsidRPr="00597CF9">
              <w:rPr>
                <w:i/>
              </w:rPr>
              <w:t>Debt Service</w:t>
            </w:r>
          </w:p>
        </w:tc>
        <w:tc>
          <w:tcPr>
            <w:tcW w:w="1080" w:type="dxa"/>
            <w:vAlign w:val="center"/>
          </w:tcPr>
          <w:p w:rsidR="00597CF9" w:rsidRDefault="00597CF9" w:rsidP="00597CF9">
            <w:pPr>
              <w:pStyle w:val="NoSpacing"/>
              <w:jc w:val="right"/>
            </w:pPr>
            <w:r>
              <w:t>0</w:t>
            </w:r>
          </w:p>
        </w:tc>
        <w:tc>
          <w:tcPr>
            <w:tcW w:w="1170" w:type="dxa"/>
            <w:vAlign w:val="center"/>
          </w:tcPr>
          <w:p w:rsidR="00597CF9" w:rsidRDefault="00597CF9" w:rsidP="00597CF9">
            <w:pPr>
              <w:pStyle w:val="NoSpacing"/>
              <w:jc w:val="right"/>
            </w:pPr>
            <w:r>
              <w:t>0</w:t>
            </w:r>
          </w:p>
        </w:tc>
        <w:tc>
          <w:tcPr>
            <w:tcW w:w="1260" w:type="dxa"/>
            <w:vAlign w:val="center"/>
          </w:tcPr>
          <w:p w:rsidR="00597CF9" w:rsidRDefault="00597CF9" w:rsidP="00597CF9">
            <w:pPr>
              <w:pStyle w:val="NoSpacing"/>
              <w:jc w:val="right"/>
            </w:pPr>
            <w:r>
              <w:t>48,000</w:t>
            </w:r>
          </w:p>
        </w:tc>
        <w:tc>
          <w:tcPr>
            <w:tcW w:w="1170" w:type="dxa"/>
            <w:vAlign w:val="center"/>
          </w:tcPr>
          <w:p w:rsidR="00597CF9" w:rsidRDefault="00597CF9" w:rsidP="00597CF9">
            <w:pPr>
              <w:pStyle w:val="NoSpacing"/>
              <w:jc w:val="right"/>
            </w:pPr>
            <w:r>
              <w:t>0</w:t>
            </w:r>
          </w:p>
        </w:tc>
        <w:tc>
          <w:tcPr>
            <w:tcW w:w="1170" w:type="dxa"/>
            <w:vAlign w:val="center"/>
          </w:tcPr>
          <w:p w:rsidR="00597CF9" w:rsidRDefault="00597CF9" w:rsidP="00597CF9">
            <w:pPr>
              <w:pStyle w:val="NoSpacing"/>
              <w:jc w:val="right"/>
            </w:pPr>
            <w:r>
              <w:t>0</w:t>
            </w:r>
          </w:p>
        </w:tc>
        <w:tc>
          <w:tcPr>
            <w:tcW w:w="1098" w:type="dxa"/>
            <w:vAlign w:val="center"/>
          </w:tcPr>
          <w:p w:rsidR="00597CF9" w:rsidRDefault="00597CF9" w:rsidP="00597CF9">
            <w:pPr>
              <w:pStyle w:val="NoSpacing"/>
              <w:jc w:val="right"/>
            </w:pPr>
            <w:r>
              <w:t>0</w:t>
            </w:r>
          </w:p>
        </w:tc>
      </w:tr>
      <w:tr w:rsidR="00597CF9" w:rsidTr="00597CF9">
        <w:tc>
          <w:tcPr>
            <w:tcW w:w="2628" w:type="dxa"/>
            <w:tcBorders>
              <w:top w:val="single" w:sz="4" w:space="0" w:color="auto"/>
              <w:bottom w:val="single" w:sz="4" w:space="0" w:color="auto"/>
            </w:tcBorders>
            <w:shd w:val="clear" w:color="auto" w:fill="76923C" w:themeFill="accent3" w:themeFillShade="BF"/>
          </w:tcPr>
          <w:p w:rsidR="00597CF9" w:rsidRDefault="00597CF9" w:rsidP="007F57A5">
            <w:pPr>
              <w:pStyle w:val="NoSpacing"/>
            </w:pPr>
            <w:r>
              <w:t>Total Expenditures</w:t>
            </w:r>
          </w:p>
        </w:tc>
        <w:tc>
          <w:tcPr>
            <w:tcW w:w="1080" w:type="dxa"/>
            <w:shd w:val="clear" w:color="auto" w:fill="76923C" w:themeFill="accent3" w:themeFillShade="BF"/>
            <w:vAlign w:val="center"/>
          </w:tcPr>
          <w:p w:rsidR="00597CF9" w:rsidRDefault="00597CF9" w:rsidP="00597CF9">
            <w:pPr>
              <w:pStyle w:val="NoSpacing"/>
              <w:jc w:val="right"/>
            </w:pPr>
            <w:r>
              <w:t>$6,967,542</w:t>
            </w:r>
          </w:p>
        </w:tc>
        <w:tc>
          <w:tcPr>
            <w:tcW w:w="1170" w:type="dxa"/>
            <w:shd w:val="clear" w:color="auto" w:fill="76923C" w:themeFill="accent3" w:themeFillShade="BF"/>
            <w:vAlign w:val="center"/>
          </w:tcPr>
          <w:p w:rsidR="00597CF9" w:rsidRDefault="00597CF9" w:rsidP="00597CF9">
            <w:pPr>
              <w:pStyle w:val="NoSpacing"/>
              <w:jc w:val="right"/>
            </w:pPr>
            <w:r>
              <w:t>$7,775,412</w:t>
            </w:r>
          </w:p>
        </w:tc>
        <w:tc>
          <w:tcPr>
            <w:tcW w:w="1260" w:type="dxa"/>
            <w:shd w:val="clear" w:color="auto" w:fill="76923C" w:themeFill="accent3" w:themeFillShade="BF"/>
            <w:vAlign w:val="center"/>
          </w:tcPr>
          <w:p w:rsidR="00597CF9" w:rsidRDefault="00597CF9" w:rsidP="00597CF9">
            <w:pPr>
              <w:pStyle w:val="NoSpacing"/>
              <w:jc w:val="right"/>
            </w:pPr>
            <w:r>
              <w:t>$9,395,651</w:t>
            </w:r>
          </w:p>
        </w:tc>
        <w:tc>
          <w:tcPr>
            <w:tcW w:w="1170" w:type="dxa"/>
            <w:shd w:val="clear" w:color="auto" w:fill="76923C" w:themeFill="accent3" w:themeFillShade="BF"/>
            <w:vAlign w:val="center"/>
          </w:tcPr>
          <w:p w:rsidR="00597CF9" w:rsidRDefault="00597CF9" w:rsidP="00597CF9">
            <w:pPr>
              <w:pStyle w:val="NoSpacing"/>
              <w:jc w:val="right"/>
            </w:pPr>
            <w:r>
              <w:t>$8,849,057</w:t>
            </w:r>
          </w:p>
        </w:tc>
        <w:tc>
          <w:tcPr>
            <w:tcW w:w="1170" w:type="dxa"/>
            <w:shd w:val="clear" w:color="auto" w:fill="76923C" w:themeFill="accent3" w:themeFillShade="BF"/>
            <w:vAlign w:val="center"/>
          </w:tcPr>
          <w:p w:rsidR="00597CF9" w:rsidRDefault="00597CF9" w:rsidP="00597CF9">
            <w:pPr>
              <w:pStyle w:val="NoSpacing"/>
              <w:jc w:val="right"/>
            </w:pPr>
            <w:r>
              <w:t>$10,335,946</w:t>
            </w:r>
          </w:p>
        </w:tc>
        <w:tc>
          <w:tcPr>
            <w:tcW w:w="1098" w:type="dxa"/>
            <w:shd w:val="clear" w:color="auto" w:fill="76923C" w:themeFill="accent3" w:themeFillShade="BF"/>
            <w:vAlign w:val="center"/>
          </w:tcPr>
          <w:p w:rsidR="00597CF9" w:rsidRDefault="00597CF9" w:rsidP="00597CF9">
            <w:pPr>
              <w:pStyle w:val="NoSpacing"/>
              <w:jc w:val="right"/>
            </w:pPr>
            <w:r>
              <w:t>$11,162,898</w:t>
            </w:r>
          </w:p>
        </w:tc>
      </w:tr>
    </w:tbl>
    <w:p w:rsidR="003E35D3" w:rsidRDefault="003E35D3" w:rsidP="00421505">
      <w:pPr>
        <w:pStyle w:val="NoSpacing"/>
        <w:jc w:val="center"/>
      </w:pPr>
    </w:p>
    <w:p w:rsidR="003E35D3" w:rsidRPr="00BA2BA5" w:rsidRDefault="00312525" w:rsidP="007A05B3">
      <w:pPr>
        <w:pStyle w:val="NoSpacing"/>
        <w:spacing w:after="200"/>
        <w:contextualSpacing/>
        <w:jc w:val="both"/>
        <w:rPr>
          <w:rFonts w:ascii="Bookman Old Style" w:hAnsi="Bookman Old Style"/>
        </w:rPr>
      </w:pPr>
      <w:r w:rsidRPr="00BA2BA5">
        <w:rPr>
          <w:rFonts w:ascii="Bookman Old Style" w:hAnsi="Bookman Old Style"/>
        </w:rPr>
        <w:t>In 2015, t</w:t>
      </w:r>
      <w:r w:rsidR="003E35D3" w:rsidRPr="00BA2BA5">
        <w:rPr>
          <w:rFonts w:ascii="Bookman Old Style" w:hAnsi="Bookman Old Style"/>
        </w:rPr>
        <w:t xml:space="preserve">he Pasco Fire Department responded to </w:t>
      </w:r>
      <w:r w:rsidRPr="00BA2BA5">
        <w:rPr>
          <w:rFonts w:ascii="Bookman Old Style" w:hAnsi="Bookman Old Style"/>
        </w:rPr>
        <w:t xml:space="preserve">276 fires or roughly </w:t>
      </w:r>
      <w:r w:rsidR="003E35D3" w:rsidRPr="00BA2BA5">
        <w:rPr>
          <w:rFonts w:ascii="Bookman Old Style" w:hAnsi="Bookman Old Style"/>
        </w:rPr>
        <w:t>four fires per 1,000 population served, the occurrence of fires in the PFD service area is double the regional median.</w:t>
      </w:r>
      <w:r w:rsidR="00706B04" w:rsidRPr="00BA2BA5">
        <w:rPr>
          <w:rFonts w:ascii="Bookman Old Style" w:hAnsi="Bookman Old Style"/>
        </w:rPr>
        <w:t xml:space="preserve">  The following table depicts the number of calls</w:t>
      </w:r>
      <w:r w:rsidR="0089617F" w:rsidRPr="00BA2BA5">
        <w:rPr>
          <w:rFonts w:ascii="Bookman Old Style" w:hAnsi="Bookman Old Style"/>
        </w:rPr>
        <w:t xml:space="preserve"> serviced by the PFD</w:t>
      </w:r>
      <w:r w:rsidR="00706B04" w:rsidRPr="00BA2BA5">
        <w:rPr>
          <w:rFonts w:ascii="Bookman Old Style" w:hAnsi="Bookman Old Style"/>
        </w:rPr>
        <w:t xml:space="preserve"> per event type as defined by the National Fire Protection Association (NFPA) for the situation found upon arrival of emergency responders.</w:t>
      </w:r>
    </w:p>
    <w:p w:rsidR="00B26427" w:rsidRPr="00BA2BA5" w:rsidRDefault="00B26427" w:rsidP="003E35D3">
      <w:pPr>
        <w:pStyle w:val="NoSpacing"/>
        <w:rPr>
          <w:rFonts w:ascii="Bookman Old Style" w:hAnsi="Bookman Old Style"/>
        </w:rPr>
      </w:pPr>
    </w:p>
    <w:p w:rsidR="003D1199" w:rsidRDefault="00DB2859" w:rsidP="00460C40">
      <w:pPr>
        <w:pStyle w:val="NoSpacing"/>
        <w:jc w:val="center"/>
      </w:pPr>
      <w:r w:rsidRPr="00DB2859">
        <w:rPr>
          <w:noProof/>
        </w:rPr>
        <w:drawing>
          <wp:inline distT="0" distB="0" distL="0" distR="0" wp14:anchorId="1160D8F0" wp14:editId="4B6F1CBE">
            <wp:extent cx="4760068" cy="2925284"/>
            <wp:effectExtent l="0" t="0" r="2540" b="889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756" cy="2926936"/>
                    </a:xfrm>
                    <a:prstGeom prst="rect">
                      <a:avLst/>
                    </a:prstGeom>
                    <a:noFill/>
                    <a:ln>
                      <a:noFill/>
                    </a:ln>
                  </pic:spPr>
                </pic:pic>
              </a:graphicData>
            </a:graphic>
          </wp:inline>
        </w:drawing>
      </w:r>
    </w:p>
    <w:p w:rsidR="00503B63" w:rsidRDefault="00503B63" w:rsidP="007A05B3">
      <w:pPr>
        <w:pStyle w:val="NoSpacing"/>
        <w:spacing w:after="200"/>
        <w:contextualSpacing/>
        <w:jc w:val="both"/>
        <w:rPr>
          <w:rFonts w:ascii="Bookman Old Style" w:hAnsi="Bookman Old Style"/>
        </w:rPr>
      </w:pPr>
    </w:p>
    <w:p w:rsidR="00421505" w:rsidRDefault="003E35D3" w:rsidP="007A05B3">
      <w:pPr>
        <w:pStyle w:val="NoSpacing"/>
        <w:spacing w:after="200"/>
        <w:contextualSpacing/>
        <w:jc w:val="both"/>
        <w:rPr>
          <w:rFonts w:ascii="Bookman Old Style" w:hAnsi="Bookman Old Style"/>
        </w:rPr>
      </w:pPr>
      <w:r w:rsidRPr="00BA2BA5">
        <w:rPr>
          <w:rFonts w:ascii="Bookman Old Style" w:hAnsi="Bookman Old Style"/>
        </w:rPr>
        <w:t xml:space="preserve">The breakdown of </w:t>
      </w:r>
      <w:r w:rsidR="00CE4581" w:rsidRPr="00BA2BA5">
        <w:rPr>
          <w:rFonts w:ascii="Bookman Old Style" w:hAnsi="Bookman Old Style"/>
        </w:rPr>
        <w:t xml:space="preserve">the </w:t>
      </w:r>
      <w:r w:rsidRPr="00BA2BA5">
        <w:rPr>
          <w:rFonts w:ascii="Bookman Old Style" w:hAnsi="Bookman Old Style"/>
        </w:rPr>
        <w:t>major incident types</w:t>
      </w:r>
      <w:r w:rsidR="00BA7F74" w:rsidRPr="00BA2BA5">
        <w:rPr>
          <w:rFonts w:ascii="Bookman Old Style" w:hAnsi="Bookman Old Style"/>
        </w:rPr>
        <w:t xml:space="preserve"> report is relatively typical in that the percentages and types of calls that the Pasco Fire Department responds </w:t>
      </w:r>
      <w:r w:rsidR="00CE4581" w:rsidRPr="00BA2BA5">
        <w:rPr>
          <w:rFonts w:ascii="Bookman Old Style" w:hAnsi="Bookman Old Style"/>
        </w:rPr>
        <w:t xml:space="preserve">to </w:t>
      </w:r>
      <w:r w:rsidR="00BA7F74" w:rsidRPr="00BA2BA5">
        <w:rPr>
          <w:rFonts w:ascii="Bookman Old Style" w:hAnsi="Bookman Old Style"/>
        </w:rPr>
        <w:t xml:space="preserve">is consistent with regional and national metrics.  What is atypical in the case of the City of Pasco is the volume of calls per 1,000 </w:t>
      </w:r>
      <w:r w:rsidR="00D13ACE" w:rsidRPr="00BA2BA5">
        <w:rPr>
          <w:rFonts w:ascii="Bookman Old Style" w:hAnsi="Bookman Old Style"/>
        </w:rPr>
        <w:t>populations</w:t>
      </w:r>
      <w:r w:rsidR="00BA7F74" w:rsidRPr="00BA2BA5">
        <w:rPr>
          <w:rFonts w:ascii="Bookman Old Style" w:hAnsi="Bookman Old Style"/>
        </w:rPr>
        <w:t xml:space="preserve"> as </w:t>
      </w:r>
      <w:r w:rsidR="003946A8" w:rsidRPr="00BA2BA5">
        <w:rPr>
          <w:rFonts w:ascii="Bookman Old Style" w:hAnsi="Bookman Old Style"/>
        </w:rPr>
        <w:t xml:space="preserve">compared to regional medians.  </w:t>
      </w:r>
      <w:r w:rsidR="00CE4581" w:rsidRPr="00BA2BA5">
        <w:rPr>
          <w:rFonts w:ascii="Bookman Old Style" w:hAnsi="Bookman Old Style"/>
        </w:rPr>
        <w:t>Further, at 4</w:t>
      </w:r>
      <w:r w:rsidR="00D71424" w:rsidRPr="00BA2BA5">
        <w:rPr>
          <w:rFonts w:ascii="Bookman Old Style" w:hAnsi="Bookman Old Style"/>
        </w:rPr>
        <w:t xml:space="preserve"> fires per 1,000 </w:t>
      </w:r>
      <w:r w:rsidR="00D13ACE" w:rsidRPr="00BA2BA5">
        <w:rPr>
          <w:rFonts w:ascii="Bookman Old Style" w:hAnsi="Bookman Old Style"/>
        </w:rPr>
        <w:t>populations</w:t>
      </w:r>
      <w:r w:rsidR="00D71424" w:rsidRPr="00BA2BA5">
        <w:rPr>
          <w:rFonts w:ascii="Bookman Old Style" w:hAnsi="Bookman Old Style"/>
        </w:rPr>
        <w:t xml:space="preserve"> served, the number of fire responses to which the Pasco Fire Department responds is nearly double the regional median. </w:t>
      </w:r>
      <w:r w:rsidR="003946A8" w:rsidRPr="00BA2BA5">
        <w:rPr>
          <w:rFonts w:ascii="Bookman Old Style" w:hAnsi="Bookman Old Style"/>
        </w:rPr>
        <w:t xml:space="preserve">As indicated by the chart below, Pasco Fire responds to 9% more calls per 1,000 </w:t>
      </w:r>
      <w:r w:rsidR="00D13ACE" w:rsidRPr="00BA2BA5">
        <w:rPr>
          <w:rFonts w:ascii="Bookman Old Style" w:hAnsi="Bookman Old Style"/>
        </w:rPr>
        <w:t>populations</w:t>
      </w:r>
      <w:r w:rsidR="003946A8" w:rsidRPr="00BA2BA5">
        <w:rPr>
          <w:rFonts w:ascii="Bookman Old Style" w:hAnsi="Bookman Old Style"/>
        </w:rPr>
        <w:t xml:space="preserve"> than the regional median.</w:t>
      </w:r>
    </w:p>
    <w:p w:rsidR="006D065B" w:rsidRDefault="006D065B" w:rsidP="007A05B3">
      <w:pPr>
        <w:pStyle w:val="NoSpacing"/>
        <w:spacing w:after="200"/>
        <w:contextualSpacing/>
        <w:jc w:val="both"/>
        <w:rPr>
          <w:rFonts w:ascii="Bookman Old Style" w:hAnsi="Bookman Old Style"/>
        </w:rPr>
      </w:pPr>
    </w:p>
    <w:p w:rsidR="006D065B" w:rsidRPr="003746A2" w:rsidRDefault="006D065B" w:rsidP="006D065B">
      <w:pPr>
        <w:pStyle w:val="Heading1"/>
        <w:rPr>
          <w:i/>
          <w:color w:val="auto"/>
          <w:sz w:val="24"/>
          <w:szCs w:val="24"/>
        </w:rPr>
      </w:pPr>
      <w:bookmarkStart w:id="26" w:name="_Toc475003851"/>
      <w:r w:rsidRPr="003746A2">
        <w:rPr>
          <w:i/>
          <w:color w:val="auto"/>
          <w:sz w:val="24"/>
          <w:szCs w:val="24"/>
        </w:rPr>
        <w:lastRenderedPageBreak/>
        <w:t>Section IV</w:t>
      </w:r>
    </w:p>
    <w:p w:rsidR="006D065B" w:rsidRDefault="006D065B" w:rsidP="006D065B">
      <w:pPr>
        <w:pStyle w:val="Heading2"/>
        <w:spacing w:before="0" w:after="200" w:line="240" w:lineRule="auto"/>
        <w:contextualSpacing/>
        <w:rPr>
          <w:i/>
          <w:color w:val="auto"/>
          <w:sz w:val="24"/>
          <w:szCs w:val="24"/>
        </w:rPr>
      </w:pPr>
      <w:bookmarkStart w:id="27" w:name="_Toc474159554"/>
      <w:bookmarkStart w:id="28" w:name="_Toc475003852"/>
      <w:r w:rsidRPr="003746A2">
        <w:rPr>
          <w:i/>
          <w:color w:val="auto"/>
          <w:sz w:val="24"/>
          <w:szCs w:val="24"/>
        </w:rPr>
        <w:t>Response Statistics</w:t>
      </w:r>
      <w:bookmarkEnd w:id="26"/>
      <w:bookmarkEnd w:id="27"/>
      <w:bookmarkEnd w:id="28"/>
    </w:p>
    <w:p w:rsidR="006D065B" w:rsidRDefault="006D065B" w:rsidP="006D065B">
      <w:pPr>
        <w:pStyle w:val="Heading2"/>
        <w:spacing w:before="0" w:after="200" w:line="240" w:lineRule="auto"/>
        <w:contextualSpacing/>
        <w:rPr>
          <w:i/>
          <w:color w:val="auto"/>
          <w:sz w:val="24"/>
          <w:szCs w:val="24"/>
        </w:rPr>
      </w:pPr>
    </w:p>
    <w:p w:rsidR="006D065B" w:rsidRPr="00202AB4" w:rsidRDefault="006D065B" w:rsidP="006D065B">
      <w:pPr>
        <w:pStyle w:val="Heading2"/>
        <w:spacing w:before="0" w:after="200" w:line="240" w:lineRule="auto"/>
        <w:contextualSpacing/>
        <w:jc w:val="both"/>
        <w:rPr>
          <w:b w:val="0"/>
          <w:i/>
          <w:color w:val="auto"/>
          <w:sz w:val="22"/>
          <w:szCs w:val="22"/>
        </w:rPr>
      </w:pPr>
      <w:r w:rsidRPr="00202AB4">
        <w:rPr>
          <w:rFonts w:ascii="Bookman Old Style" w:hAnsi="Bookman Old Style"/>
          <w:b w:val="0"/>
          <w:color w:val="auto"/>
          <w:sz w:val="22"/>
          <w:szCs w:val="22"/>
        </w:rPr>
        <w:t>The Master Plan study conducted by ESCI compared the Pasco Fire Department to similar sized fire agencies within the 13 western states using the NFPA benchmark data for 2015.  The conclusion reached by ESCI is that the Pasco Fire Department is a “very busy” primarily suburban fire department. The chart below indicates the breakdown of major incident types for 2015.</w:t>
      </w:r>
    </w:p>
    <w:p w:rsidR="006D065B" w:rsidRDefault="006D065B" w:rsidP="009F09D1">
      <w:pPr>
        <w:pStyle w:val="NoSpacing"/>
      </w:pPr>
    </w:p>
    <w:p w:rsidR="006D065B" w:rsidRPr="003C11BF" w:rsidRDefault="006D065B" w:rsidP="006D065B">
      <w:pPr>
        <w:pStyle w:val="NoSpacing"/>
        <w:jc w:val="center"/>
      </w:pPr>
      <w:r>
        <w:rPr>
          <w:noProof/>
        </w:rPr>
        <w:drawing>
          <wp:inline distT="0" distB="0" distL="0" distR="0" wp14:anchorId="43735BB5" wp14:editId="3B92133C">
            <wp:extent cx="3976507" cy="2266950"/>
            <wp:effectExtent l="0" t="0" r="5080" b="0"/>
            <wp:docPr id="8" name="Picture 1" descr="78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78iT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5265" cy="2271943"/>
                    </a:xfrm>
                    <a:prstGeom prst="rect">
                      <a:avLst/>
                    </a:prstGeom>
                    <a:noFill/>
                    <a:extLst/>
                  </pic:spPr>
                </pic:pic>
              </a:graphicData>
            </a:graphic>
          </wp:inline>
        </w:drawing>
      </w:r>
    </w:p>
    <w:p w:rsidR="006D065B" w:rsidRDefault="006D065B" w:rsidP="007A05B3">
      <w:pPr>
        <w:pStyle w:val="NoSpacing"/>
        <w:spacing w:after="200"/>
        <w:contextualSpacing/>
        <w:jc w:val="both"/>
        <w:rPr>
          <w:rFonts w:ascii="Bookman Old Style" w:hAnsi="Bookman Old Style"/>
        </w:rPr>
      </w:pPr>
    </w:p>
    <w:p w:rsidR="006D065B" w:rsidRDefault="009F09D1" w:rsidP="007A05B3">
      <w:pPr>
        <w:pStyle w:val="NoSpacing"/>
        <w:spacing w:after="200"/>
        <w:contextualSpacing/>
        <w:jc w:val="both"/>
        <w:rPr>
          <w:rFonts w:ascii="Bookman Old Style" w:hAnsi="Bookman Old Style"/>
        </w:rPr>
      </w:pPr>
      <w:r>
        <w:rPr>
          <w:rFonts w:ascii="Bookman Old Style" w:hAnsi="Bookman Old Style"/>
        </w:rPr>
        <w:t xml:space="preserve">During the Master Planning process, Emergency Services Consulting International, determined that </w:t>
      </w:r>
      <w:r w:rsidR="004318CB">
        <w:rPr>
          <w:rFonts w:ascii="Bookman Old Style" w:hAnsi="Bookman Old Style"/>
        </w:rPr>
        <w:t>the Pasco Fire Department responded to 74.7 emergencies per 1,000 population in its service area, which is eight more responses per 1,000 population served (or 544 total responses more per year) than the regional median.</w:t>
      </w:r>
    </w:p>
    <w:p w:rsidR="006D065B" w:rsidRPr="00BA2BA5" w:rsidRDefault="006D065B" w:rsidP="007A05B3">
      <w:pPr>
        <w:pStyle w:val="NoSpacing"/>
        <w:spacing w:after="200"/>
        <w:contextualSpacing/>
        <w:jc w:val="both"/>
        <w:rPr>
          <w:rFonts w:ascii="Bookman Old Style" w:hAnsi="Bookman Old Style"/>
        </w:rPr>
      </w:pPr>
    </w:p>
    <w:p w:rsidR="00BA7F74" w:rsidRPr="00BA2BA5" w:rsidRDefault="00BA7F74" w:rsidP="00421505">
      <w:pPr>
        <w:pStyle w:val="NoSpacing"/>
        <w:rPr>
          <w:rFonts w:ascii="Bookman Old Style" w:hAnsi="Bookman Old Style"/>
        </w:rPr>
      </w:pPr>
    </w:p>
    <w:p w:rsidR="00BA7F74" w:rsidRDefault="00BA7F74" w:rsidP="00BA7F74">
      <w:pPr>
        <w:pStyle w:val="NoSpacing"/>
        <w:jc w:val="center"/>
      </w:pPr>
      <w:r>
        <w:rPr>
          <w:noProof/>
        </w:rPr>
        <w:drawing>
          <wp:inline distT="0" distB="0" distL="0" distR="0" wp14:anchorId="00AE8FA7" wp14:editId="43C998FD">
            <wp:extent cx="3343275" cy="23431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A7F74" w:rsidRDefault="00BA7F74" w:rsidP="00BA7F74">
      <w:pPr>
        <w:pStyle w:val="NoSpacing"/>
        <w:jc w:val="center"/>
      </w:pPr>
    </w:p>
    <w:p w:rsidR="004318CB" w:rsidRDefault="004318CB" w:rsidP="007A05B3">
      <w:pPr>
        <w:pStyle w:val="NoSpacing"/>
        <w:spacing w:after="200"/>
        <w:contextualSpacing/>
        <w:jc w:val="both"/>
        <w:rPr>
          <w:rFonts w:ascii="Bookman Old Style" w:hAnsi="Bookman Old Style"/>
        </w:rPr>
      </w:pPr>
    </w:p>
    <w:p w:rsidR="00D71424" w:rsidRDefault="00D71424" w:rsidP="007A05B3">
      <w:pPr>
        <w:pStyle w:val="NoSpacing"/>
        <w:spacing w:after="200"/>
        <w:contextualSpacing/>
        <w:jc w:val="both"/>
        <w:rPr>
          <w:rFonts w:ascii="Bookman Old Style" w:hAnsi="Bookman Old Style"/>
        </w:rPr>
      </w:pPr>
      <w:r w:rsidRPr="00BA2BA5">
        <w:rPr>
          <w:rFonts w:ascii="Bookman Old Style" w:hAnsi="Bookman Old Style"/>
        </w:rPr>
        <w:lastRenderedPageBreak/>
        <w:t xml:space="preserve">Historical analysis of call volume (2011-2015) </w:t>
      </w:r>
      <w:r w:rsidR="00065AFD" w:rsidRPr="00BA2BA5">
        <w:rPr>
          <w:rFonts w:ascii="Bookman Old Style" w:hAnsi="Bookman Old Style"/>
        </w:rPr>
        <w:t>as compared to population increase for the same time frame shows that the call volume increased an average of 16.9% per yea</w:t>
      </w:r>
      <w:r w:rsidR="00D515A4" w:rsidRPr="00BA2BA5">
        <w:rPr>
          <w:rFonts w:ascii="Bookman Old Style" w:hAnsi="Bookman Old Style"/>
        </w:rPr>
        <w:t>r while the population increase averaged</w:t>
      </w:r>
      <w:r w:rsidR="00065AFD" w:rsidRPr="00BA2BA5">
        <w:rPr>
          <w:rFonts w:ascii="Bookman Old Style" w:hAnsi="Bookman Old Style"/>
        </w:rPr>
        <w:t xml:space="preserve"> 13.7% per year.</w:t>
      </w:r>
      <w:r w:rsidR="00D515A4" w:rsidRPr="00BA2BA5">
        <w:rPr>
          <w:rFonts w:ascii="Bookman Old Style" w:hAnsi="Bookman Old Style"/>
        </w:rPr>
        <w:t xml:space="preserve">  </w:t>
      </w:r>
    </w:p>
    <w:p w:rsidR="00DA0DC8" w:rsidRPr="00BA2BA5" w:rsidRDefault="00DA0DC8" w:rsidP="007A05B3">
      <w:pPr>
        <w:pStyle w:val="NoSpacing"/>
        <w:spacing w:after="200"/>
        <w:contextualSpacing/>
        <w:jc w:val="both"/>
        <w:rPr>
          <w:rFonts w:ascii="Bookman Old Style" w:hAnsi="Bookman Old Style"/>
        </w:rPr>
      </w:pPr>
    </w:p>
    <w:p w:rsidR="007B76B6" w:rsidRDefault="007B76B6" w:rsidP="00D71424">
      <w:pPr>
        <w:pStyle w:val="NoSpacing"/>
      </w:pPr>
    </w:p>
    <w:p w:rsidR="0073773F" w:rsidRDefault="007B76B6" w:rsidP="00E40A01">
      <w:pPr>
        <w:pStyle w:val="NoSpacing"/>
        <w:jc w:val="center"/>
      </w:pPr>
      <w:r>
        <w:rPr>
          <w:noProof/>
        </w:rPr>
        <w:drawing>
          <wp:inline distT="0" distB="0" distL="0" distR="0" wp14:anchorId="27FEF8E8" wp14:editId="7B9F96CC">
            <wp:extent cx="3667125" cy="280035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C3E65" w:rsidRDefault="004C3E65" w:rsidP="00E40A01">
      <w:pPr>
        <w:pStyle w:val="NoSpacing"/>
        <w:jc w:val="center"/>
      </w:pPr>
    </w:p>
    <w:p w:rsidR="00BA2BA5" w:rsidRDefault="00BA2BA5" w:rsidP="00D71424">
      <w:pPr>
        <w:pStyle w:val="NoSpacing"/>
      </w:pPr>
    </w:p>
    <w:p w:rsidR="00BA2BA5" w:rsidRDefault="00BA2BA5" w:rsidP="00D71424">
      <w:pPr>
        <w:pStyle w:val="NoSpacing"/>
      </w:pPr>
    </w:p>
    <w:p w:rsidR="00665AE9" w:rsidRPr="00BA2BA5" w:rsidRDefault="00665AE9" w:rsidP="005D6905">
      <w:pPr>
        <w:pStyle w:val="NoSpacing"/>
        <w:spacing w:after="200"/>
        <w:contextualSpacing/>
        <w:jc w:val="both"/>
        <w:rPr>
          <w:rFonts w:ascii="Bookman Old Style" w:hAnsi="Bookman Old Style"/>
        </w:rPr>
      </w:pPr>
      <w:r w:rsidRPr="00BA2BA5">
        <w:rPr>
          <w:rFonts w:ascii="Bookman Old Style" w:hAnsi="Bookman Old Style"/>
        </w:rPr>
        <w:t>Overlapping calls are a significant issue for the Pasco Fire Department.  Overlapping calls are defined as calls for service that occur while the primary response unit is already engaged in a previous emer</w:t>
      </w:r>
      <w:r w:rsidR="00CE4581" w:rsidRPr="00BA2BA5">
        <w:rPr>
          <w:rFonts w:ascii="Bookman Old Style" w:hAnsi="Bookman Old Style"/>
        </w:rPr>
        <w:t>gency.  These calls require</w:t>
      </w:r>
      <w:r w:rsidRPr="00BA2BA5">
        <w:rPr>
          <w:rFonts w:ascii="Bookman Old Style" w:hAnsi="Bookman Old Style"/>
        </w:rPr>
        <w:t xml:space="preserve"> secondary stations </w:t>
      </w:r>
      <w:r w:rsidR="00CE4581" w:rsidRPr="00BA2BA5">
        <w:rPr>
          <w:rFonts w:ascii="Bookman Old Style" w:hAnsi="Bookman Old Style"/>
        </w:rPr>
        <w:t xml:space="preserve">to </w:t>
      </w:r>
      <w:r w:rsidRPr="00BA2BA5">
        <w:rPr>
          <w:rFonts w:ascii="Bookman Old Style" w:hAnsi="Bookman Old Style"/>
        </w:rPr>
        <w:t xml:space="preserve">cover the emergency resulting in longer response times and greater out of service times for units.  The chart below shows the percent of overlapping calls for the 2011-2015 time </w:t>
      </w:r>
      <w:r w:rsidR="004B76E0" w:rsidRPr="00BA2BA5">
        <w:rPr>
          <w:rFonts w:ascii="Bookman Old Style" w:hAnsi="Bookman Old Style"/>
        </w:rPr>
        <w:t>frames</w:t>
      </w:r>
      <w:r w:rsidRPr="00BA2BA5">
        <w:rPr>
          <w:rFonts w:ascii="Bookman Old Style" w:hAnsi="Bookman Old Style"/>
        </w:rPr>
        <w:t>.</w:t>
      </w:r>
    </w:p>
    <w:p w:rsidR="00E40A01" w:rsidRDefault="00E40A01" w:rsidP="00D71424">
      <w:pPr>
        <w:pStyle w:val="NoSpacing"/>
      </w:pPr>
    </w:p>
    <w:p w:rsidR="00F22E13" w:rsidRDefault="00F22E13" w:rsidP="00D71424">
      <w:pPr>
        <w:pStyle w:val="NoSpacing"/>
      </w:pPr>
    </w:p>
    <w:p w:rsidR="00F22E13" w:rsidRDefault="00F22E13" w:rsidP="00D71424">
      <w:pPr>
        <w:pStyle w:val="NoSpacing"/>
      </w:pPr>
    </w:p>
    <w:tbl>
      <w:tblPr>
        <w:tblStyle w:val="LightList-Accent5"/>
        <w:tblW w:w="0" w:type="auto"/>
        <w:jc w:val="center"/>
        <w:tblLook w:val="04A0" w:firstRow="1" w:lastRow="0" w:firstColumn="1" w:lastColumn="0" w:noHBand="0" w:noVBand="1"/>
      </w:tblPr>
      <w:tblGrid>
        <w:gridCol w:w="2802"/>
        <w:gridCol w:w="2803"/>
      </w:tblGrid>
      <w:tr w:rsidR="00665AE9" w:rsidRPr="00BA2BA5" w:rsidTr="005D6905">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5605" w:type="dxa"/>
            <w:gridSpan w:val="2"/>
          </w:tcPr>
          <w:p w:rsidR="00665AE9" w:rsidRPr="00BA2BA5" w:rsidRDefault="00665AE9" w:rsidP="00665AE9">
            <w:pPr>
              <w:pStyle w:val="NoSpacing"/>
              <w:jc w:val="center"/>
              <w:rPr>
                <w:rFonts w:ascii="Bookman Old Style" w:hAnsi="Bookman Old Style"/>
              </w:rPr>
            </w:pPr>
            <w:r w:rsidRPr="00BA2BA5">
              <w:rPr>
                <w:rFonts w:ascii="Bookman Old Style" w:hAnsi="Bookman Old Style"/>
              </w:rPr>
              <w:t>Overlapping Call Percentage per Year</w:t>
            </w:r>
          </w:p>
        </w:tc>
      </w:tr>
      <w:tr w:rsidR="00665AE9" w:rsidRPr="00BA2BA5" w:rsidTr="005D6905">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802" w:type="dxa"/>
          </w:tcPr>
          <w:p w:rsidR="00665AE9" w:rsidRPr="00BA2BA5" w:rsidRDefault="00665AE9" w:rsidP="00665AE9">
            <w:pPr>
              <w:pStyle w:val="NoSpacing"/>
              <w:jc w:val="center"/>
              <w:rPr>
                <w:rFonts w:ascii="Bookman Old Style" w:hAnsi="Bookman Old Style"/>
                <w:sz w:val="20"/>
              </w:rPr>
            </w:pPr>
            <w:r w:rsidRPr="00BA2BA5">
              <w:rPr>
                <w:rFonts w:ascii="Bookman Old Style" w:hAnsi="Bookman Old Style"/>
                <w:sz w:val="20"/>
              </w:rPr>
              <w:t>2011</w:t>
            </w:r>
          </w:p>
        </w:tc>
        <w:tc>
          <w:tcPr>
            <w:tcW w:w="2802" w:type="dxa"/>
          </w:tcPr>
          <w:p w:rsidR="00665AE9" w:rsidRPr="00BA2BA5" w:rsidRDefault="00665AE9" w:rsidP="00665AE9">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BA2BA5">
              <w:rPr>
                <w:rFonts w:ascii="Bookman Old Style" w:hAnsi="Bookman Old Style"/>
                <w:sz w:val="20"/>
              </w:rPr>
              <w:t>30.77%</w:t>
            </w:r>
          </w:p>
        </w:tc>
      </w:tr>
      <w:tr w:rsidR="00665AE9" w:rsidRPr="00BA2BA5" w:rsidTr="005D6905">
        <w:trPr>
          <w:trHeight w:val="243"/>
          <w:jc w:val="center"/>
        </w:trPr>
        <w:tc>
          <w:tcPr>
            <w:cnfStyle w:val="001000000000" w:firstRow="0" w:lastRow="0" w:firstColumn="1" w:lastColumn="0" w:oddVBand="0" w:evenVBand="0" w:oddHBand="0" w:evenHBand="0" w:firstRowFirstColumn="0" w:firstRowLastColumn="0" w:lastRowFirstColumn="0" w:lastRowLastColumn="0"/>
            <w:tcW w:w="2802" w:type="dxa"/>
          </w:tcPr>
          <w:p w:rsidR="00665AE9" w:rsidRPr="00BA2BA5" w:rsidRDefault="00665AE9" w:rsidP="00665AE9">
            <w:pPr>
              <w:pStyle w:val="NoSpacing"/>
              <w:jc w:val="center"/>
              <w:rPr>
                <w:rFonts w:ascii="Bookman Old Style" w:hAnsi="Bookman Old Style"/>
                <w:sz w:val="20"/>
              </w:rPr>
            </w:pPr>
            <w:r w:rsidRPr="00BA2BA5">
              <w:rPr>
                <w:rFonts w:ascii="Bookman Old Style" w:hAnsi="Bookman Old Style"/>
                <w:sz w:val="20"/>
              </w:rPr>
              <w:t>2012</w:t>
            </w:r>
          </w:p>
        </w:tc>
        <w:tc>
          <w:tcPr>
            <w:tcW w:w="2802" w:type="dxa"/>
          </w:tcPr>
          <w:p w:rsidR="00665AE9" w:rsidRPr="00BA2BA5" w:rsidRDefault="00665AE9" w:rsidP="00665AE9">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BA2BA5">
              <w:rPr>
                <w:rFonts w:ascii="Bookman Old Style" w:hAnsi="Bookman Old Style"/>
                <w:sz w:val="20"/>
              </w:rPr>
              <w:t>30.34%</w:t>
            </w:r>
          </w:p>
        </w:tc>
      </w:tr>
      <w:tr w:rsidR="00665AE9" w:rsidRPr="00BA2BA5" w:rsidTr="005D6905">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802" w:type="dxa"/>
          </w:tcPr>
          <w:p w:rsidR="00665AE9" w:rsidRPr="00BA2BA5" w:rsidRDefault="00665AE9" w:rsidP="00665AE9">
            <w:pPr>
              <w:pStyle w:val="NoSpacing"/>
              <w:jc w:val="center"/>
              <w:rPr>
                <w:rFonts w:ascii="Bookman Old Style" w:hAnsi="Bookman Old Style"/>
                <w:sz w:val="20"/>
              </w:rPr>
            </w:pPr>
            <w:r w:rsidRPr="00BA2BA5">
              <w:rPr>
                <w:rFonts w:ascii="Bookman Old Style" w:hAnsi="Bookman Old Style"/>
                <w:sz w:val="20"/>
              </w:rPr>
              <w:t>2013</w:t>
            </w:r>
          </w:p>
        </w:tc>
        <w:tc>
          <w:tcPr>
            <w:tcW w:w="2802" w:type="dxa"/>
          </w:tcPr>
          <w:p w:rsidR="00665AE9" w:rsidRPr="00BA2BA5" w:rsidRDefault="00665AE9" w:rsidP="00665AE9">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BA2BA5">
              <w:rPr>
                <w:rFonts w:ascii="Bookman Old Style" w:hAnsi="Bookman Old Style"/>
                <w:sz w:val="20"/>
              </w:rPr>
              <w:t>31.68%</w:t>
            </w:r>
          </w:p>
        </w:tc>
      </w:tr>
      <w:tr w:rsidR="00665AE9" w:rsidRPr="00BA2BA5" w:rsidTr="005D6905">
        <w:trPr>
          <w:trHeight w:val="243"/>
          <w:jc w:val="center"/>
        </w:trPr>
        <w:tc>
          <w:tcPr>
            <w:cnfStyle w:val="001000000000" w:firstRow="0" w:lastRow="0" w:firstColumn="1" w:lastColumn="0" w:oddVBand="0" w:evenVBand="0" w:oddHBand="0" w:evenHBand="0" w:firstRowFirstColumn="0" w:firstRowLastColumn="0" w:lastRowFirstColumn="0" w:lastRowLastColumn="0"/>
            <w:tcW w:w="2802" w:type="dxa"/>
          </w:tcPr>
          <w:p w:rsidR="00665AE9" w:rsidRPr="00BA2BA5" w:rsidRDefault="00665AE9" w:rsidP="00665AE9">
            <w:pPr>
              <w:pStyle w:val="NoSpacing"/>
              <w:jc w:val="center"/>
              <w:rPr>
                <w:rFonts w:ascii="Bookman Old Style" w:hAnsi="Bookman Old Style"/>
                <w:sz w:val="20"/>
              </w:rPr>
            </w:pPr>
            <w:r w:rsidRPr="00BA2BA5">
              <w:rPr>
                <w:rFonts w:ascii="Bookman Old Style" w:hAnsi="Bookman Old Style"/>
                <w:sz w:val="20"/>
              </w:rPr>
              <w:t>2014</w:t>
            </w:r>
          </w:p>
        </w:tc>
        <w:tc>
          <w:tcPr>
            <w:tcW w:w="2802" w:type="dxa"/>
          </w:tcPr>
          <w:p w:rsidR="00665AE9" w:rsidRPr="00BA2BA5" w:rsidRDefault="00665AE9" w:rsidP="00665AE9">
            <w:pPr>
              <w:pStyle w:val="NoSpacing"/>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rPr>
            </w:pPr>
            <w:r w:rsidRPr="00BA2BA5">
              <w:rPr>
                <w:rFonts w:ascii="Bookman Old Style" w:hAnsi="Bookman Old Style"/>
                <w:sz w:val="20"/>
              </w:rPr>
              <w:t>32.35%</w:t>
            </w:r>
          </w:p>
        </w:tc>
      </w:tr>
      <w:tr w:rsidR="00665AE9" w:rsidRPr="00BA2BA5" w:rsidTr="005D690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802" w:type="dxa"/>
          </w:tcPr>
          <w:p w:rsidR="00665AE9" w:rsidRPr="00BA2BA5" w:rsidRDefault="00665AE9" w:rsidP="00665AE9">
            <w:pPr>
              <w:pStyle w:val="NoSpacing"/>
              <w:jc w:val="center"/>
              <w:rPr>
                <w:rFonts w:ascii="Bookman Old Style" w:hAnsi="Bookman Old Style"/>
                <w:sz w:val="20"/>
              </w:rPr>
            </w:pPr>
            <w:r w:rsidRPr="00BA2BA5">
              <w:rPr>
                <w:rFonts w:ascii="Bookman Old Style" w:hAnsi="Bookman Old Style"/>
                <w:sz w:val="20"/>
              </w:rPr>
              <w:t>2015</w:t>
            </w:r>
          </w:p>
        </w:tc>
        <w:tc>
          <w:tcPr>
            <w:tcW w:w="2802" w:type="dxa"/>
          </w:tcPr>
          <w:p w:rsidR="00665AE9" w:rsidRPr="00BA2BA5" w:rsidRDefault="00665AE9" w:rsidP="00665AE9">
            <w:pPr>
              <w:pStyle w:val="NoSpacing"/>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rPr>
            </w:pPr>
            <w:r w:rsidRPr="00BA2BA5">
              <w:rPr>
                <w:rFonts w:ascii="Bookman Old Style" w:hAnsi="Bookman Old Style"/>
                <w:sz w:val="20"/>
              </w:rPr>
              <w:t>36.28%</w:t>
            </w:r>
          </w:p>
        </w:tc>
      </w:tr>
    </w:tbl>
    <w:p w:rsidR="00390B9E" w:rsidRDefault="00390B9E" w:rsidP="0073773F">
      <w:pPr>
        <w:pStyle w:val="NoSpacing"/>
      </w:pPr>
    </w:p>
    <w:p w:rsidR="005D6905" w:rsidRDefault="00B26427" w:rsidP="00BA7F74">
      <w:pPr>
        <w:pStyle w:val="NoSpacing"/>
      </w:pPr>
      <w:r>
        <w:t xml:space="preserve"> </w:t>
      </w:r>
    </w:p>
    <w:p w:rsidR="00A0655D" w:rsidRPr="005D5B1F" w:rsidRDefault="009B48A2" w:rsidP="005D5B1F">
      <w:pPr>
        <w:rPr>
          <w:rFonts w:ascii="Bookman Old Style" w:hAnsi="Bookman Old Style"/>
          <w:b/>
        </w:rPr>
      </w:pPr>
      <w:bookmarkStart w:id="29" w:name="_Toc474159555"/>
      <w:r w:rsidRPr="005D5B1F">
        <w:rPr>
          <w:rFonts w:ascii="Bookman Old Style" w:hAnsi="Bookman Old Style"/>
          <w:b/>
          <w:i/>
          <w:sz w:val="24"/>
          <w:szCs w:val="24"/>
        </w:rPr>
        <w:t xml:space="preserve">Temporal </w:t>
      </w:r>
      <w:r w:rsidR="00A0655D" w:rsidRPr="005D5B1F">
        <w:rPr>
          <w:rFonts w:ascii="Bookman Old Style" w:hAnsi="Bookman Old Style"/>
          <w:b/>
          <w:i/>
          <w:sz w:val="24"/>
          <w:szCs w:val="24"/>
        </w:rPr>
        <w:t>Call Distribution</w:t>
      </w:r>
      <w:bookmarkEnd w:id="29"/>
    </w:p>
    <w:p w:rsidR="00C6292A" w:rsidRPr="00BA2BA5" w:rsidRDefault="009B48A2" w:rsidP="005D6905">
      <w:pPr>
        <w:pStyle w:val="NoSpacing"/>
        <w:spacing w:after="200"/>
        <w:contextualSpacing/>
        <w:jc w:val="both"/>
        <w:rPr>
          <w:rFonts w:ascii="Bookman Old Style" w:hAnsi="Bookman Old Style"/>
        </w:rPr>
      </w:pPr>
      <w:r w:rsidRPr="00BA2BA5">
        <w:rPr>
          <w:rFonts w:ascii="Bookman Old Style" w:hAnsi="Bookman Old Style"/>
        </w:rPr>
        <w:t xml:space="preserve">ESCI noted in the Master Plan Study </w:t>
      </w:r>
      <w:r w:rsidR="007F0704" w:rsidRPr="00BA2BA5">
        <w:rPr>
          <w:rFonts w:ascii="Bookman Old Style" w:hAnsi="Bookman Old Style"/>
        </w:rPr>
        <w:t>that the PFD service demand is relational with the activity of the citizens.  The service demand by month vari</w:t>
      </w:r>
      <w:r w:rsidR="00CE4581" w:rsidRPr="00BA2BA5">
        <w:rPr>
          <w:rFonts w:ascii="Bookman Old Style" w:hAnsi="Bookman Old Style"/>
        </w:rPr>
        <w:t>es within a range of 2.4%</w:t>
      </w:r>
      <w:r w:rsidR="007F0704" w:rsidRPr="00BA2BA5">
        <w:rPr>
          <w:rFonts w:ascii="Bookman Old Style" w:hAnsi="Bookman Old Style"/>
        </w:rPr>
        <w:t xml:space="preserve"> throughout the year with the lowest service demand occurring during the winter months (Dec., Jan., and Feb.) and the highest service demand occurring during the late summer (July and Aug.). The service demand by day of the week is also </w:t>
      </w:r>
      <w:r w:rsidR="00CE4581" w:rsidRPr="00BA2BA5">
        <w:rPr>
          <w:rFonts w:ascii="Bookman Old Style" w:hAnsi="Bookman Old Style"/>
        </w:rPr>
        <w:t xml:space="preserve">relatively </w:t>
      </w:r>
      <w:r w:rsidR="00CE4581" w:rsidRPr="00BA2BA5">
        <w:rPr>
          <w:rFonts w:ascii="Bookman Old Style" w:hAnsi="Bookman Old Style"/>
        </w:rPr>
        <w:lastRenderedPageBreak/>
        <w:t>consistent (2%</w:t>
      </w:r>
      <w:r w:rsidR="007F0704" w:rsidRPr="00BA2BA5">
        <w:rPr>
          <w:rFonts w:ascii="Bookman Old Style" w:hAnsi="Bookman Old Style"/>
        </w:rPr>
        <w:t xml:space="preserve"> variance) with the highest demand days being Thursday, Friday, and Saturday.  Incident activity is at its highest levels between 10:00</w:t>
      </w:r>
      <w:r w:rsidR="00CE4581" w:rsidRPr="00BA2BA5">
        <w:rPr>
          <w:rFonts w:ascii="Bookman Old Style" w:hAnsi="Bookman Old Style"/>
        </w:rPr>
        <w:t xml:space="preserve"> am and 6:00 pm. Over 64%</w:t>
      </w:r>
      <w:r w:rsidR="007F0704" w:rsidRPr="00BA2BA5">
        <w:rPr>
          <w:rFonts w:ascii="Bookman Old Style" w:hAnsi="Bookman Old Style"/>
        </w:rPr>
        <w:t xml:space="preserve"> of the calls for service occurred between 08:00 am and 08:00 pm. </w:t>
      </w:r>
    </w:p>
    <w:p w:rsidR="009B48A2" w:rsidRDefault="009B48A2" w:rsidP="005D6905">
      <w:pPr>
        <w:pStyle w:val="NoSpacing"/>
        <w:spacing w:after="200"/>
        <w:contextualSpacing/>
        <w:jc w:val="both"/>
      </w:pPr>
    </w:p>
    <w:p w:rsidR="00390B9E" w:rsidRPr="00BA2BA5" w:rsidRDefault="00390B9E" w:rsidP="005D6905">
      <w:pPr>
        <w:pStyle w:val="NoSpacing"/>
        <w:spacing w:after="200"/>
        <w:contextualSpacing/>
        <w:jc w:val="both"/>
        <w:rPr>
          <w:rFonts w:ascii="Bookman Old Style" w:hAnsi="Bookman Old Style"/>
        </w:rPr>
      </w:pPr>
      <w:r w:rsidRPr="00BA2BA5">
        <w:rPr>
          <w:rFonts w:ascii="Bookman Old Style" w:hAnsi="Bookman Old Style"/>
        </w:rPr>
        <w:t>The chart</w:t>
      </w:r>
      <w:r w:rsidR="008B669F">
        <w:rPr>
          <w:rFonts w:ascii="Bookman Old Style" w:hAnsi="Bookman Old Style"/>
        </w:rPr>
        <w:t>s</w:t>
      </w:r>
      <w:r w:rsidRPr="00BA2BA5">
        <w:rPr>
          <w:rFonts w:ascii="Bookman Old Style" w:hAnsi="Bookman Old Style"/>
        </w:rPr>
        <w:t xml:space="preserve"> below shows the service demand for 2014-2015 by</w:t>
      </w:r>
      <w:r w:rsidR="008B669F">
        <w:rPr>
          <w:rFonts w:ascii="Bookman Old Style" w:hAnsi="Bookman Old Style"/>
        </w:rPr>
        <w:t xml:space="preserve"> month, day of week and </w:t>
      </w:r>
      <w:r w:rsidRPr="00BA2BA5">
        <w:rPr>
          <w:rFonts w:ascii="Bookman Old Style" w:hAnsi="Bookman Old Style"/>
        </w:rPr>
        <w:t xml:space="preserve"> hour of the day.  </w:t>
      </w:r>
    </w:p>
    <w:p w:rsidR="002A4906" w:rsidRDefault="002A4906" w:rsidP="00BA7F74">
      <w:pPr>
        <w:pStyle w:val="NoSpacing"/>
      </w:pPr>
    </w:p>
    <w:p w:rsidR="00390B9E" w:rsidRDefault="00390B9E" w:rsidP="00BA7F74">
      <w:pPr>
        <w:pStyle w:val="NoSpacing"/>
      </w:pPr>
    </w:p>
    <w:p w:rsidR="007F0704" w:rsidRDefault="005F3E97" w:rsidP="005F3E97">
      <w:pPr>
        <w:pStyle w:val="NoSpacing"/>
        <w:jc w:val="center"/>
        <w:rPr>
          <w:b/>
        </w:rPr>
      </w:pPr>
      <w:r w:rsidRPr="00C6292A">
        <w:rPr>
          <w:b/>
        </w:rPr>
        <w:t>Service Dema</w:t>
      </w:r>
      <w:r w:rsidR="008B669F">
        <w:rPr>
          <w:b/>
        </w:rPr>
        <w:t>nd by Month</w:t>
      </w:r>
      <w:r w:rsidRPr="00C6292A">
        <w:rPr>
          <w:b/>
        </w:rPr>
        <w:t>, 2014-2015</w:t>
      </w:r>
    </w:p>
    <w:p w:rsidR="008B669F" w:rsidRDefault="008B669F" w:rsidP="005F3E97">
      <w:pPr>
        <w:pStyle w:val="NoSpacing"/>
        <w:jc w:val="center"/>
        <w:rPr>
          <w:b/>
        </w:rPr>
      </w:pPr>
    </w:p>
    <w:p w:rsidR="008B669F" w:rsidRDefault="008B669F" w:rsidP="008B669F">
      <w:pPr>
        <w:pStyle w:val="NoSpacing"/>
        <w:jc w:val="center"/>
        <w:rPr>
          <w:b/>
        </w:rPr>
      </w:pPr>
      <w:r w:rsidRPr="00DA253A">
        <w:rPr>
          <w:noProof/>
        </w:rPr>
        <w:drawing>
          <wp:inline distT="0" distB="0" distL="0" distR="0" wp14:anchorId="70A7FAA4" wp14:editId="774757B1">
            <wp:extent cx="3924300" cy="16383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B669F" w:rsidRPr="00A3156B" w:rsidRDefault="008B669F" w:rsidP="008B669F">
      <w:pPr>
        <w:rPr>
          <w:rFonts w:ascii="Bookman Old Style" w:hAnsi="Bookman Old Style"/>
        </w:rPr>
      </w:pPr>
      <w:r w:rsidRPr="00A3156B">
        <w:rPr>
          <w:rFonts w:ascii="Bookman Old Style" w:hAnsi="Bookman Old Style"/>
        </w:rPr>
        <w:t>Service demand varies within a range of 2-3% percent throughout the year.  The lowest service demand occurs during the coldest months of December through February.  Conversely the greatest service demand occurs during the warmest months of July through August.</w:t>
      </w:r>
    </w:p>
    <w:p w:rsidR="00F22E13" w:rsidRDefault="00F22E13" w:rsidP="006D065B">
      <w:pPr>
        <w:rPr>
          <w:b/>
        </w:rPr>
      </w:pPr>
    </w:p>
    <w:p w:rsidR="00F22E13" w:rsidRDefault="00F22E13" w:rsidP="008B669F">
      <w:pPr>
        <w:jc w:val="center"/>
        <w:rPr>
          <w:b/>
        </w:rPr>
      </w:pPr>
    </w:p>
    <w:p w:rsidR="008B669F" w:rsidRPr="008B669F" w:rsidRDefault="008B669F" w:rsidP="008B669F">
      <w:pPr>
        <w:jc w:val="center"/>
        <w:rPr>
          <w:b/>
        </w:rPr>
      </w:pPr>
      <w:r>
        <w:rPr>
          <w:b/>
        </w:rPr>
        <w:t>Service Demand by Day of Week, 2014-2015</w:t>
      </w:r>
    </w:p>
    <w:p w:rsidR="008B669F" w:rsidRDefault="008B669F" w:rsidP="005F3E97">
      <w:pPr>
        <w:pStyle w:val="NoSpacing"/>
        <w:jc w:val="center"/>
      </w:pPr>
      <w:r w:rsidRPr="00DA253A">
        <w:rPr>
          <w:noProof/>
        </w:rPr>
        <w:drawing>
          <wp:inline distT="0" distB="0" distL="0" distR="0" wp14:anchorId="2D080698" wp14:editId="27F1B0A4">
            <wp:extent cx="4257675" cy="184785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669F" w:rsidRPr="00A3156B" w:rsidRDefault="008B669F" w:rsidP="008B669F">
      <w:pPr>
        <w:pStyle w:val="NoSpacing"/>
        <w:rPr>
          <w:rFonts w:ascii="Bookman Old Style" w:hAnsi="Bookman Old Style"/>
        </w:rPr>
      </w:pPr>
      <w:r w:rsidRPr="00A3156B">
        <w:rPr>
          <w:rFonts w:ascii="Bookman Old Style" w:hAnsi="Bookman Old Style"/>
        </w:rPr>
        <w:t xml:space="preserve">The service demand by day of the week model suggests that the highest demand for service occurs in the later part of the week.  </w:t>
      </w:r>
    </w:p>
    <w:p w:rsidR="008B669F" w:rsidRDefault="008B669F" w:rsidP="005F3E97">
      <w:pPr>
        <w:pStyle w:val="NoSpacing"/>
        <w:jc w:val="center"/>
      </w:pPr>
    </w:p>
    <w:p w:rsidR="001E3B4E" w:rsidRDefault="001E3B4E" w:rsidP="005F3E97">
      <w:pPr>
        <w:pStyle w:val="NoSpacing"/>
        <w:jc w:val="center"/>
      </w:pPr>
    </w:p>
    <w:p w:rsidR="006D065B" w:rsidRDefault="006D065B" w:rsidP="005F3E97">
      <w:pPr>
        <w:pStyle w:val="NoSpacing"/>
        <w:jc w:val="center"/>
      </w:pPr>
    </w:p>
    <w:p w:rsidR="001E3B4E" w:rsidRDefault="001E3B4E" w:rsidP="005F3E97">
      <w:pPr>
        <w:pStyle w:val="NoSpacing"/>
        <w:jc w:val="center"/>
      </w:pPr>
    </w:p>
    <w:p w:rsidR="001E3B4E" w:rsidRDefault="001E3B4E" w:rsidP="005F3E97">
      <w:pPr>
        <w:pStyle w:val="NoSpacing"/>
        <w:jc w:val="center"/>
      </w:pPr>
    </w:p>
    <w:p w:rsidR="001E3B4E" w:rsidRDefault="001E3B4E" w:rsidP="005F3E97">
      <w:pPr>
        <w:pStyle w:val="NoSpacing"/>
        <w:jc w:val="center"/>
      </w:pPr>
    </w:p>
    <w:p w:rsidR="008B669F" w:rsidRDefault="008B669F" w:rsidP="005F3E97">
      <w:pPr>
        <w:pStyle w:val="NoSpacing"/>
        <w:jc w:val="center"/>
      </w:pPr>
    </w:p>
    <w:p w:rsidR="008B669F" w:rsidRDefault="008B669F" w:rsidP="005F3E97">
      <w:pPr>
        <w:pStyle w:val="NoSpacing"/>
        <w:jc w:val="center"/>
      </w:pPr>
    </w:p>
    <w:p w:rsidR="008B669F" w:rsidRPr="008B669F" w:rsidRDefault="008B669F" w:rsidP="005F3E97">
      <w:pPr>
        <w:pStyle w:val="NoSpacing"/>
        <w:jc w:val="center"/>
        <w:rPr>
          <w:b/>
        </w:rPr>
      </w:pPr>
      <w:r>
        <w:rPr>
          <w:b/>
        </w:rPr>
        <w:t>Service Demand by Hour of Day, 2014-2015</w:t>
      </w:r>
    </w:p>
    <w:p w:rsidR="008B669F" w:rsidRDefault="008B669F" w:rsidP="005F3E97">
      <w:pPr>
        <w:pStyle w:val="NoSpacing"/>
        <w:jc w:val="center"/>
      </w:pPr>
    </w:p>
    <w:p w:rsidR="005F3E97" w:rsidRDefault="005F3E97" w:rsidP="005F3E97">
      <w:pPr>
        <w:pStyle w:val="NoSpacing"/>
        <w:jc w:val="center"/>
      </w:pPr>
      <w:r w:rsidRPr="00DA253A">
        <w:rPr>
          <w:noProof/>
        </w:rPr>
        <w:drawing>
          <wp:inline distT="0" distB="0" distL="0" distR="0" wp14:anchorId="0FE4F96C" wp14:editId="5E415C81">
            <wp:extent cx="4371975" cy="267652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2E4C" w:rsidRDefault="00812E4C" w:rsidP="00812E4C"/>
    <w:p w:rsidR="008B669F" w:rsidRPr="00A3156B" w:rsidRDefault="008B669F" w:rsidP="00503B63">
      <w:pPr>
        <w:spacing w:line="240" w:lineRule="auto"/>
        <w:jc w:val="both"/>
        <w:rPr>
          <w:rFonts w:ascii="Bookman Old Style" w:hAnsi="Bookman Old Style"/>
        </w:rPr>
      </w:pPr>
      <w:r w:rsidRPr="00A3156B">
        <w:rPr>
          <w:rFonts w:ascii="Bookman Old Style" w:hAnsi="Bookman Old Style"/>
        </w:rPr>
        <w:t>The service demand by all measurements is commensurate with the activity levels of the population, with workload increasing during daytime hours, in the later part of the week during the warmest months of the year.  The service demand by hour of day suggests that over 64% of the calls occur during the high activity levels of the population.</w:t>
      </w:r>
    </w:p>
    <w:p w:rsidR="00086773" w:rsidRDefault="00086773" w:rsidP="008B669F">
      <w:pPr>
        <w:pStyle w:val="Heading4"/>
        <w:spacing w:before="0" w:after="200"/>
        <w:jc w:val="center"/>
        <w:rPr>
          <w:b w:val="0"/>
          <w:i w:val="0"/>
        </w:rPr>
      </w:pPr>
    </w:p>
    <w:p w:rsidR="004318CB" w:rsidRDefault="004318CB" w:rsidP="004318CB"/>
    <w:p w:rsidR="004318CB" w:rsidRDefault="004318CB" w:rsidP="004318CB"/>
    <w:p w:rsidR="004318CB" w:rsidRDefault="004318CB" w:rsidP="004318CB"/>
    <w:p w:rsidR="004318CB" w:rsidRDefault="004318CB" w:rsidP="004318CB"/>
    <w:p w:rsidR="004318CB" w:rsidRDefault="004318CB" w:rsidP="004318CB"/>
    <w:p w:rsidR="004318CB" w:rsidRDefault="004318CB" w:rsidP="004318CB"/>
    <w:p w:rsidR="004318CB" w:rsidRDefault="004318CB" w:rsidP="004318CB"/>
    <w:p w:rsidR="004318CB" w:rsidRPr="004318CB" w:rsidRDefault="004318CB" w:rsidP="004318CB"/>
    <w:p w:rsidR="008B669F" w:rsidRDefault="008B669F" w:rsidP="008B669F">
      <w:pPr>
        <w:jc w:val="center"/>
      </w:pPr>
    </w:p>
    <w:p w:rsidR="005F3E97" w:rsidRPr="00460C40" w:rsidRDefault="005F3E97" w:rsidP="00460C40">
      <w:pPr>
        <w:pStyle w:val="Heading4"/>
        <w:spacing w:before="0" w:after="200"/>
        <w:rPr>
          <w:sz w:val="24"/>
          <w:szCs w:val="24"/>
        </w:rPr>
      </w:pPr>
      <w:bookmarkStart w:id="30" w:name="_Toc474159556"/>
      <w:bookmarkStart w:id="31" w:name="_Toc475003859"/>
      <w:r w:rsidRPr="003746A2">
        <w:rPr>
          <w:color w:val="auto"/>
          <w:sz w:val="24"/>
          <w:szCs w:val="24"/>
        </w:rPr>
        <w:lastRenderedPageBreak/>
        <w:t>Geographic Call Distribution</w:t>
      </w:r>
      <w:bookmarkEnd w:id="30"/>
      <w:bookmarkEnd w:id="31"/>
    </w:p>
    <w:p w:rsidR="005F3E97" w:rsidRPr="00BA2BA5" w:rsidRDefault="00392C2C" w:rsidP="00503B63">
      <w:pPr>
        <w:pStyle w:val="NoSpacing"/>
        <w:spacing w:afterLines="100" w:after="240"/>
        <w:contextualSpacing/>
        <w:jc w:val="both"/>
        <w:rPr>
          <w:rFonts w:ascii="Bookman Old Style" w:hAnsi="Bookman Old Style"/>
        </w:rPr>
      </w:pPr>
      <w:r w:rsidRPr="00BA2BA5">
        <w:rPr>
          <w:rFonts w:ascii="Bookman Old Style" w:hAnsi="Bookman Old Style"/>
        </w:rPr>
        <w:t xml:space="preserve">ESCI plotted the incident locations and calculated the </w:t>
      </w:r>
      <w:r w:rsidR="001D5F1F" w:rsidRPr="00BA2BA5">
        <w:rPr>
          <w:rFonts w:ascii="Bookman Old Style" w:hAnsi="Bookman Old Style"/>
        </w:rPr>
        <w:t>mathematical density of the 2013</w:t>
      </w:r>
      <w:r w:rsidRPr="00BA2BA5">
        <w:rPr>
          <w:rFonts w:ascii="Bookman Old Style" w:hAnsi="Bookman Old Style"/>
        </w:rPr>
        <w:t>-2015 service demand for the PFD service area.  The PFD service demand is concentrated in the central core area of the City of Pasco, between Station 81 and Highway 395.  The commercial corridor along Rd. 68 as well as the residential neighborhoods north of I-182 experience higher incident demand density.</w:t>
      </w:r>
      <w:r w:rsidR="00C6292A" w:rsidRPr="00BA2BA5">
        <w:rPr>
          <w:rFonts w:ascii="Bookman Old Style" w:hAnsi="Bookman Old Style"/>
        </w:rPr>
        <w:t xml:space="preserve">  As the northwest area of the city begins to “fill-in” it is expected that the demand for service in that area will trend towards the same levels as that of the central core of the city.</w:t>
      </w:r>
    </w:p>
    <w:p w:rsidR="00392C2C" w:rsidRPr="00BA2BA5" w:rsidRDefault="00392C2C" w:rsidP="005D6905">
      <w:pPr>
        <w:pStyle w:val="NoSpacing"/>
        <w:spacing w:afterLines="200" w:after="480"/>
        <w:contextualSpacing/>
        <w:rPr>
          <w:rFonts w:ascii="Bookman Old Style" w:hAnsi="Bookman Old Style"/>
        </w:rPr>
      </w:pPr>
    </w:p>
    <w:p w:rsidR="00392C2C" w:rsidRPr="005F3E97" w:rsidRDefault="00392C2C" w:rsidP="00460C40">
      <w:pPr>
        <w:jc w:val="center"/>
      </w:pPr>
      <w:r w:rsidRPr="00DA253A">
        <w:rPr>
          <w:noProof/>
        </w:rPr>
        <w:drawing>
          <wp:inline distT="0" distB="0" distL="0" distR="0" wp14:anchorId="33860D73" wp14:editId="38BECEC4">
            <wp:extent cx="5267101" cy="3762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D Incident Density 2014_20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8435" cy="3777614"/>
                    </a:xfrm>
                    <a:prstGeom prst="rect">
                      <a:avLst/>
                    </a:prstGeom>
                  </pic:spPr>
                </pic:pic>
              </a:graphicData>
            </a:graphic>
          </wp:inline>
        </w:drawing>
      </w:r>
    </w:p>
    <w:p w:rsidR="005F3E97" w:rsidRDefault="005F3E97" w:rsidP="005D6905">
      <w:pPr>
        <w:pStyle w:val="NoSpacing"/>
        <w:spacing w:afterLines="200" w:after="480"/>
        <w:contextualSpacing/>
      </w:pPr>
    </w:p>
    <w:p w:rsidR="005F3E97" w:rsidRDefault="00392C2C" w:rsidP="00503B63">
      <w:pPr>
        <w:pStyle w:val="NoSpacing"/>
        <w:spacing w:afterLines="100" w:after="240"/>
        <w:contextualSpacing/>
        <w:jc w:val="both"/>
        <w:rPr>
          <w:rFonts w:ascii="Bookman Old Style" w:hAnsi="Bookman Old Style"/>
        </w:rPr>
      </w:pPr>
      <w:r w:rsidRPr="00BA2BA5">
        <w:rPr>
          <w:rFonts w:ascii="Bookman Old Style" w:hAnsi="Bookman Old Style"/>
        </w:rPr>
        <w:t>Fire incidents are the least frequent in the data set.  However, incidents categorized as fires are equally distributed throughout the city in a similar pattern to the overall service demand.</w:t>
      </w:r>
      <w:r w:rsidR="003B47E0" w:rsidRPr="00BA2BA5">
        <w:rPr>
          <w:rFonts w:ascii="Bookman Old Style" w:hAnsi="Bookman Old Style"/>
        </w:rPr>
        <w:t xml:space="preserve">  In recent history (within the past 5 years) the Pasco Fire Department has experienced an average of at least 1 multiple alarm </w:t>
      </w:r>
      <w:r w:rsidR="001D5F1F" w:rsidRPr="00BA2BA5">
        <w:rPr>
          <w:rFonts w:ascii="Bookman Old Style" w:hAnsi="Bookman Old Style"/>
        </w:rPr>
        <w:t>(3</w:t>
      </w:r>
      <w:r w:rsidR="001D5F1F" w:rsidRPr="00BA2BA5">
        <w:rPr>
          <w:rFonts w:ascii="Bookman Old Style" w:hAnsi="Bookman Old Style"/>
          <w:vertAlign w:val="superscript"/>
        </w:rPr>
        <w:t>rd</w:t>
      </w:r>
      <w:r w:rsidR="001D5F1F" w:rsidRPr="00BA2BA5">
        <w:rPr>
          <w:rFonts w:ascii="Bookman Old Style" w:hAnsi="Bookman Old Style"/>
        </w:rPr>
        <w:t xml:space="preserve"> Alarm or higher) </w:t>
      </w:r>
      <w:r w:rsidR="003B47E0" w:rsidRPr="00BA2BA5">
        <w:rPr>
          <w:rFonts w:ascii="Bookman Old Style" w:hAnsi="Bookman Old Style"/>
        </w:rPr>
        <w:t xml:space="preserve">commercial structure fire.  These fires have been located in the central section of the city between Station 81 and Hwy. 395 and south of I-182 to the southern urban growth boundary.  </w:t>
      </w:r>
    </w:p>
    <w:p w:rsidR="005D6905" w:rsidRDefault="009F68A4" w:rsidP="00460C40">
      <w:pPr>
        <w:pStyle w:val="NoSpacing"/>
        <w:spacing w:afterLines="200" w:after="480"/>
        <w:contextualSpacing/>
        <w:jc w:val="center"/>
        <w:rPr>
          <w:rFonts w:ascii="Bookman Old Style" w:hAnsi="Bookman Old Style"/>
        </w:rPr>
      </w:pPr>
      <w:r w:rsidRPr="00DA253A">
        <w:rPr>
          <w:noProof/>
        </w:rPr>
        <w:lastRenderedPageBreak/>
        <w:drawing>
          <wp:inline distT="0" distB="0" distL="0" distR="0" wp14:anchorId="0B0F14D1" wp14:editId="5C9E40B5">
            <wp:extent cx="5168265" cy="327472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D Fire Incidents_Densit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2823" cy="3283951"/>
                    </a:xfrm>
                    <a:prstGeom prst="rect">
                      <a:avLst/>
                    </a:prstGeom>
                  </pic:spPr>
                </pic:pic>
              </a:graphicData>
            </a:graphic>
          </wp:inline>
        </w:drawing>
      </w:r>
    </w:p>
    <w:p w:rsidR="005D6905" w:rsidRDefault="005D6905" w:rsidP="005D6905">
      <w:pPr>
        <w:pStyle w:val="NoSpacing"/>
        <w:spacing w:afterLines="200" w:after="480"/>
        <w:contextualSpacing/>
        <w:jc w:val="both"/>
        <w:rPr>
          <w:rFonts w:ascii="Bookman Old Style" w:hAnsi="Bookman Old Style"/>
        </w:rPr>
      </w:pPr>
    </w:p>
    <w:p w:rsidR="005F3E97" w:rsidRPr="003746A2" w:rsidRDefault="00DB2859" w:rsidP="008A5557">
      <w:pPr>
        <w:pStyle w:val="Heading5"/>
        <w:spacing w:before="0" w:after="200"/>
        <w:rPr>
          <w:b/>
          <w:i/>
          <w:color w:val="auto"/>
          <w:sz w:val="24"/>
          <w:szCs w:val="24"/>
        </w:rPr>
      </w:pPr>
      <w:bookmarkStart w:id="32" w:name="_Toc474159557"/>
      <w:bookmarkStart w:id="33" w:name="_Toc475003860"/>
      <w:r w:rsidRPr="003746A2">
        <w:rPr>
          <w:b/>
          <w:i/>
          <w:color w:val="auto"/>
          <w:sz w:val="24"/>
          <w:szCs w:val="24"/>
        </w:rPr>
        <w:t>Probability of Occurrence</w:t>
      </w:r>
      <w:bookmarkEnd w:id="32"/>
      <w:bookmarkEnd w:id="33"/>
    </w:p>
    <w:p w:rsidR="00DB2859" w:rsidRPr="00BA2BA5" w:rsidRDefault="00DB2859" w:rsidP="005D6905">
      <w:pPr>
        <w:pStyle w:val="NoSpacing"/>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There are various methods for calculating the probability of occurrence.  For</w:t>
      </w:r>
      <w:r w:rsidR="004629FB" w:rsidRPr="00BA2BA5">
        <w:rPr>
          <w:rFonts w:ascii="Bookman Old Style" w:hAnsi="Bookman Old Style"/>
          <w:color w:val="000000" w:themeColor="text1"/>
        </w:rPr>
        <w:t xml:space="preserve"> the purposes of this document percentage of event types were averaged over a five year time frame (2011-2015).  The event type percentage</w:t>
      </w:r>
      <w:r w:rsidRPr="00BA2BA5">
        <w:rPr>
          <w:rFonts w:ascii="Bookman Old Style" w:hAnsi="Bookman Old Style"/>
          <w:color w:val="000000" w:themeColor="text1"/>
        </w:rPr>
        <w:t xml:space="preserve"> used to calculate probability of events for this deployment standard is described in the following charts.</w:t>
      </w:r>
    </w:p>
    <w:p w:rsidR="004629FB" w:rsidRDefault="004629FB" w:rsidP="005D6905">
      <w:pPr>
        <w:pStyle w:val="NoSpacing"/>
        <w:spacing w:after="200"/>
        <w:contextualSpacing/>
        <w:jc w:val="both"/>
        <w:rPr>
          <w:color w:val="000000" w:themeColor="text1"/>
        </w:rPr>
      </w:pPr>
    </w:p>
    <w:p w:rsidR="004629FB" w:rsidRDefault="008D1F2E" w:rsidP="00B16D00">
      <w:pPr>
        <w:pStyle w:val="NoSpacing"/>
        <w:jc w:val="center"/>
        <w:rPr>
          <w:color w:val="000000" w:themeColor="text1"/>
        </w:rPr>
      </w:pPr>
      <w:r w:rsidRPr="008D1F2E">
        <w:rPr>
          <w:noProof/>
        </w:rPr>
        <w:drawing>
          <wp:inline distT="0" distB="0" distL="0" distR="0" wp14:anchorId="3E255518" wp14:editId="393E3E6E">
            <wp:extent cx="2238375" cy="3005398"/>
            <wp:effectExtent l="0" t="0" r="0" b="508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5070" cy="3027813"/>
                    </a:xfrm>
                    <a:prstGeom prst="rect">
                      <a:avLst/>
                    </a:prstGeom>
                    <a:noFill/>
                    <a:ln>
                      <a:noFill/>
                    </a:ln>
                  </pic:spPr>
                </pic:pic>
              </a:graphicData>
            </a:graphic>
          </wp:inline>
        </w:drawing>
      </w:r>
    </w:p>
    <w:p w:rsidR="00DB2859" w:rsidRDefault="00DB2859" w:rsidP="00BA7F74">
      <w:pPr>
        <w:pStyle w:val="NoSpacing"/>
        <w:rPr>
          <w:color w:val="000000" w:themeColor="text1"/>
        </w:rPr>
      </w:pPr>
    </w:p>
    <w:p w:rsidR="008672FA" w:rsidRPr="00BA2BA5" w:rsidRDefault="008D1F2E" w:rsidP="005D6905">
      <w:pPr>
        <w:pStyle w:val="NoSpacing"/>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lastRenderedPageBreak/>
        <w:t>Based upon the historical trends pres</w:t>
      </w:r>
      <w:r w:rsidR="00C95C29" w:rsidRPr="00BA2BA5">
        <w:rPr>
          <w:rFonts w:ascii="Bookman Old Style" w:hAnsi="Bookman Old Style"/>
          <w:color w:val="000000" w:themeColor="text1"/>
        </w:rPr>
        <w:t>ented thus far, it is reasonable</w:t>
      </w:r>
      <w:r w:rsidRPr="00BA2BA5">
        <w:rPr>
          <w:rFonts w:ascii="Bookman Old Style" w:hAnsi="Bookman Old Style"/>
          <w:color w:val="000000" w:themeColor="text1"/>
        </w:rPr>
        <w:t xml:space="preserve"> to extrapolate that calls for service will continue to trend upwards at a rate of approximately 16% per year</w:t>
      </w:r>
      <w:r w:rsidR="00C95C29" w:rsidRPr="00BA2BA5">
        <w:rPr>
          <w:rFonts w:ascii="Bookman Old Style" w:hAnsi="Bookman Old Style"/>
          <w:color w:val="000000" w:themeColor="text1"/>
        </w:rPr>
        <w:t>.  We can assume that the event type probability will remain fairly constant, and that based upon</w:t>
      </w:r>
      <w:r w:rsidR="00B90420" w:rsidRPr="00BA2BA5">
        <w:rPr>
          <w:rFonts w:ascii="Bookman Old Style" w:hAnsi="Bookman Old Style"/>
          <w:color w:val="000000" w:themeColor="text1"/>
        </w:rPr>
        <w:t xml:space="preserve"> historical,</w:t>
      </w:r>
      <w:r w:rsidR="00C95C29" w:rsidRPr="00BA2BA5">
        <w:rPr>
          <w:rFonts w:ascii="Bookman Old Style" w:hAnsi="Bookman Old Style"/>
          <w:color w:val="000000" w:themeColor="text1"/>
        </w:rPr>
        <w:t xml:space="preserve"> geographical and temporal analysis that the calls will continue to occur in the central corridor and northwest portions of the city and be fairly consistent with the activity level of the population.    It is also reasonable to project that the primary event categories will be EMS, Service Calls (which include lift assists, burning complaints, etc.), False/Other (which include inadvertent alarm activations, vicinity alarms, etc.) and Fires which can be sub-categorized as structural, wildland, and vehicle.</w:t>
      </w:r>
    </w:p>
    <w:p w:rsidR="00346EF8" w:rsidRPr="00BA2BA5" w:rsidRDefault="00346EF8" w:rsidP="005D6905">
      <w:pPr>
        <w:pStyle w:val="NoSpacing"/>
        <w:spacing w:after="200"/>
        <w:contextualSpacing/>
        <w:jc w:val="both"/>
        <w:rPr>
          <w:rFonts w:ascii="Bookman Old Style" w:hAnsi="Bookman Old Style"/>
          <w:color w:val="000000" w:themeColor="text1"/>
        </w:rPr>
      </w:pPr>
    </w:p>
    <w:p w:rsidR="00C1765E" w:rsidRPr="00BA2BA5" w:rsidRDefault="00C1765E" w:rsidP="005D6905">
      <w:pPr>
        <w:pStyle w:val="NoSpacing"/>
        <w:spacing w:after="200"/>
        <w:contextualSpacing/>
        <w:jc w:val="both"/>
        <w:rPr>
          <w:rFonts w:ascii="Bookman Old Style" w:hAnsi="Bookman Old Style"/>
          <w:color w:val="000000" w:themeColor="text1"/>
        </w:rPr>
      </w:pPr>
      <w:r w:rsidRPr="00BA2BA5">
        <w:rPr>
          <w:rFonts w:ascii="Bookman Old Style" w:hAnsi="Bookman Old Style"/>
          <w:color w:val="000000" w:themeColor="text1"/>
        </w:rPr>
        <w:t>Calls for service utilize available resources.  This resource draw must be considered in the risk analysis.  The following chart identifies the average number of responders to the event types.</w:t>
      </w:r>
    </w:p>
    <w:p w:rsidR="00AA373D" w:rsidRDefault="00AA373D" w:rsidP="00AA373D">
      <w:pPr>
        <w:pStyle w:val="NoSpacing"/>
        <w:jc w:val="center"/>
        <w:rPr>
          <w:color w:val="000000" w:themeColor="text1"/>
        </w:rPr>
      </w:pPr>
      <w:r w:rsidRPr="00C1765E">
        <w:rPr>
          <w:noProof/>
        </w:rPr>
        <w:drawing>
          <wp:inline distT="0" distB="0" distL="0" distR="0" wp14:anchorId="23EDCB18" wp14:editId="749515FB">
            <wp:extent cx="2609850" cy="3191146"/>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924" cy="3203464"/>
                    </a:xfrm>
                    <a:prstGeom prst="rect">
                      <a:avLst/>
                    </a:prstGeom>
                    <a:noFill/>
                    <a:ln>
                      <a:noFill/>
                    </a:ln>
                  </pic:spPr>
                </pic:pic>
              </a:graphicData>
            </a:graphic>
          </wp:inline>
        </w:drawing>
      </w:r>
    </w:p>
    <w:p w:rsidR="008A5557" w:rsidRDefault="008A5557" w:rsidP="009F68A4">
      <w:pPr>
        <w:rPr>
          <w:rFonts w:ascii="Bookman Old Style" w:hAnsi="Bookman Old Style"/>
          <w:sz w:val="24"/>
          <w:szCs w:val="24"/>
        </w:rPr>
      </w:pPr>
      <w:bookmarkStart w:id="34" w:name="_Toc474159558"/>
    </w:p>
    <w:p w:rsidR="00CD55E5" w:rsidRPr="003746A2" w:rsidRDefault="00CD55E5" w:rsidP="008A5557">
      <w:pPr>
        <w:pStyle w:val="Heading1"/>
        <w:rPr>
          <w:i/>
          <w:color w:val="auto"/>
          <w:sz w:val="24"/>
          <w:szCs w:val="24"/>
        </w:rPr>
      </w:pPr>
      <w:bookmarkStart w:id="35" w:name="_Toc475003861"/>
      <w:r w:rsidRPr="003746A2">
        <w:rPr>
          <w:i/>
          <w:color w:val="auto"/>
          <w:sz w:val="24"/>
          <w:szCs w:val="24"/>
        </w:rPr>
        <w:t>Section V</w:t>
      </w:r>
      <w:bookmarkEnd w:id="34"/>
      <w:bookmarkEnd w:id="35"/>
    </w:p>
    <w:p w:rsidR="005F3E97" w:rsidRPr="003746A2" w:rsidRDefault="0081410D" w:rsidP="008A5557">
      <w:pPr>
        <w:pStyle w:val="Heading2"/>
        <w:spacing w:before="0" w:after="200"/>
        <w:rPr>
          <w:i/>
          <w:color w:val="auto"/>
          <w:sz w:val="24"/>
          <w:szCs w:val="24"/>
        </w:rPr>
      </w:pPr>
      <w:bookmarkStart w:id="36" w:name="_Toc474159559"/>
      <w:bookmarkStart w:id="37" w:name="_Toc475003862"/>
      <w:r w:rsidRPr="003746A2">
        <w:rPr>
          <w:i/>
          <w:color w:val="auto"/>
          <w:sz w:val="24"/>
          <w:szCs w:val="24"/>
        </w:rPr>
        <w:t>Fire Emergency/Deployment</w:t>
      </w:r>
      <w:bookmarkEnd w:id="36"/>
      <w:bookmarkEnd w:id="37"/>
    </w:p>
    <w:p w:rsidR="009223D1" w:rsidRDefault="005F102D" w:rsidP="00AA373D">
      <w:pPr>
        <w:pStyle w:val="NoSpacing"/>
        <w:spacing w:after="200"/>
        <w:contextualSpacing/>
        <w:jc w:val="both"/>
        <w:rPr>
          <w:rFonts w:ascii="Bookman Old Style" w:hAnsi="Bookman Old Style"/>
        </w:rPr>
      </w:pPr>
      <w:r w:rsidRPr="00BA2BA5">
        <w:rPr>
          <w:rFonts w:ascii="Bookman Old Style" w:hAnsi="Bookman Old Style"/>
        </w:rPr>
        <w:t>NFPA 1710 (</w:t>
      </w:r>
      <w:r w:rsidRPr="00BA2BA5">
        <w:rPr>
          <w:rFonts w:ascii="Bookman Old Style" w:hAnsi="Bookman Old Style"/>
          <w:i/>
        </w:rPr>
        <w:t xml:space="preserve">Standard for the Organization and Deployment of Fire Suppression Operations, Emergency Medical Operations, and Special Operations to the Public by Career Fire Departments – 2016 Edition) </w:t>
      </w:r>
      <w:r w:rsidRPr="00BA2BA5">
        <w:rPr>
          <w:rFonts w:ascii="Bookman Old Style" w:hAnsi="Bookman Old Style"/>
        </w:rPr>
        <w:t>identifies those critical tasks necessary for the successful mitigation of fire and other emergencies.  A comparative analysis of those tasks and the City of Pasco daily minimal staffing can be used to determine the number and types of units necessary for the mitigation of emergencies.</w:t>
      </w:r>
      <w:r w:rsidR="004F3FBB" w:rsidRPr="00BA2BA5">
        <w:rPr>
          <w:rFonts w:ascii="Bookman Old Style" w:hAnsi="Bookman Old Style"/>
        </w:rPr>
        <w:t xml:space="preserve">  The NFPA 1710 categorizes structural fires into four sub-divisions that are defined below:</w:t>
      </w:r>
    </w:p>
    <w:p w:rsidR="0071465F" w:rsidRDefault="0071465F" w:rsidP="00AA373D">
      <w:pPr>
        <w:pStyle w:val="NoSpacing"/>
        <w:spacing w:after="200"/>
        <w:contextualSpacing/>
        <w:jc w:val="both"/>
        <w:rPr>
          <w:rFonts w:ascii="Bookman Old Style" w:hAnsi="Bookman Old Style"/>
        </w:rPr>
      </w:pPr>
    </w:p>
    <w:p w:rsidR="0071465F" w:rsidRPr="00BA2BA5" w:rsidRDefault="0071465F" w:rsidP="00AA373D">
      <w:pPr>
        <w:pStyle w:val="NoSpacing"/>
        <w:spacing w:after="200"/>
        <w:contextualSpacing/>
        <w:jc w:val="both"/>
        <w:rPr>
          <w:rFonts w:ascii="Bookman Old Style" w:hAnsi="Bookman Old Style"/>
        </w:rPr>
      </w:pPr>
    </w:p>
    <w:p w:rsidR="004F3FBB" w:rsidRPr="00BA2BA5" w:rsidRDefault="004F3FBB" w:rsidP="00AA373D">
      <w:pPr>
        <w:pStyle w:val="NoSpacing"/>
        <w:spacing w:after="200"/>
        <w:contextualSpacing/>
        <w:jc w:val="both"/>
        <w:rPr>
          <w:rFonts w:ascii="Bookman Old Style" w:hAnsi="Bookman Old Style"/>
        </w:rPr>
      </w:pPr>
    </w:p>
    <w:p w:rsidR="004F3FBB" w:rsidRPr="00BA2BA5" w:rsidRDefault="004F3FBB" w:rsidP="00AA373D">
      <w:pPr>
        <w:pStyle w:val="NoSpacing"/>
        <w:spacing w:after="200"/>
        <w:contextualSpacing/>
        <w:jc w:val="both"/>
        <w:rPr>
          <w:rFonts w:ascii="Bookman Old Style" w:hAnsi="Bookman Old Style"/>
        </w:rPr>
      </w:pPr>
      <w:r w:rsidRPr="00BA2BA5">
        <w:rPr>
          <w:rFonts w:ascii="Bookman Old Style" w:hAnsi="Bookman Old Style"/>
          <w:b/>
        </w:rPr>
        <w:lastRenderedPageBreak/>
        <w:t>Single – Family Dwellings</w:t>
      </w:r>
      <w:r w:rsidRPr="00BA2BA5">
        <w:rPr>
          <w:rFonts w:ascii="Bookman Old Style" w:hAnsi="Bookman Old Style"/>
        </w:rPr>
        <w:t xml:space="preserve"> – “</w:t>
      </w:r>
      <w:r w:rsidRPr="00BA2BA5">
        <w:rPr>
          <w:rFonts w:ascii="Bookman Old Style" w:hAnsi="Bookman Old Style"/>
          <w:i/>
        </w:rPr>
        <w:t>a typical 2000 sq. ft., two story single family dwelling without basement and with no exposures</w:t>
      </w:r>
      <w:r w:rsidRPr="00BA2BA5">
        <w:rPr>
          <w:rFonts w:ascii="Bookman Old Style" w:hAnsi="Bookman Old Style"/>
        </w:rPr>
        <w:t>”</w:t>
      </w:r>
    </w:p>
    <w:p w:rsidR="004F3FBB" w:rsidRPr="00BA2BA5" w:rsidRDefault="004F3FBB" w:rsidP="00AA373D">
      <w:pPr>
        <w:pStyle w:val="NoSpacing"/>
        <w:spacing w:after="200"/>
        <w:contextualSpacing/>
        <w:jc w:val="both"/>
        <w:rPr>
          <w:rFonts w:ascii="Bookman Old Style" w:hAnsi="Bookman Old Style"/>
        </w:rPr>
      </w:pPr>
      <w:r w:rsidRPr="00BA2BA5">
        <w:rPr>
          <w:rFonts w:ascii="Bookman Old Style" w:hAnsi="Bookman Old Style"/>
          <w:b/>
        </w:rPr>
        <w:t xml:space="preserve">Open-Air Strip Shopping Center </w:t>
      </w:r>
      <w:r w:rsidRPr="00BA2BA5">
        <w:rPr>
          <w:rFonts w:ascii="Bookman Old Style" w:hAnsi="Bookman Old Style"/>
        </w:rPr>
        <w:t>– “a typical open-air strip shopping center ranging from 13,000 to 196,000 sq. ft.”</w:t>
      </w:r>
    </w:p>
    <w:p w:rsidR="004F3FBB" w:rsidRPr="00BA2BA5" w:rsidRDefault="004F3FBB" w:rsidP="00AA373D">
      <w:pPr>
        <w:pStyle w:val="NoSpacing"/>
        <w:spacing w:after="200"/>
        <w:contextualSpacing/>
        <w:jc w:val="both"/>
        <w:rPr>
          <w:rFonts w:ascii="Bookman Old Style" w:hAnsi="Bookman Old Style"/>
          <w:i/>
        </w:rPr>
      </w:pPr>
      <w:r w:rsidRPr="00BA2BA5">
        <w:rPr>
          <w:rFonts w:ascii="Bookman Old Style" w:hAnsi="Bookman Old Style"/>
          <w:b/>
        </w:rPr>
        <w:t>Apartment</w:t>
      </w:r>
      <w:r w:rsidRPr="00BA2BA5">
        <w:rPr>
          <w:rFonts w:ascii="Bookman Old Style" w:hAnsi="Bookman Old Style"/>
        </w:rPr>
        <w:t xml:space="preserve"> – “</w:t>
      </w:r>
      <w:r w:rsidRPr="00BA2BA5">
        <w:rPr>
          <w:rFonts w:ascii="Bookman Old Style" w:hAnsi="Bookman Old Style"/>
          <w:i/>
        </w:rPr>
        <w:t>a typical 1200 sq. ft. apartment within a three-story, garden style apartment”</w:t>
      </w:r>
    </w:p>
    <w:p w:rsidR="004F3FBB" w:rsidRPr="00BA2BA5" w:rsidRDefault="004F3FBB" w:rsidP="00AA373D">
      <w:pPr>
        <w:pStyle w:val="NoSpacing"/>
        <w:spacing w:after="200"/>
        <w:contextualSpacing/>
        <w:jc w:val="both"/>
        <w:rPr>
          <w:rFonts w:ascii="Bookman Old Style" w:hAnsi="Bookman Old Style"/>
        </w:rPr>
      </w:pPr>
      <w:r w:rsidRPr="00BA2BA5">
        <w:rPr>
          <w:rFonts w:ascii="Bookman Old Style" w:hAnsi="Bookman Old Style"/>
          <w:b/>
        </w:rPr>
        <w:t>High – Rise</w:t>
      </w:r>
      <w:r w:rsidRPr="00BA2BA5">
        <w:rPr>
          <w:rFonts w:ascii="Bookman Old Style" w:hAnsi="Bookman Old Style"/>
        </w:rPr>
        <w:t xml:space="preserve"> – “</w:t>
      </w:r>
      <w:r w:rsidRPr="00BA2BA5">
        <w:rPr>
          <w:rFonts w:ascii="Bookman Old Style" w:hAnsi="Bookman Old Style"/>
          <w:i/>
        </w:rPr>
        <w:t>a building with the highest floor greater than 75 ft. above the lowest level of fire department vehicle access”</w:t>
      </w:r>
    </w:p>
    <w:p w:rsidR="00977642" w:rsidRPr="00BA2BA5" w:rsidRDefault="00977642" w:rsidP="00AA373D">
      <w:pPr>
        <w:pStyle w:val="NoSpacing"/>
        <w:spacing w:after="200"/>
        <w:contextualSpacing/>
        <w:jc w:val="both"/>
        <w:rPr>
          <w:rFonts w:ascii="Bookman Old Style" w:hAnsi="Bookman Old Style"/>
        </w:rPr>
      </w:pPr>
    </w:p>
    <w:p w:rsidR="0081410D" w:rsidRDefault="0081410D" w:rsidP="00AA373D">
      <w:pPr>
        <w:pStyle w:val="NoSpacing"/>
        <w:spacing w:after="200"/>
        <w:contextualSpacing/>
        <w:jc w:val="both"/>
        <w:rPr>
          <w:rFonts w:ascii="Bookman Old Style" w:hAnsi="Bookman Old Style"/>
        </w:rPr>
      </w:pPr>
      <w:r w:rsidRPr="00BA2BA5">
        <w:rPr>
          <w:rFonts w:ascii="Bookman Old Style" w:hAnsi="Bookman Old Style"/>
        </w:rPr>
        <w:t>Washington Administrative Code (WAC) 296-305 Chapters 05000 and 05002 identify the critical positions necessary for operational compliance at a working structural fire.  Those positions are – a qualified incident commander, a two person fire attack team, and a two person back-up team (unless in a known rescue situation in which case the backup team can be reduced to 1).  The WAC further specifies that once a fire has extended beyond the “initial attack” phase, a rapid intervention team must be staffed.</w:t>
      </w:r>
      <w:r w:rsidR="00A11ED0" w:rsidRPr="00BA2BA5">
        <w:rPr>
          <w:rFonts w:ascii="Bookman Old Style" w:hAnsi="Bookman Old Style"/>
        </w:rPr>
        <w:t xml:space="preserve">  The WAC further stipulates that “once a second crew arrives at the hot zone, th</w:t>
      </w:r>
      <w:r w:rsidR="004D55C4" w:rsidRPr="00BA2BA5">
        <w:rPr>
          <w:rFonts w:ascii="Bookman Old Style" w:hAnsi="Bookman Old Style"/>
        </w:rPr>
        <w:t>e</w:t>
      </w:r>
      <w:r w:rsidR="00A11ED0" w:rsidRPr="00BA2BA5">
        <w:rPr>
          <w:rFonts w:ascii="Bookman Old Style" w:hAnsi="Bookman Old Style"/>
        </w:rPr>
        <w:t xml:space="preserve"> incident shall no longer be considered to be in the “initial stage”.</w:t>
      </w:r>
      <w:r w:rsidR="004D55C4" w:rsidRPr="00BA2BA5">
        <w:rPr>
          <w:rFonts w:ascii="Bookman Old Style" w:hAnsi="Bookman Old Style"/>
        </w:rPr>
        <w:t xml:space="preserve">  The chart below graphically represents the deployment order of priority at a structural fire assignment.</w:t>
      </w:r>
    </w:p>
    <w:p w:rsidR="00503B63" w:rsidRDefault="00503B63" w:rsidP="00AA373D">
      <w:pPr>
        <w:pStyle w:val="NoSpacing"/>
        <w:spacing w:after="200"/>
        <w:contextualSpacing/>
        <w:jc w:val="both"/>
        <w:rPr>
          <w:rFonts w:ascii="Bookman Old Style" w:hAnsi="Bookman Old Style"/>
        </w:rPr>
      </w:pPr>
    </w:p>
    <w:p w:rsidR="00503B63" w:rsidRDefault="00503B63" w:rsidP="00AA373D">
      <w:pPr>
        <w:pStyle w:val="NoSpacing"/>
        <w:spacing w:after="200"/>
        <w:contextualSpacing/>
        <w:jc w:val="both"/>
        <w:rPr>
          <w:rFonts w:ascii="Bookman Old Style" w:hAnsi="Bookman Old Style"/>
        </w:rPr>
      </w:pPr>
    </w:p>
    <w:p w:rsidR="0071465F" w:rsidRDefault="0071465F" w:rsidP="00AA373D">
      <w:pPr>
        <w:pStyle w:val="NoSpacing"/>
        <w:spacing w:after="200"/>
        <w:contextualSpacing/>
        <w:jc w:val="both"/>
        <w:rPr>
          <w:rFonts w:ascii="Bookman Old Style" w:hAnsi="Bookman Old Style"/>
        </w:rPr>
      </w:pPr>
    </w:p>
    <w:p w:rsidR="0071465F" w:rsidRPr="00BA2BA5" w:rsidRDefault="0071465F" w:rsidP="00AA373D">
      <w:pPr>
        <w:pStyle w:val="NoSpacing"/>
        <w:spacing w:after="200"/>
        <w:contextualSpacing/>
        <w:jc w:val="both"/>
        <w:rPr>
          <w:rFonts w:ascii="Bookman Old Style" w:hAnsi="Bookman Old Style"/>
        </w:rPr>
      </w:pPr>
    </w:p>
    <w:p w:rsidR="004D55C4" w:rsidRDefault="003D659B" w:rsidP="00BA7F74">
      <w:pPr>
        <w:pStyle w:val="NoSpacing"/>
      </w:pPr>
      <w:r w:rsidRPr="003D659B">
        <w:rPr>
          <w:noProof/>
          <w:sz w:val="18"/>
        </w:rPr>
        <mc:AlternateContent>
          <mc:Choice Requires="wpg">
            <w:drawing>
              <wp:anchor distT="0" distB="0" distL="114300" distR="114300" simplePos="0" relativeHeight="251659264" behindDoc="0" locked="0" layoutInCell="1" allowOverlap="1" wp14:anchorId="16793C37" wp14:editId="4407D163">
                <wp:simplePos x="0" y="0"/>
                <wp:positionH relativeFrom="column">
                  <wp:posOffset>126365</wp:posOffset>
                </wp:positionH>
                <wp:positionV relativeFrom="paragraph">
                  <wp:posOffset>59690</wp:posOffset>
                </wp:positionV>
                <wp:extent cx="5855970" cy="2753360"/>
                <wp:effectExtent l="19050" t="0" r="11430" b="66040"/>
                <wp:wrapNone/>
                <wp:docPr id="45" name="Group 45"/>
                <wp:cNvGraphicFramePr/>
                <a:graphic xmlns:a="http://schemas.openxmlformats.org/drawingml/2006/main">
                  <a:graphicData uri="http://schemas.microsoft.com/office/word/2010/wordprocessingGroup">
                    <wpg:wgp>
                      <wpg:cNvGrpSpPr/>
                      <wpg:grpSpPr>
                        <a:xfrm>
                          <a:off x="0" y="0"/>
                          <a:ext cx="5855970" cy="2753360"/>
                          <a:chOff x="0" y="0"/>
                          <a:chExt cx="5856388" cy="2753771"/>
                        </a:xfrm>
                      </wpg:grpSpPr>
                      <wps:wsp>
                        <wps:cNvPr id="46" name="Straight Connector 46"/>
                        <wps:cNvCnPr/>
                        <wps:spPr>
                          <a:xfrm>
                            <a:off x="0" y="290705"/>
                            <a:ext cx="5856388" cy="0"/>
                          </a:xfrm>
                          <a:prstGeom prst="line">
                            <a:avLst/>
                          </a:prstGeom>
                          <a:noFill/>
                          <a:ln w="9525" cap="flat" cmpd="sng" algn="ctr">
                            <a:solidFill>
                              <a:sysClr val="windowText" lastClr="000000">
                                <a:shade val="95000"/>
                                <a:satMod val="105000"/>
                              </a:sysClr>
                            </a:solidFill>
                            <a:prstDash val="solid"/>
                          </a:ln>
                          <a:effectLst/>
                        </wps:spPr>
                        <wps:bodyPr/>
                      </wps:wsp>
                      <wpg:grpSp>
                        <wpg:cNvPr id="47" name="Group 47"/>
                        <wpg:cNvGrpSpPr/>
                        <wpg:grpSpPr>
                          <a:xfrm>
                            <a:off x="5285" y="412272"/>
                            <a:ext cx="1104265" cy="480695"/>
                            <a:chOff x="0" y="0"/>
                            <a:chExt cx="1104265" cy="480695"/>
                          </a:xfrm>
                        </wpg:grpSpPr>
                        <wps:wsp>
                          <wps:cNvPr id="48" name="Rectangle 48"/>
                          <wps:cNvSpPr/>
                          <wps:spPr>
                            <a:xfrm>
                              <a:off x="0" y="0"/>
                              <a:ext cx="1104265" cy="480695"/>
                            </a:xfrm>
                            <a:prstGeom prst="rect">
                              <a:avLst/>
                            </a:prstGeom>
                            <a:solidFill>
                              <a:sysClr val="window" lastClr="FFFFFF"/>
                            </a:solidFill>
                            <a:ln w="25400"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52856" y="47570"/>
                              <a:ext cx="993683" cy="401375"/>
                            </a:xfrm>
                            <a:prstGeom prst="rect">
                              <a:avLst/>
                            </a:prstGeom>
                            <a:solidFill>
                              <a:sysClr val="window" lastClr="FFFFFF"/>
                            </a:solidFill>
                            <a:ln w="6350">
                              <a:noFill/>
                            </a:ln>
                            <a:effectLst/>
                          </wps:spPr>
                          <wps:txbx>
                            <w:txbxContent>
                              <w:p w:rsidR="003E1951" w:rsidRPr="00727482" w:rsidRDefault="003E1951" w:rsidP="003D659B">
                                <w:pPr>
                                  <w:pStyle w:val="NoSpacing"/>
                                  <w:jc w:val="center"/>
                                  <w:rPr>
                                    <w:b/>
                                    <w:sz w:val="18"/>
                                  </w:rPr>
                                </w:pPr>
                                <w:r w:rsidRPr="00727482">
                                  <w:rPr>
                                    <w:b/>
                                    <w:sz w:val="18"/>
                                  </w:rPr>
                                  <w:t>1st</w:t>
                                </w:r>
                              </w:p>
                              <w:p w:rsidR="003E1951" w:rsidRPr="00727482" w:rsidRDefault="003E1951" w:rsidP="003D659B">
                                <w:pPr>
                                  <w:pStyle w:val="NoSpacing"/>
                                  <w:jc w:val="center"/>
                                  <w:rPr>
                                    <w:b/>
                                    <w:sz w:val="18"/>
                                  </w:rPr>
                                </w:pPr>
                                <w:r w:rsidRPr="00727482">
                                  <w:rPr>
                                    <w:b/>
                                    <w:sz w:val="18"/>
                                  </w:rPr>
                                  <w:t>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oup 50"/>
                        <wpg:cNvGrpSpPr/>
                        <wpg:grpSpPr>
                          <a:xfrm>
                            <a:off x="5285" y="993683"/>
                            <a:ext cx="1104265" cy="496570"/>
                            <a:chOff x="0" y="0"/>
                            <a:chExt cx="1104265" cy="496570"/>
                          </a:xfrm>
                        </wpg:grpSpPr>
                        <wps:wsp>
                          <wps:cNvPr id="51" name="Rectangle 51"/>
                          <wps:cNvSpPr/>
                          <wps:spPr>
                            <a:xfrm>
                              <a:off x="0" y="0"/>
                              <a:ext cx="1104265" cy="496570"/>
                            </a:xfrm>
                            <a:prstGeom prst="rect">
                              <a:avLst/>
                            </a:prstGeom>
                            <a:solidFill>
                              <a:sysClr val="window" lastClr="FFFFFF"/>
                            </a:solidFill>
                            <a:ln w="25400"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58141" y="68712"/>
                              <a:ext cx="993683" cy="401375"/>
                            </a:xfrm>
                            <a:prstGeom prst="rect">
                              <a:avLst/>
                            </a:prstGeom>
                            <a:solidFill>
                              <a:sysClr val="window" lastClr="FFFFFF"/>
                            </a:solidFill>
                            <a:ln w="6350">
                              <a:noFill/>
                            </a:ln>
                            <a:effectLst/>
                          </wps:spPr>
                          <wps:txbx>
                            <w:txbxContent>
                              <w:p w:rsidR="003E1951" w:rsidRPr="00727482" w:rsidRDefault="003E1951" w:rsidP="003D659B">
                                <w:pPr>
                                  <w:pStyle w:val="NoSpacing"/>
                                  <w:jc w:val="center"/>
                                  <w:rPr>
                                    <w:b/>
                                    <w:sz w:val="18"/>
                                  </w:rPr>
                                </w:pPr>
                                <w:r w:rsidRPr="00727482">
                                  <w:rPr>
                                    <w:b/>
                                    <w:sz w:val="18"/>
                                  </w:rPr>
                                  <w:t>2nd</w:t>
                                </w:r>
                              </w:p>
                              <w:p w:rsidR="003E1951" w:rsidRPr="00727482" w:rsidRDefault="003E1951" w:rsidP="003D659B">
                                <w:pPr>
                                  <w:pStyle w:val="NoSpacing"/>
                                  <w:jc w:val="center"/>
                                  <w:rPr>
                                    <w:b/>
                                    <w:sz w:val="18"/>
                                  </w:rPr>
                                </w:pPr>
                                <w:r w:rsidRPr="00727482">
                                  <w:rPr>
                                    <w:b/>
                                    <w:sz w:val="18"/>
                                  </w:rPr>
                                  <w:t>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oup 53"/>
                        <wpg:cNvGrpSpPr/>
                        <wpg:grpSpPr>
                          <a:xfrm>
                            <a:off x="5285" y="1580379"/>
                            <a:ext cx="1104265" cy="491556"/>
                            <a:chOff x="0" y="0"/>
                            <a:chExt cx="1104265" cy="491556"/>
                          </a:xfrm>
                        </wpg:grpSpPr>
                        <wps:wsp>
                          <wps:cNvPr id="54" name="Rectangle 54"/>
                          <wps:cNvSpPr/>
                          <wps:spPr>
                            <a:xfrm>
                              <a:off x="0" y="0"/>
                              <a:ext cx="1104265" cy="491556"/>
                            </a:xfrm>
                            <a:prstGeom prst="rect">
                              <a:avLst/>
                            </a:prstGeom>
                            <a:solidFill>
                              <a:sysClr val="window" lastClr="FFFFFF"/>
                            </a:solidFill>
                            <a:ln w="25400"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52856" y="52855"/>
                              <a:ext cx="993140" cy="395605"/>
                            </a:xfrm>
                            <a:prstGeom prst="rect">
                              <a:avLst/>
                            </a:prstGeom>
                            <a:solidFill>
                              <a:sysClr val="window" lastClr="FFFFFF"/>
                            </a:solidFill>
                            <a:ln w="6350">
                              <a:noFill/>
                            </a:ln>
                            <a:effectLst/>
                          </wps:spPr>
                          <wps:txbx>
                            <w:txbxContent>
                              <w:p w:rsidR="003E1951" w:rsidRPr="00727482" w:rsidRDefault="003E1951" w:rsidP="003D659B">
                                <w:pPr>
                                  <w:pStyle w:val="NoSpacing"/>
                                  <w:jc w:val="center"/>
                                  <w:rPr>
                                    <w:b/>
                                    <w:sz w:val="18"/>
                                  </w:rPr>
                                </w:pPr>
                                <w:r w:rsidRPr="00727482">
                                  <w:rPr>
                                    <w:b/>
                                    <w:sz w:val="18"/>
                                  </w:rPr>
                                  <w:t>3rd</w:t>
                                </w:r>
                              </w:p>
                              <w:p w:rsidR="003E1951" w:rsidRPr="00727482" w:rsidRDefault="003E1951" w:rsidP="003D659B">
                                <w:pPr>
                                  <w:pStyle w:val="NoSpacing"/>
                                  <w:jc w:val="center"/>
                                  <w:rPr>
                                    <w:b/>
                                    <w:sz w:val="18"/>
                                  </w:rPr>
                                </w:pPr>
                                <w:r w:rsidRPr="00727482">
                                  <w:rPr>
                                    <w:b/>
                                    <w:sz w:val="18"/>
                                  </w:rPr>
                                  <w:t>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5285" y="2135362"/>
                            <a:ext cx="1104265" cy="511138"/>
                            <a:chOff x="0" y="0"/>
                            <a:chExt cx="1104265" cy="511138"/>
                          </a:xfrm>
                        </wpg:grpSpPr>
                        <wps:wsp>
                          <wps:cNvPr id="57" name="Rectangle 57"/>
                          <wps:cNvSpPr/>
                          <wps:spPr>
                            <a:xfrm>
                              <a:off x="0" y="0"/>
                              <a:ext cx="1104265" cy="511138"/>
                            </a:xfrm>
                            <a:prstGeom prst="rect">
                              <a:avLst/>
                            </a:prstGeom>
                            <a:solidFill>
                              <a:sysClr val="window" lastClr="FFFFFF"/>
                            </a:solidFill>
                            <a:ln w="25400"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52856" y="31713"/>
                              <a:ext cx="993140" cy="406660"/>
                            </a:xfrm>
                            <a:prstGeom prst="rect">
                              <a:avLst/>
                            </a:prstGeom>
                            <a:solidFill>
                              <a:sysClr val="window" lastClr="FFFFFF"/>
                            </a:solidFill>
                            <a:ln w="6350">
                              <a:noFill/>
                            </a:ln>
                            <a:effectLst/>
                          </wps:spPr>
                          <wps:txbx>
                            <w:txbxContent>
                              <w:p w:rsidR="003E1951" w:rsidRPr="00727482" w:rsidRDefault="003E1951" w:rsidP="003D659B">
                                <w:pPr>
                                  <w:pStyle w:val="NoSpacing"/>
                                  <w:jc w:val="center"/>
                                  <w:rPr>
                                    <w:b/>
                                    <w:sz w:val="18"/>
                                  </w:rPr>
                                </w:pPr>
                                <w:r w:rsidRPr="00727482">
                                  <w:rPr>
                                    <w:b/>
                                    <w:sz w:val="18"/>
                                  </w:rPr>
                                  <w:t>4th</w:t>
                                </w:r>
                              </w:p>
                              <w:p w:rsidR="003E1951" w:rsidRPr="00727482" w:rsidRDefault="003E1951" w:rsidP="003D659B">
                                <w:pPr>
                                  <w:pStyle w:val="NoSpacing"/>
                                  <w:jc w:val="center"/>
                                  <w:rPr>
                                    <w:b/>
                                    <w:sz w:val="18"/>
                                  </w:rPr>
                                </w:pPr>
                                <w:r w:rsidRPr="00727482">
                                  <w:rPr>
                                    <w:b/>
                                    <w:sz w:val="18"/>
                                  </w:rPr>
                                  <w:t>Priority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1913368" y="380559"/>
                            <a:ext cx="1743710" cy="612775"/>
                            <a:chOff x="0" y="0"/>
                            <a:chExt cx="1743710" cy="612775"/>
                          </a:xfrm>
                        </wpg:grpSpPr>
                        <wps:wsp>
                          <wps:cNvPr id="60" name="Rectangle 60"/>
                          <wps:cNvSpPr/>
                          <wps:spPr>
                            <a:xfrm>
                              <a:off x="0" y="0"/>
                              <a:ext cx="1743710" cy="612775"/>
                            </a:xfrm>
                            <a:prstGeom prst="rect">
                              <a:avLst/>
                            </a:prstGeom>
                            <a:noFill/>
                            <a:ln w="25400" cap="flat" cmpd="sng" algn="ctr">
                              <a:solidFill>
                                <a:sysClr val="windowText" lastClr="000000"/>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95140" y="31713"/>
                              <a:ext cx="1574800" cy="512445"/>
                            </a:xfrm>
                            <a:prstGeom prst="rect">
                              <a:avLst/>
                            </a:prstGeom>
                            <a:solidFill>
                              <a:sysClr val="window" lastClr="FFFFFF"/>
                            </a:solidFill>
                            <a:ln w="6350">
                              <a:noFill/>
                            </a:ln>
                            <a:effectLst/>
                          </wps:spPr>
                          <wps:txbx>
                            <w:txbxContent>
                              <w:p w:rsidR="003E1951" w:rsidRPr="009C69CC" w:rsidRDefault="003E1951" w:rsidP="003D659B">
                                <w:pPr>
                                  <w:pStyle w:val="NoSpacing"/>
                                  <w:jc w:val="center"/>
                                  <w:rPr>
                                    <w:b/>
                                    <w:sz w:val="18"/>
                                  </w:rPr>
                                </w:pPr>
                                <w:r w:rsidRPr="009C69CC">
                                  <w:rPr>
                                    <w:b/>
                                    <w:sz w:val="18"/>
                                  </w:rPr>
                                  <w:t>Initial Two-out</w:t>
                                </w:r>
                              </w:p>
                              <w:p w:rsidR="003E1951" w:rsidRPr="009C69CC" w:rsidRDefault="003E1951" w:rsidP="003D659B">
                                <w:pPr>
                                  <w:pStyle w:val="NoSpacing"/>
                                  <w:numPr>
                                    <w:ilvl w:val="0"/>
                                    <w:numId w:val="3"/>
                                  </w:numPr>
                                  <w:ind w:left="180" w:hanging="180"/>
                                  <w:rPr>
                                    <w:sz w:val="14"/>
                                  </w:rPr>
                                </w:pPr>
                                <w:r w:rsidRPr="009C69CC">
                                  <w:rPr>
                                    <w:sz w:val="14"/>
                                  </w:rPr>
                                  <w:t>Incident Commander</w:t>
                                </w:r>
                              </w:p>
                              <w:p w:rsidR="003E1951" w:rsidRPr="009C69CC" w:rsidRDefault="003E1951" w:rsidP="003D659B">
                                <w:pPr>
                                  <w:pStyle w:val="NoSpacing"/>
                                  <w:numPr>
                                    <w:ilvl w:val="0"/>
                                    <w:numId w:val="3"/>
                                  </w:numPr>
                                  <w:ind w:left="180" w:hanging="180"/>
                                  <w:rPr>
                                    <w:sz w:val="14"/>
                                  </w:rPr>
                                </w:pPr>
                                <w:r w:rsidRPr="009C69CC">
                                  <w:rPr>
                                    <w:sz w:val="14"/>
                                  </w:rPr>
                                  <w:t>Pump 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913368" y="1337244"/>
                            <a:ext cx="1743710" cy="691515"/>
                            <a:chOff x="0" y="0"/>
                            <a:chExt cx="1743710" cy="691515"/>
                          </a:xfrm>
                        </wpg:grpSpPr>
                        <wps:wsp>
                          <wps:cNvPr id="63" name="Rectangle 63"/>
                          <wps:cNvSpPr/>
                          <wps:spPr>
                            <a:xfrm>
                              <a:off x="0" y="0"/>
                              <a:ext cx="1743710" cy="691515"/>
                            </a:xfrm>
                            <a:prstGeom prst="rect">
                              <a:avLst/>
                            </a:prstGeom>
                            <a:noFill/>
                            <a:ln w="25400" cap="flat" cmpd="sng" algn="ctr">
                              <a:solidFill>
                                <a:sysClr val="windowText" lastClr="000000"/>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Text Box 1024"/>
                          <wps:cNvSpPr txBox="1"/>
                          <wps:spPr>
                            <a:xfrm>
                              <a:off x="68712" y="42284"/>
                              <a:ext cx="1606807" cy="607027"/>
                            </a:xfrm>
                            <a:prstGeom prst="rect">
                              <a:avLst/>
                            </a:prstGeom>
                            <a:solidFill>
                              <a:sysClr val="window" lastClr="FFFFFF"/>
                            </a:solidFill>
                            <a:ln w="6350">
                              <a:noFill/>
                            </a:ln>
                            <a:effectLst/>
                          </wps:spPr>
                          <wps:txbx>
                            <w:txbxContent>
                              <w:p w:rsidR="003E1951" w:rsidRPr="009C69CC" w:rsidRDefault="003E1951" w:rsidP="003D659B">
                                <w:pPr>
                                  <w:pStyle w:val="NoSpacing"/>
                                  <w:jc w:val="center"/>
                                  <w:rPr>
                                    <w:b/>
                                    <w:sz w:val="18"/>
                                  </w:rPr>
                                </w:pPr>
                                <w:r w:rsidRPr="009C69CC">
                                  <w:rPr>
                                    <w:b/>
                                    <w:sz w:val="18"/>
                                  </w:rPr>
                                  <w:t>High Priority Risk Reduction Tasks</w:t>
                                </w:r>
                              </w:p>
                              <w:p w:rsidR="003E1951" w:rsidRPr="009C69CC" w:rsidRDefault="003E1951" w:rsidP="003D659B">
                                <w:pPr>
                                  <w:pStyle w:val="NoSpacing"/>
                                  <w:rPr>
                                    <w:sz w:val="14"/>
                                  </w:rPr>
                                </w:pPr>
                                <w:r w:rsidRPr="009C69CC">
                                  <w:rPr>
                                    <w:sz w:val="14"/>
                                  </w:rPr>
                                  <w:t>(Water supply, ventilation, rescue, EMS,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6" name="Group 1026"/>
                        <wpg:cNvGrpSpPr/>
                        <wpg:grpSpPr>
                          <a:xfrm>
                            <a:off x="1913368" y="2140647"/>
                            <a:ext cx="1743710" cy="575945"/>
                            <a:chOff x="0" y="0"/>
                            <a:chExt cx="1743710" cy="575945"/>
                          </a:xfrm>
                        </wpg:grpSpPr>
                        <wps:wsp>
                          <wps:cNvPr id="1027" name="Rectangle 1027"/>
                          <wps:cNvSpPr/>
                          <wps:spPr>
                            <a:xfrm>
                              <a:off x="0" y="0"/>
                              <a:ext cx="1743710" cy="575945"/>
                            </a:xfrm>
                            <a:prstGeom prst="rect">
                              <a:avLst/>
                            </a:prstGeom>
                            <a:noFill/>
                            <a:ln w="25400" cap="flat" cmpd="sng" algn="ctr">
                              <a:solidFill>
                                <a:sysClr val="windowText" lastClr="000000"/>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Text Box 1028"/>
                          <wps:cNvSpPr txBox="1"/>
                          <wps:spPr>
                            <a:xfrm>
                              <a:off x="68712" y="47570"/>
                              <a:ext cx="1606550" cy="480985"/>
                            </a:xfrm>
                            <a:prstGeom prst="rect">
                              <a:avLst/>
                            </a:prstGeom>
                            <a:solidFill>
                              <a:sysClr val="window" lastClr="FFFFFF"/>
                            </a:solidFill>
                            <a:ln w="6350">
                              <a:noFill/>
                            </a:ln>
                            <a:effectLst/>
                          </wps:spPr>
                          <wps:txbx>
                            <w:txbxContent>
                              <w:p w:rsidR="003E1951" w:rsidRDefault="003E1951" w:rsidP="003D659B">
                                <w:pPr>
                                  <w:pStyle w:val="NoSpacing"/>
                                  <w:jc w:val="center"/>
                                  <w:rPr>
                                    <w:b/>
                                    <w:sz w:val="18"/>
                                  </w:rPr>
                                </w:pPr>
                                <w:r w:rsidRPr="009C69CC">
                                  <w:rPr>
                                    <w:b/>
                                    <w:sz w:val="18"/>
                                  </w:rPr>
                                  <w:t>Stand-by Crew or RIC</w:t>
                                </w:r>
                              </w:p>
                              <w:p w:rsidR="003E1951" w:rsidRPr="009C69CC" w:rsidRDefault="003E1951" w:rsidP="003D659B">
                                <w:pPr>
                                  <w:pStyle w:val="NoSpacing"/>
                                  <w:jc w:val="center"/>
                                  <w:rPr>
                                    <w:sz w:val="14"/>
                                  </w:rPr>
                                </w:pPr>
                                <w:r w:rsidRPr="009C69CC">
                                  <w:rPr>
                                    <w:sz w:val="14"/>
                                  </w:rPr>
                                  <w:t>(Size-up, Alternate egress, Rescue Action Plan,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9" name="Group 1029"/>
                        <wpg:cNvGrpSpPr/>
                        <wpg:grpSpPr>
                          <a:xfrm>
                            <a:off x="4466289" y="887972"/>
                            <a:ext cx="1104265" cy="475615"/>
                            <a:chOff x="0" y="0"/>
                            <a:chExt cx="1104265" cy="480695"/>
                          </a:xfrm>
                        </wpg:grpSpPr>
                        <wps:wsp>
                          <wps:cNvPr id="1030" name="Rectangle 1030"/>
                          <wps:cNvSpPr/>
                          <wps:spPr>
                            <a:xfrm>
                              <a:off x="0" y="0"/>
                              <a:ext cx="1104265" cy="480695"/>
                            </a:xfrm>
                            <a:prstGeom prst="rect">
                              <a:avLst/>
                            </a:prstGeom>
                            <a:solidFill>
                              <a:sysClr val="window" lastClr="FFFFFF"/>
                            </a:solidFill>
                            <a:ln w="25400"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Text Box 1031"/>
                          <wps:cNvSpPr txBox="1"/>
                          <wps:spPr>
                            <a:xfrm>
                              <a:off x="95140" y="42285"/>
                              <a:ext cx="930256" cy="380559"/>
                            </a:xfrm>
                            <a:prstGeom prst="rect">
                              <a:avLst/>
                            </a:prstGeom>
                            <a:solidFill>
                              <a:sysClr val="window" lastClr="FFFFFF"/>
                            </a:solidFill>
                            <a:ln w="6350">
                              <a:noFill/>
                            </a:ln>
                            <a:effectLst/>
                          </wps:spPr>
                          <wps:txbx>
                            <w:txbxContent>
                              <w:p w:rsidR="003E1951" w:rsidRPr="00B96C36" w:rsidRDefault="003E1951" w:rsidP="003D659B">
                                <w:pPr>
                                  <w:pStyle w:val="NoSpacing"/>
                                  <w:jc w:val="center"/>
                                  <w:rPr>
                                    <w:b/>
                                    <w:sz w:val="18"/>
                                  </w:rPr>
                                </w:pPr>
                                <w:r w:rsidRPr="00B96C36">
                                  <w:rPr>
                                    <w:b/>
                                    <w:sz w:val="18"/>
                                  </w:rPr>
                                  <w:t>Interior Crew of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32" name="Group 1032"/>
                        <wpg:cNvGrpSpPr/>
                        <wpg:grpSpPr>
                          <a:xfrm>
                            <a:off x="4117442" y="1464097"/>
                            <a:ext cx="1104265" cy="480695"/>
                            <a:chOff x="0" y="0"/>
                            <a:chExt cx="1104265" cy="480695"/>
                          </a:xfrm>
                        </wpg:grpSpPr>
                        <wps:wsp>
                          <wps:cNvPr id="1033" name="Rectangle 1033"/>
                          <wps:cNvSpPr/>
                          <wps:spPr>
                            <a:xfrm>
                              <a:off x="0" y="0"/>
                              <a:ext cx="1104265" cy="480695"/>
                            </a:xfrm>
                            <a:prstGeom prst="rect">
                              <a:avLst/>
                            </a:prstGeom>
                            <a:solidFill>
                              <a:sysClr val="window" lastClr="FFFFFF"/>
                            </a:solidFill>
                            <a:ln w="25400"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Text Box 1034"/>
                          <wps:cNvSpPr txBox="1"/>
                          <wps:spPr>
                            <a:xfrm>
                              <a:off x="52856" y="26428"/>
                              <a:ext cx="1004254" cy="423115"/>
                            </a:xfrm>
                            <a:prstGeom prst="rect">
                              <a:avLst/>
                            </a:prstGeom>
                            <a:solidFill>
                              <a:sysClr val="window" lastClr="FFFFFF"/>
                            </a:solidFill>
                            <a:ln w="6350">
                              <a:noFill/>
                            </a:ln>
                            <a:effectLst/>
                          </wps:spPr>
                          <wps:txbx>
                            <w:txbxContent>
                              <w:p w:rsidR="003E1951" w:rsidRPr="00977A25" w:rsidRDefault="003E1951" w:rsidP="003D659B">
                                <w:pPr>
                                  <w:jc w:val="center"/>
                                  <w:rPr>
                                    <w:b/>
                                    <w:sz w:val="18"/>
                                  </w:rPr>
                                </w:pPr>
                                <w:r>
                                  <w:rPr>
                                    <w:b/>
                                    <w:sz w:val="18"/>
                                  </w:rPr>
                                  <w:t>Back-Up Crew of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5" name="Straight Arrow Connector 1035"/>
                        <wps:cNvCnPr/>
                        <wps:spPr>
                          <a:xfrm>
                            <a:off x="1183963" y="634266"/>
                            <a:ext cx="692407"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36" name="Straight Arrow Connector 1036"/>
                        <wps:cNvCnPr/>
                        <wps:spPr>
                          <a:xfrm>
                            <a:off x="1183963" y="1749516"/>
                            <a:ext cx="692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37" name="Straight Arrow Connector 1037"/>
                        <wps:cNvCnPr/>
                        <wps:spPr>
                          <a:xfrm>
                            <a:off x="1178677" y="2399639"/>
                            <a:ext cx="692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38" name="Straight Arrow Connector 1038"/>
                        <wps:cNvCnPr/>
                        <wps:spPr>
                          <a:xfrm flipV="1">
                            <a:off x="1183963" y="1157535"/>
                            <a:ext cx="3223895" cy="3683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39" name="Straight Arrow Connector 1039"/>
                        <wps:cNvCnPr/>
                        <wps:spPr>
                          <a:xfrm>
                            <a:off x="3710455" y="1707232"/>
                            <a:ext cx="354132"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40" name="Straight Connector 1040"/>
                        <wps:cNvCnPr/>
                        <wps:spPr>
                          <a:xfrm flipV="1">
                            <a:off x="4249581" y="211422"/>
                            <a:ext cx="0" cy="1215647"/>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wps:wsp>
                        <wps:cNvPr id="1041" name="Straight Connector 1041"/>
                        <wps:cNvCnPr/>
                        <wps:spPr>
                          <a:xfrm flipV="1">
                            <a:off x="4249581" y="1987366"/>
                            <a:ext cx="0" cy="766405"/>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wps:wsp>
                        <wps:cNvPr id="1042" name="Text Box 1042"/>
                        <wps:cNvSpPr txBox="1"/>
                        <wps:spPr>
                          <a:xfrm>
                            <a:off x="5285" y="10571"/>
                            <a:ext cx="1310640" cy="253365"/>
                          </a:xfrm>
                          <a:prstGeom prst="rect">
                            <a:avLst/>
                          </a:prstGeom>
                          <a:solidFill>
                            <a:sysClr val="window" lastClr="FFFFFF"/>
                          </a:solidFill>
                          <a:ln w="6350">
                            <a:noFill/>
                          </a:ln>
                          <a:effectLst/>
                        </wps:spPr>
                        <wps:txbx>
                          <w:txbxContent>
                            <w:p w:rsidR="003E1951" w:rsidRPr="00697F57" w:rsidRDefault="003E1951" w:rsidP="003D659B">
                              <w:pPr>
                                <w:rPr>
                                  <w:b/>
                                  <w:sz w:val="18"/>
                                </w:rPr>
                              </w:pPr>
                              <w:r w:rsidRPr="00697F57">
                                <w:rPr>
                                  <w:b/>
                                  <w:sz w:val="18"/>
                                </w:rPr>
                                <w:t>Assignment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Text Box 1043"/>
                        <wps:cNvSpPr txBox="1"/>
                        <wps:spPr>
                          <a:xfrm>
                            <a:off x="2045507" y="0"/>
                            <a:ext cx="1400175" cy="253365"/>
                          </a:xfrm>
                          <a:prstGeom prst="rect">
                            <a:avLst/>
                          </a:prstGeom>
                          <a:solidFill>
                            <a:sysClr val="window" lastClr="FFFFFF"/>
                          </a:solidFill>
                          <a:ln w="6350">
                            <a:noFill/>
                          </a:ln>
                          <a:effectLst/>
                        </wps:spPr>
                        <wps:txbx>
                          <w:txbxContent>
                            <w:p w:rsidR="003E1951" w:rsidRPr="00697F57" w:rsidRDefault="003E1951" w:rsidP="003D659B">
                              <w:pPr>
                                <w:rPr>
                                  <w:b/>
                                  <w:sz w:val="18"/>
                                </w:rPr>
                              </w:pPr>
                              <w:r w:rsidRPr="00697F57">
                                <w:rPr>
                                  <w:b/>
                                  <w:sz w:val="18"/>
                                </w:rPr>
                                <w:t>Two-out (Warm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Text Box 1044"/>
                        <wps:cNvSpPr txBox="1"/>
                        <wps:spPr>
                          <a:xfrm>
                            <a:off x="4307722" y="10571"/>
                            <a:ext cx="1262832" cy="253365"/>
                          </a:xfrm>
                          <a:prstGeom prst="rect">
                            <a:avLst/>
                          </a:prstGeom>
                          <a:solidFill>
                            <a:sysClr val="window" lastClr="FFFFFF"/>
                          </a:solidFill>
                          <a:ln w="6350">
                            <a:noFill/>
                          </a:ln>
                          <a:effectLst/>
                        </wps:spPr>
                        <wps:txbx>
                          <w:txbxContent>
                            <w:p w:rsidR="003E1951" w:rsidRPr="00697F57" w:rsidRDefault="003E1951" w:rsidP="003D659B">
                              <w:pPr>
                                <w:rPr>
                                  <w:b/>
                                  <w:sz w:val="18"/>
                                </w:rPr>
                              </w:pPr>
                              <w:r w:rsidRPr="00697F57">
                                <w:rPr>
                                  <w:b/>
                                  <w:sz w:val="18"/>
                                </w:rPr>
                                <w:t>Two-in (Hot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 o:spid="_x0000_s1032" style="position:absolute;margin-left:9.95pt;margin-top:4.7pt;width:461.1pt;height:216.8pt;z-index:251659264" coordsize="58563,2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">
                <v:line id="Straight Connector 46" o:spid="_x0000_s1033" style="position:absolute;visibility:visible;mso-wrap-style:square" from="0,2907" to="5856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id="Group 47" o:spid="_x0000_s1034" style="position:absolute;left:52;top:4122;width:11043;height:4807" coordsize="1104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35" style="position:absolute;width:11042;height:4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ZSsAA&#10;AADbAAAADwAAAGRycy9kb3ducmV2LnhtbERPz2vCMBS+D/wfwhvsNtPJEOlMiwjC8DJa3XZ9Ns+m&#10;W/PSNVlb/3tzEDx+fL/X+WRbMVDvG8cKXuYJCOLK6YZrBcfD7nkFwgdkja1jUnAhD3k2e1hjqt3I&#10;BQ1lqEUMYZ+iAhNCl0rpK0MW/dx1xJE7u95iiLCvpe5xjOG2lYskWUqLDccGgx1tDVW/5b9VUC5R&#10;j7T//Dh+jZ05FT/8V9lvpZ4ep80biEBTuItv7net4DWOjV/iD5DZ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FZSsAAAADbAAAADwAAAAAAAAAAAAAAAACYAgAAZHJzL2Rvd25y&#10;ZXYueG1sUEsFBgAAAAAEAAQA9QAAAIUDAAAAAA==&#10;" fillcolor="window" strokecolor="windowText" strokeweight="2pt">
                    <v:shadow on="t" color="black" opacity="26214f" origin="-.5" offset="3pt,0"/>
                  </v:rect>
                  <v:shape id="Text Box 49" o:spid="_x0000_s1036" type="#_x0000_t202" style="position:absolute;left:528;top:475;width:9937;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rsidR="003E1951" w:rsidRPr="00727482" w:rsidRDefault="003E1951" w:rsidP="003D659B">
                          <w:pPr>
                            <w:pStyle w:val="NoSpacing"/>
                            <w:jc w:val="center"/>
                            <w:rPr>
                              <w:b/>
                              <w:sz w:val="18"/>
                            </w:rPr>
                          </w:pPr>
                          <w:r w:rsidRPr="00727482">
                            <w:rPr>
                              <w:b/>
                              <w:sz w:val="18"/>
                            </w:rPr>
                            <w:t>1st</w:t>
                          </w:r>
                        </w:p>
                        <w:p w:rsidR="003E1951" w:rsidRPr="00727482" w:rsidRDefault="003E1951" w:rsidP="003D659B">
                          <w:pPr>
                            <w:pStyle w:val="NoSpacing"/>
                            <w:jc w:val="center"/>
                            <w:rPr>
                              <w:b/>
                              <w:sz w:val="18"/>
                            </w:rPr>
                          </w:pPr>
                          <w:r w:rsidRPr="00727482">
                            <w:rPr>
                              <w:b/>
                              <w:sz w:val="18"/>
                            </w:rPr>
                            <w:t>Priority</w:t>
                          </w:r>
                        </w:p>
                      </w:txbxContent>
                    </v:textbox>
                  </v:shape>
                </v:group>
                <v:group id="Group 50" o:spid="_x0000_s1037" style="position:absolute;left:52;top:9936;width:11043;height:4966" coordsize="11042,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38" style="position:absolute;width:11042;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mCsMA&#10;AADbAAAADwAAAGRycy9kb3ducmV2LnhtbESPQWvCQBSE7wX/w/IEb2aTQkWiaxBBKL0Uo63X1+xr&#10;Nm32bcxuTfz3bqHQ4zAz3zDrYrStuFLvG8cKsiQFQVw53XCt4HTcz5cgfEDW2DomBTfyUGwmD2vM&#10;tRv4QNcy1CJC2OeowITQ5VL6ypBFn7iOOHqfrrcYouxrqXscIty28jFNF9Jiw3HBYEc7Q9V3+WMV&#10;lAvUA728vZ7eh858HL74UtmzUrPpuF2BCDSG//Bf+1kreMrg9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JmCsMAAADbAAAADwAAAAAAAAAAAAAAAACYAgAAZHJzL2Rv&#10;d25yZXYueG1sUEsFBgAAAAAEAAQA9QAAAIgDAAAAAA==&#10;" fillcolor="window" strokecolor="windowText" strokeweight="2pt">
                    <v:shadow on="t" color="black" opacity="26214f" origin="-.5" offset="3pt,0"/>
                  </v:rect>
                  <v:shape id="Text Box 52" o:spid="_x0000_s1039" type="#_x0000_t202" style="position:absolute;left:581;top:687;width:9937;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3E1951" w:rsidRPr="00727482" w:rsidRDefault="003E1951" w:rsidP="003D659B">
                          <w:pPr>
                            <w:pStyle w:val="NoSpacing"/>
                            <w:jc w:val="center"/>
                            <w:rPr>
                              <w:b/>
                              <w:sz w:val="18"/>
                            </w:rPr>
                          </w:pPr>
                          <w:r w:rsidRPr="00727482">
                            <w:rPr>
                              <w:b/>
                              <w:sz w:val="18"/>
                            </w:rPr>
                            <w:t>2nd</w:t>
                          </w:r>
                        </w:p>
                        <w:p w:rsidR="003E1951" w:rsidRPr="00727482" w:rsidRDefault="003E1951" w:rsidP="003D659B">
                          <w:pPr>
                            <w:pStyle w:val="NoSpacing"/>
                            <w:jc w:val="center"/>
                            <w:rPr>
                              <w:b/>
                              <w:sz w:val="18"/>
                            </w:rPr>
                          </w:pPr>
                          <w:r w:rsidRPr="00727482">
                            <w:rPr>
                              <w:b/>
                              <w:sz w:val="18"/>
                            </w:rPr>
                            <w:t>Priority</w:t>
                          </w:r>
                        </w:p>
                      </w:txbxContent>
                    </v:textbox>
                  </v:shape>
                </v:group>
                <v:group id="Group 53" o:spid="_x0000_s1040" style="position:absolute;left:52;top:15803;width:11043;height:4916" coordsize="11042,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41" style="position:absolute;width:11042;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FksMA&#10;AADbAAAADwAAAGRycy9kb3ducmV2LnhtbESPQWvCQBSE70L/w/IKvenG0oqkboIUCuKlGK1en9nX&#10;bDT7Ns1uTfrvXUHocZiZb5hFPthGXKjztWMF00kCgrh0uuZKwW77MZ6D8AFZY+OYFPyRhzx7GC0w&#10;1a7nDV2KUIkIYZ+iAhNCm0rpS0MW/cS1xNH7dp3FEGVXSd1hH+G2kc9JMpMWa44LBlt6N1Sei1+r&#10;oJih7mn99bnb9605bk78U9qDUk+Pw/INRKAh/Ifv7ZVW8PoCty/xB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FksMAAADbAAAADwAAAAAAAAAAAAAAAACYAgAAZHJzL2Rv&#10;d25yZXYueG1sUEsFBgAAAAAEAAQA9QAAAIgDAAAAAA==&#10;" fillcolor="window" strokecolor="windowText" strokeweight="2pt">
                    <v:shadow on="t" color="black" opacity="26214f" origin="-.5" offset="3pt,0"/>
                  </v:rect>
                  <v:shape id="Text Box 55" o:spid="_x0000_s1042" type="#_x0000_t202" style="position:absolute;left:528;top:528;width:9931;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3E1951" w:rsidRPr="00727482" w:rsidRDefault="003E1951" w:rsidP="003D659B">
                          <w:pPr>
                            <w:pStyle w:val="NoSpacing"/>
                            <w:jc w:val="center"/>
                            <w:rPr>
                              <w:b/>
                              <w:sz w:val="18"/>
                            </w:rPr>
                          </w:pPr>
                          <w:r w:rsidRPr="00727482">
                            <w:rPr>
                              <w:b/>
                              <w:sz w:val="18"/>
                            </w:rPr>
                            <w:t>3rd</w:t>
                          </w:r>
                        </w:p>
                        <w:p w:rsidR="003E1951" w:rsidRPr="00727482" w:rsidRDefault="003E1951" w:rsidP="003D659B">
                          <w:pPr>
                            <w:pStyle w:val="NoSpacing"/>
                            <w:jc w:val="center"/>
                            <w:rPr>
                              <w:b/>
                              <w:sz w:val="18"/>
                            </w:rPr>
                          </w:pPr>
                          <w:r w:rsidRPr="00727482">
                            <w:rPr>
                              <w:b/>
                              <w:sz w:val="18"/>
                            </w:rPr>
                            <w:t>Priority</w:t>
                          </w:r>
                        </w:p>
                      </w:txbxContent>
                    </v:textbox>
                  </v:shape>
                </v:group>
                <v:group id="Group 56" o:spid="_x0000_s1043" style="position:absolute;left:52;top:21353;width:11043;height:5112" coordsize="11042,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7" o:spid="_x0000_s1044" style="position:absolute;width:11042;height: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5cMA&#10;AADbAAAADwAAAGRycy9kb3ducmV2LnhtbESPQWvCQBSE7wX/w/KE3urGQq1EVxFBEC9itHp9Zp/Z&#10;aPZtml1N+u+7QqHHYWa+YabzzlbiQY0vHSsYDhIQxLnTJRcKDvvV2xiED8gaK8ek4Ic8zGe9lymm&#10;2rW8o0cWChEh7FNUYEKoUyl9bsiiH7iaOHoX11gMUTaF1A22EW4r+Z4kI2mx5LhgsKalofyW3a2C&#10;bIS6pc3X9nBsa3PeXfk7tyelXvvdYgIiUBf+w3/ttVbw8QnPL/E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db5cMAAADbAAAADwAAAAAAAAAAAAAAAACYAgAAZHJzL2Rv&#10;d25yZXYueG1sUEsFBgAAAAAEAAQA9QAAAIgDAAAAAA==&#10;" fillcolor="window" strokecolor="windowText" strokeweight="2pt">
                    <v:shadow on="t" color="black" opacity="26214f" origin="-.5" offset="3pt,0"/>
                  </v:rect>
                  <v:shape id="Text Box 58" o:spid="_x0000_s1045" type="#_x0000_t202" style="position:absolute;left:528;top:317;width:9931;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avMIA&#10;AADbAAAADwAAAGRycy9kb3ducmV2LnhtbERPXWvCMBR9H+w/hDvYm00nT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pq8wgAAANsAAAAPAAAAAAAAAAAAAAAAAJgCAABkcnMvZG93&#10;bnJldi54bWxQSwUGAAAAAAQABAD1AAAAhwMAAAAA&#10;" fillcolor="window" stroked="f" strokeweight=".5pt">
                    <v:textbox>
                      <w:txbxContent>
                        <w:p w:rsidR="003E1951" w:rsidRPr="00727482" w:rsidRDefault="003E1951" w:rsidP="003D659B">
                          <w:pPr>
                            <w:pStyle w:val="NoSpacing"/>
                            <w:jc w:val="center"/>
                            <w:rPr>
                              <w:b/>
                              <w:sz w:val="18"/>
                            </w:rPr>
                          </w:pPr>
                          <w:r w:rsidRPr="00727482">
                            <w:rPr>
                              <w:b/>
                              <w:sz w:val="18"/>
                            </w:rPr>
                            <w:t>4th</w:t>
                          </w:r>
                        </w:p>
                        <w:p w:rsidR="003E1951" w:rsidRPr="00727482" w:rsidRDefault="003E1951" w:rsidP="003D659B">
                          <w:pPr>
                            <w:pStyle w:val="NoSpacing"/>
                            <w:jc w:val="center"/>
                            <w:rPr>
                              <w:b/>
                              <w:sz w:val="18"/>
                            </w:rPr>
                          </w:pPr>
                          <w:r w:rsidRPr="00727482">
                            <w:rPr>
                              <w:b/>
                              <w:sz w:val="18"/>
                            </w:rPr>
                            <w:t>Priority</w:t>
                          </w:r>
                        </w:p>
                      </w:txbxContent>
                    </v:textbox>
                  </v:shape>
                </v:group>
                <v:group id="Group 59" o:spid="_x0000_s1046" style="position:absolute;left:19133;top:3805;width:17437;height:6128" coordsize="17437,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47" style="position:absolute;width:17437;height:6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pLb8A&#10;AADbAAAADwAAAGRycy9kb3ducmV2LnhtbERPTYvCMBC9C/6HMII3TVUoUo2iguDCXqxC9TY0Y1tt&#10;JqXJavffm4Pg8fG+l+vO1OJJrassK5iMIxDEudUVFwrOp/1oDsJ5ZI21ZVLwTw7Wq35viYm2Lz7S&#10;M/WFCCHsElRQet8kUrq8JINubBviwN1sa9AH2BZSt/gK4aaW0yiKpcGKQ0OJDe1Kyh/pn1Fwe6ST&#10;+Ke54oHy37u7bGfynmVKDQfdZgHCU+e/4o/7oBXEYX34En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FqktvwAAANsAAAAPAAAAAAAAAAAAAAAAAJgCAABkcnMvZG93bnJl&#10;di54bWxQSwUGAAAAAAQABAD1AAAAhAMAAAAA&#10;" filled="f" strokecolor="windowText" strokeweight="2pt">
                    <v:shadow on="t" color="black" opacity="26214f" origin="-.5,.5" offset=".74836mm,-.74836mm"/>
                  </v:rect>
                  <v:shape id="Text Box 61" o:spid="_x0000_s1048" type="#_x0000_t202" style="position:absolute;left:951;top:317;width:15748;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rsidR="003E1951" w:rsidRPr="009C69CC" w:rsidRDefault="003E1951" w:rsidP="003D659B">
                          <w:pPr>
                            <w:pStyle w:val="NoSpacing"/>
                            <w:jc w:val="center"/>
                            <w:rPr>
                              <w:b/>
                              <w:sz w:val="18"/>
                            </w:rPr>
                          </w:pPr>
                          <w:r w:rsidRPr="009C69CC">
                            <w:rPr>
                              <w:b/>
                              <w:sz w:val="18"/>
                            </w:rPr>
                            <w:t>Initial Two-out</w:t>
                          </w:r>
                        </w:p>
                        <w:p w:rsidR="003E1951" w:rsidRPr="009C69CC" w:rsidRDefault="003E1951" w:rsidP="003D659B">
                          <w:pPr>
                            <w:pStyle w:val="NoSpacing"/>
                            <w:numPr>
                              <w:ilvl w:val="0"/>
                              <w:numId w:val="3"/>
                            </w:numPr>
                            <w:ind w:left="180" w:hanging="180"/>
                            <w:rPr>
                              <w:sz w:val="14"/>
                            </w:rPr>
                          </w:pPr>
                          <w:r w:rsidRPr="009C69CC">
                            <w:rPr>
                              <w:sz w:val="14"/>
                            </w:rPr>
                            <w:t>Incident Commander</w:t>
                          </w:r>
                        </w:p>
                        <w:p w:rsidR="003E1951" w:rsidRPr="009C69CC" w:rsidRDefault="003E1951" w:rsidP="003D659B">
                          <w:pPr>
                            <w:pStyle w:val="NoSpacing"/>
                            <w:numPr>
                              <w:ilvl w:val="0"/>
                              <w:numId w:val="3"/>
                            </w:numPr>
                            <w:ind w:left="180" w:hanging="180"/>
                            <w:rPr>
                              <w:sz w:val="14"/>
                            </w:rPr>
                          </w:pPr>
                          <w:r w:rsidRPr="009C69CC">
                            <w:rPr>
                              <w:sz w:val="14"/>
                            </w:rPr>
                            <w:t>Pump Operator</w:t>
                          </w:r>
                        </w:p>
                      </w:txbxContent>
                    </v:textbox>
                  </v:shape>
                </v:group>
                <v:group id="Group 62" o:spid="_x0000_s1049" style="position:absolute;left:19133;top:13372;width:17437;height:6915" coordsize="17437,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050" style="position:absolute;width:17437;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3WsMA&#10;AADbAAAADwAAAGRycy9kb3ducmV2LnhtbESPT2sCMRTE74LfIbxCb5pVYZGtUVpBsNBLV0G9PZLn&#10;/s3Lskl1++2bguBxmJnfMKvNYFtxo95XjhXMpgkIYu1MxYWC42E3WYLwAdlg65gU/JKHzXo8WmFm&#10;3J2/6ZaHQkQI+wwVlCF0mZRel2TRT11HHL2r6y2GKPtCmh7vEW5bOU+SVFqsOC6U2NG2JN3kP1bB&#10;tcln6Wd3wT3pr9qfPxayPp2Uen0Z3t9ABBrCM/xo742CdA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Q3WsMAAADbAAAADwAAAAAAAAAAAAAAAACYAgAAZHJzL2Rv&#10;d25yZXYueG1sUEsFBgAAAAAEAAQA9QAAAIgDAAAAAA==&#10;" filled="f" strokecolor="windowText" strokeweight="2pt">
                    <v:shadow on="t" color="black" opacity="26214f" origin="-.5,.5" offset=".74836mm,-.74836mm"/>
                  </v:rect>
                  <v:shape id="Text Box 1024" o:spid="_x0000_s1051" type="#_x0000_t202" style="position:absolute;left:687;top:422;width:16068;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3vsQA&#10;AADdAAAADwAAAGRycy9kb3ducmV2LnhtbERP32vCMBB+H+x/CDfY20wnQ6QaRWRjCivOKvh6NGdb&#10;bS4lyWz1r18Gwt7u4/t503lvGnEh52vLCl4HCQjiwuqaSwX73cfLGIQPyBoby6TgSh7ms8eHKaba&#10;drylSx5KEUPYp6igCqFNpfRFRQb9wLbEkTtaZzBE6EqpHXYx3DRymCQjabDm2FBhS8uKinP+YxQc&#10;uvzTbdbr03e7ym6bW5590Xum1PNTv5iACNSHf/HdvdJxfjJ8g7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977EAAAA3QAAAA8AAAAAAAAAAAAAAAAAmAIAAGRycy9k&#10;b3ducmV2LnhtbFBLBQYAAAAABAAEAPUAAACJAwAAAAA=&#10;" fillcolor="window" stroked="f" strokeweight=".5pt">
                    <v:textbox>
                      <w:txbxContent>
                        <w:p w:rsidR="003E1951" w:rsidRPr="009C69CC" w:rsidRDefault="003E1951" w:rsidP="003D659B">
                          <w:pPr>
                            <w:pStyle w:val="NoSpacing"/>
                            <w:jc w:val="center"/>
                            <w:rPr>
                              <w:b/>
                              <w:sz w:val="18"/>
                            </w:rPr>
                          </w:pPr>
                          <w:r w:rsidRPr="009C69CC">
                            <w:rPr>
                              <w:b/>
                              <w:sz w:val="18"/>
                            </w:rPr>
                            <w:t>High Priority Risk Reduction Tasks</w:t>
                          </w:r>
                        </w:p>
                        <w:p w:rsidR="003E1951" w:rsidRPr="009C69CC" w:rsidRDefault="003E1951" w:rsidP="003D659B">
                          <w:pPr>
                            <w:pStyle w:val="NoSpacing"/>
                            <w:rPr>
                              <w:sz w:val="14"/>
                            </w:rPr>
                          </w:pPr>
                          <w:r w:rsidRPr="009C69CC">
                            <w:rPr>
                              <w:sz w:val="14"/>
                            </w:rPr>
                            <w:t>(Water supply, ventilation, rescue, EMS, etc.)</w:t>
                          </w:r>
                        </w:p>
                      </w:txbxContent>
                    </v:textbox>
                  </v:shape>
                </v:group>
                <v:group id="Group 1026" o:spid="_x0000_s1052" style="position:absolute;left:19133;top:21406;width:17437;height:5759" coordsize="17437,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Rectangle 1027" o:spid="_x0000_s1053" style="position:absolute;width:17437;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MUsIA&#10;AADdAAAADwAAAGRycy9kb3ducmV2LnhtbERPTYvCMBC9C/6HMII3TVtBpRpFBUFhL9tdUG9DM7bV&#10;ZlKaqN1/v1lY8DaP9znLdWdq8aTWVZYVxOMIBHFudcWFgu+v/WgOwnlkjbVlUvBDDtarfm+JqbYv&#10;/qRn5gsRQtilqKD0vkmldHlJBt3YNsSBu9rWoA+wLaRu8RXCTS2TKJpKgxWHhhIb2pWU37OHUXC9&#10;Z/H02FzwQPnHzZ23E3k7nZQaDrrNAoSnzr/F/+6DDvOjZAZ/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wxSwgAAAN0AAAAPAAAAAAAAAAAAAAAAAJgCAABkcnMvZG93&#10;bnJldi54bWxQSwUGAAAAAAQABAD1AAAAhwMAAAAA&#10;" filled="f" strokecolor="windowText" strokeweight="2pt">
                    <v:shadow on="t" color="black" opacity="26214f" origin="-.5,.5" offset=".74836mm,-.74836mm"/>
                  </v:rect>
                  <v:shape id="Text Box 1028" o:spid="_x0000_s1054" type="#_x0000_t202" style="position:absolute;left:687;top:475;width:16065;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9u8cA&#10;AADdAAAADwAAAGRycy9kb3ducmV2LnhtbESPQUvDQBCF74L/YRmht3bTHkRit0WkYgsNrVHwOmTH&#10;JJqdDbtrE/vrO4eCtxnem/e+Wa5H16kThdh6NjCfZaCIK29brg18vL9MH0DFhGyx80wG/ijCenV7&#10;s8Tc+oHf6FSmWkkIxxwNNCn1udaxashhnPmeWLQvHxwmWUOtbcBBwl2nF1l2rx22LA0N9vTcUPVT&#10;/joDn0P5Gg673fex3xbnw7ks9rQpjJncjU+PoBKN6d98vd5awc8WgivfyAh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bvHAAAA3QAAAA8AAAAAAAAAAAAAAAAAmAIAAGRy&#10;cy9kb3ducmV2LnhtbFBLBQYAAAAABAAEAPUAAACMAwAAAAA=&#10;" fillcolor="window" stroked="f" strokeweight=".5pt">
                    <v:textbox>
                      <w:txbxContent>
                        <w:p w:rsidR="003E1951" w:rsidRDefault="003E1951" w:rsidP="003D659B">
                          <w:pPr>
                            <w:pStyle w:val="NoSpacing"/>
                            <w:jc w:val="center"/>
                            <w:rPr>
                              <w:b/>
                              <w:sz w:val="18"/>
                            </w:rPr>
                          </w:pPr>
                          <w:r w:rsidRPr="009C69CC">
                            <w:rPr>
                              <w:b/>
                              <w:sz w:val="18"/>
                            </w:rPr>
                            <w:t>Stand-by Crew or RIC</w:t>
                          </w:r>
                        </w:p>
                        <w:p w:rsidR="003E1951" w:rsidRPr="009C69CC" w:rsidRDefault="003E1951" w:rsidP="003D659B">
                          <w:pPr>
                            <w:pStyle w:val="NoSpacing"/>
                            <w:jc w:val="center"/>
                            <w:rPr>
                              <w:sz w:val="14"/>
                            </w:rPr>
                          </w:pPr>
                          <w:r w:rsidRPr="009C69CC">
                            <w:rPr>
                              <w:sz w:val="14"/>
                            </w:rPr>
                            <w:t>(Size-up, Alternate egress, Rescue Action Plan, etc.)</w:t>
                          </w:r>
                        </w:p>
                      </w:txbxContent>
                    </v:textbox>
                  </v:shape>
                </v:group>
                <v:group id="Group 1029" o:spid="_x0000_s1055" style="position:absolute;left:44662;top:8879;width:11043;height:4756" coordsize="1104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rect id="Rectangle 1030" o:spid="_x0000_s1056" style="position:absolute;width:11042;height:4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RqsUA&#10;AADdAAAADwAAAGRycy9kb3ducmV2LnhtbESPQWvCQBCF7wX/wzJCb3VjC1Kiq4gglF7E1NbrmB2z&#10;0exsml1N+u87h0JvM7w3732zWA2+UXfqYh3YwHSSgSIug625MnD42D69gooJ2WITmAz8UITVcvSw&#10;wNyGnvd0L1KlJIRjjgZcSm2udSwdeYyT0BKLdg6dxyRrV2nbYS/hvtHPWTbTHmuWBoctbRyV1+Lm&#10;DRQztD29f+4OX33rTvsLf5f+aMzjeFjPQSUa0r/57/rNCn72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lGqxQAAAN0AAAAPAAAAAAAAAAAAAAAAAJgCAABkcnMv&#10;ZG93bnJldi54bWxQSwUGAAAAAAQABAD1AAAAigMAAAAA&#10;" fillcolor="window" strokecolor="windowText" strokeweight="2pt">
                    <v:shadow on="t" color="black" opacity="26214f" origin="-.5" offset="3pt,0"/>
                  </v:rect>
                  <v:shape id="Text Box 1031" o:spid="_x0000_s1057" type="#_x0000_t202" style="position:absolute;left:951;top:422;width:9302;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C+8QA&#10;AADdAAAADwAAAGRycy9kb3ducmV2LnhtbERP32vCMBB+H+x/CDfY20zdYEg1isjGFFbUKvh6NGdb&#10;bS4lyWznX78MBN/u4/t5k1lvGnEh52vLCoaDBARxYXXNpYL97vNlBMIHZI2NZVLwSx5m08eHCaba&#10;drylSx5KEUPYp6igCqFNpfRFRQb9wLbEkTtaZzBE6EqpHXYx3DTyNUnepcGaY0OFLS0qKs75j1Fw&#10;6PIvt16tTpt2mV3X1zz7po9Mqeenfj4GEagPd/HNvdRxfvI2hP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vvEAAAA3QAAAA8AAAAAAAAAAAAAAAAAmAIAAGRycy9k&#10;b3ducmV2LnhtbFBLBQYAAAAABAAEAPUAAACJAwAAAAA=&#10;" fillcolor="window" stroked="f" strokeweight=".5pt">
                    <v:textbox>
                      <w:txbxContent>
                        <w:p w:rsidR="003E1951" w:rsidRPr="00B96C36" w:rsidRDefault="003E1951" w:rsidP="003D659B">
                          <w:pPr>
                            <w:pStyle w:val="NoSpacing"/>
                            <w:jc w:val="center"/>
                            <w:rPr>
                              <w:b/>
                              <w:sz w:val="18"/>
                            </w:rPr>
                          </w:pPr>
                          <w:r w:rsidRPr="00B96C36">
                            <w:rPr>
                              <w:b/>
                              <w:sz w:val="18"/>
                            </w:rPr>
                            <w:t>Interior Crew of Two</w:t>
                          </w:r>
                        </w:p>
                      </w:txbxContent>
                    </v:textbox>
                  </v:shape>
                </v:group>
                <v:group id="Group 1032" o:spid="_x0000_s1058" style="position:absolute;left:41174;top:14640;width:11043;height:4807" coordsize="1104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rect id="Rectangle 1033" o:spid="_x0000_s1059" style="position:absolute;width:11042;height:4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P3cEA&#10;AADdAAAADwAAAGRycy9kb3ducmV2LnhtbERPTYvCMBC9C/6HMMLe1lQFWapRRBDEi1jd9TrbzDbd&#10;bSa1ibb7740geJvH+5z5srOVuFHjS8cKRsMEBHHudMmFgtNx8/4BwgdkjZVjUvBPHpaLfm+OqXYt&#10;H+iWhULEEPYpKjAh1KmUPjdk0Q9dTRy5H9dYDBE2hdQNtjHcVnKcJFNpseTYYLCmtaH8L7taBdkU&#10;dUu7z/3pq63N9+GXL7k9K/U26FYzEIG68BI/3Vsd5yeTCTy+i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z93BAAAA3QAAAA8AAAAAAAAAAAAAAAAAmAIAAGRycy9kb3du&#10;cmV2LnhtbFBLBQYAAAAABAAEAPUAAACGAwAAAAA=&#10;" fillcolor="window" strokecolor="windowText" strokeweight="2pt">
                    <v:shadow on="t" color="black" opacity="26214f" origin="-.5" offset="3pt,0"/>
                  </v:rect>
                  <v:shape id="Text Box 1034" o:spid="_x0000_s1060" type="#_x0000_t202" style="position:absolute;left:528;top:264;width:10043;height: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hY8UA&#10;AADdAAAADwAAAGRycy9kb3ducmV2LnhtbERP32vCMBB+F/Y/hBv4NtPNMaQaZYyJCivOKvh6NGdb&#10;11xKktnOv34ZDHy7j+/nzRa9acSFnK8tK3gcJSCIC6trLhUc9suHCQgfkDU2lknBD3lYzO8GM0y1&#10;7XhHlzyUIoawT1FBFUKbSumLigz6kW2JI3eyzmCI0JVSO+xiuGnkU5K8SIM1x4YKW3qrqPjKv42C&#10;Y5ev3HazOX+26+y6vebZB71nSg3v+9cpiEB9uIn/3Wsd5yfjZ/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2FjxQAAAN0AAAAPAAAAAAAAAAAAAAAAAJgCAABkcnMv&#10;ZG93bnJldi54bWxQSwUGAAAAAAQABAD1AAAAigMAAAAA&#10;" fillcolor="window" stroked="f" strokeweight=".5pt">
                    <v:textbox>
                      <w:txbxContent>
                        <w:p w:rsidR="003E1951" w:rsidRPr="00977A25" w:rsidRDefault="003E1951" w:rsidP="003D659B">
                          <w:pPr>
                            <w:jc w:val="center"/>
                            <w:rPr>
                              <w:b/>
                              <w:sz w:val="18"/>
                            </w:rPr>
                          </w:pPr>
                          <w:r>
                            <w:rPr>
                              <w:b/>
                              <w:sz w:val="18"/>
                            </w:rPr>
                            <w:t>Back-Up Crew of Two</w:t>
                          </w:r>
                        </w:p>
                      </w:txbxContent>
                    </v:textbox>
                  </v:shape>
                </v:group>
                <v:shapetype id="_x0000_t32" coordsize="21600,21600" o:spt="32" o:oned="t" path="m,l21600,21600e" filled="f">
                  <v:path arrowok="t" fillok="f" o:connecttype="none"/>
                  <o:lock v:ext="edit" shapetype="t"/>
                </v:shapetype>
                <v:shape id="Straight Arrow Connector 1035" o:spid="_x0000_s1061" type="#_x0000_t32" style="position:absolute;left:11839;top:6342;width:6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wacMAAADdAAAADwAAAGRycy9kb3ducmV2LnhtbERPTWvCQBC9C/6HZQpepG6MaEvqKiJU&#10;BU+mhV6H7CQbzM6G7Dam/74rCN7m8T5nvR1sI3rqfO1YwXyWgCAunK65UvD99fn6DsIHZI2NY1Lw&#10;Rx62m/FojZl2N75Qn4dKxBD2GSowIbSZlL4wZNHPXEscudJ1FkOEXSV1h7cYbhuZJslKWqw5Nhhs&#10;aW+ouOa/VkGZappPrz/m+LbEcn9epH3fHJSavAy7DxCBhvAUP9wnHecniyXcv4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0cGnDAAAA3QAAAA8AAAAAAAAAAAAA&#10;AAAAoQIAAGRycy9kb3ducmV2LnhtbFBLBQYAAAAABAAEAPkAAACRAwAAAAA=&#10;">
                  <v:stroke endarrow="open"/>
                </v:shape>
                <v:shape id="Straight Arrow Connector 1036" o:spid="_x0000_s1062" type="#_x0000_t32" style="position:absolute;left:11839;top:17495;width:6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uHsMAAADdAAAADwAAAGRycy9kb3ducmV2LnhtbERPTWvCQBC9F/oflil4Kbox0lRiVimC&#10;tdCTWvA6ZCfZkOxsyG5j+u/dQqG3ebzPKXaT7cRIg28cK1guEhDEpdMN1wq+Lof5GoQPyBo7x6Tg&#10;hzzsto8PBeba3fhE4znUIoawz1GBCaHPpfSlIYt+4XriyFVusBgiHGqpB7zFcNvJNEkyabHh2GCw&#10;p72hsj1/WwVVqmn53F7N8fUFq/3nKh3H7l2p2dP0tgERaAr/4j/3h47zk1UGv9/E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7h7DAAAA3QAAAA8AAAAAAAAAAAAA&#10;AAAAoQIAAGRycy9kb3ducmV2LnhtbFBLBQYAAAAABAAEAPkAAACRAwAAAAA=&#10;">
                  <v:stroke endarrow="open"/>
                </v:shape>
                <v:shape id="Straight Arrow Connector 1037" o:spid="_x0000_s1063" type="#_x0000_t32" style="position:absolute;left:11786;top:23996;width:69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LhcMAAADdAAAADwAAAGRycy9kb3ducmV2LnhtbERPTWvCQBC9F/oflil4KboxUpWYVYpg&#10;LfRkWvA6ZCfZkOxsyG5j+u/dQqG3ebzPyQ+T7cRIg28cK1guEhDEpdMN1wq+Pk/zLQgfkDV2jknB&#10;D3k47B8fcsy0u/GFxiLUIoawz1CBCaHPpPSlIYt+4XriyFVusBgiHGqpB7zFcNvJNEnW0mLDscFg&#10;T0dDZVt8WwVVqmn53F7NefOC1fFjlY5j96bU7Gl63YEINIV/8Z/7Xcf5yWoDv9/EE+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qS4XDAAAA3QAAAA8AAAAAAAAAAAAA&#10;AAAAoQIAAGRycy9kb3ducmV2LnhtbFBLBQYAAAAABAAEAPkAAACRAwAAAAA=&#10;">
                  <v:stroke endarrow="open"/>
                </v:shape>
                <v:shape id="Straight Arrow Connector 1038" o:spid="_x0000_s1064" type="#_x0000_t32" style="position:absolute;left:11839;top:11575;width:32239;height: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NRMcAAADdAAAADwAAAGRycy9kb3ducmV2LnhtbESPT2vDMAzF74N9B6PBLmO1t8IoWd1S&#10;CoMxBqV/Lr2JWIlDYzmN3TTdp58Og90k3tN7P82XY2jVQH1qIlt4mRhQxGV0DdcWDvuP5xmolJEd&#10;tpHJwo0SLBf3d3MsXLzyloZdrpWEcCrQgs+5K7ROpaeAaRI7YtGq2AfMsva1dj1eJTy0+tWYNx2w&#10;YWnw2NHaU3naXYKFp+2xqavq8n1L05/NzHxtzr4crH18GFfvoDKN+d/8d/3pBN9M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1ExwAAAN0AAAAPAAAAAAAA&#10;AAAAAAAAAKECAABkcnMvZG93bnJldi54bWxQSwUGAAAAAAQABAD5AAAAlQMAAAAA&#10;">
                  <v:stroke endarrow="open"/>
                </v:shape>
                <v:shape id="Straight Arrow Connector 1039" o:spid="_x0000_s1065" type="#_x0000_t32" style="position:absolute;left:37104;top:17072;width:35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6bMMAAADdAAAADwAAAGRycy9kb3ducmV2LnhtbERPTWvCQBC9C/6HZQq9SN0Y0bapq4hg&#10;FTyphV6H7CQbzM6G7DbGf98VBG/zeJ+zWPW2Fh21vnKsYDJOQBDnTldcKvg5b98+QPiArLF2TApu&#10;5GG1HA4WmGl35SN1p1CKGMI+QwUmhCaT0ueGLPqxa4gjV7jWYoiwLaVu8RrDbS3TJJlLixXHBoMN&#10;bQzll9OfVVCkmiajy6/Zvc+w2BymadfV30q9vvTrLxCB+vAUP9x7Hecn00+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5emzDAAAA3QAAAA8AAAAAAAAAAAAA&#10;AAAAoQIAAGRycy9kb3ducmV2LnhtbFBLBQYAAAAABAAEAPkAAACRAwAAAAA=&#10;">
                  <v:stroke endarrow="open"/>
                </v:shape>
                <v:line id="Straight Connector 1040" o:spid="_x0000_s1066" style="position:absolute;flip:y;visibility:visible;mso-wrap-style:square" from="42495,2114" to="42495,1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yt8YAAADdAAAADwAAAGRycy9kb3ducmV2LnhtbESPT0/DMAzF70h8h8hIXBBLqGCqyrJp&#10;msSfI3STuJrGtBWNkzWh6749PiBxs/We3/t5tZn9oCYaUx/Ywt3CgCJuguu5tXDYP92WoFJGdjgE&#10;JgtnSrBZX16ssHLhxO801blVEsKpQgtdzrHSOjUdeUyLEIlF+wqjxyzr2Go34knC/aALY5baY8/S&#10;0GGkXUfNd/3jLbw8FLE00/z8cfx0N0V5bnexfrP2+mrePoLKNOd/89/1qxN8cy/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0srfGAAAA3QAAAA8AAAAAAAAA&#10;AAAAAAAAoQIAAGRycy9kb3ducmV2LnhtbFBLBQYAAAAABAAEAPkAAACUAwAAAAA=&#10;" strokecolor="#c0504d" strokeweight="2pt">
                  <v:shadow on="t" color="black" opacity="24903f" origin=",.5" offset="0,.55556mm"/>
                </v:line>
                <v:line id="Straight Connector 1041" o:spid="_x0000_s1067" style="position:absolute;flip:y;visibility:visible;mso-wrap-style:square" from="42495,19873" to="42495,2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XLMMAAADdAAAADwAAAGRycy9kb3ducmV2LnhtbERP32vCMBB+H+x/CDfwZWhi2UapRhnC&#10;5h5dJ/h6Nmdb1lyyJqv1vzeDgW/38f285Xq0nRioD61jDfOZAkFcOdNyrWH/9TbNQYSIbLBzTBou&#10;FGC9ur9bYmHcmT9pKGMtUgiHAjU0MfpCylA1ZDHMnCdO3Mn1FmOCfS1Nj+cUbjuZKfUiLbacGhr0&#10;tGmo+i5/rYbtc+ZzNYzvh5+jeczyS73x5U7rycP4ugARaYw38b/7w6T56mk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4FyzDAAAA3QAAAA8AAAAAAAAAAAAA&#10;AAAAoQIAAGRycy9kb3ducmV2LnhtbFBLBQYAAAAABAAEAPkAAACRAwAAAAA=&#10;" strokecolor="#c0504d" strokeweight="2pt">
                  <v:shadow on="t" color="black" opacity="24903f" origin=",.5" offset="0,.55556mm"/>
                </v:line>
                <v:shape id="Text Box 1042" o:spid="_x0000_s1068" type="#_x0000_t202" style="position:absolute;left:52;top:105;width:13107;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v8cQA&#10;AADdAAAADwAAAGRycy9kb3ducmV2LnhtbERP32vCMBB+H+x/CDfY20wnQ6QaRWRjCivOKvh6NGdb&#10;bS4lyWz1r18Gwt7u4/t503lvGnEh52vLCl4HCQjiwuqaSwX73cfLGIQPyBoby6TgSh7ms8eHKaba&#10;drylSx5KEUPYp6igCqFNpfRFRQb9wLbEkTtaZzBE6EqpHXYx3DRymCQjabDm2FBhS8uKinP+YxQc&#10;uvzTbdbr03e7ym6bW5590Xum1PNTv5iACNSHf/HdvdJxfvI2hL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L/HEAAAA3QAAAA8AAAAAAAAAAAAAAAAAmAIAAGRycy9k&#10;b3ducmV2LnhtbFBLBQYAAAAABAAEAPUAAACJAwAAAAA=&#10;" fillcolor="window" stroked="f" strokeweight=".5pt">
                  <v:textbox>
                    <w:txbxContent>
                      <w:p w:rsidR="003E1951" w:rsidRPr="00697F57" w:rsidRDefault="003E1951" w:rsidP="003D659B">
                        <w:pPr>
                          <w:rPr>
                            <w:b/>
                            <w:sz w:val="18"/>
                          </w:rPr>
                        </w:pPr>
                        <w:r w:rsidRPr="00697F57">
                          <w:rPr>
                            <w:b/>
                            <w:sz w:val="18"/>
                          </w:rPr>
                          <w:t>Assignment Priorities</w:t>
                        </w:r>
                      </w:p>
                    </w:txbxContent>
                  </v:textbox>
                </v:shape>
                <v:shape id="Text Box 1043" o:spid="_x0000_s1069" type="#_x0000_t202" style="position:absolute;left:20455;width:1400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KasUA&#10;AADdAAAADwAAAGRycy9kb3ducmV2LnhtbERP32vCMBB+F/Y/hBv4NtPNMaQaZYyJCivOKvh6NGdb&#10;11xKktnOv34ZDHy7j+/nzRa9acSFnK8tK3gcJSCIC6trLhUc9suHCQgfkDU2lknBD3lYzO8GM0y1&#10;7XhHlzyUIoawT1FBFUKbSumLigz6kW2JI3eyzmCI0JVSO+xiuGnkU5K8SIM1x4YKW3qrqPjKv42C&#10;Y5ev3HazOX+26+y6vebZB71nSg3v+9cpiEB9uIn/3Wsd5yfP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IpqxQAAAN0AAAAPAAAAAAAAAAAAAAAAAJgCAABkcnMv&#10;ZG93bnJldi54bWxQSwUGAAAAAAQABAD1AAAAigMAAAAA&#10;" fillcolor="window" stroked="f" strokeweight=".5pt">
                  <v:textbox>
                    <w:txbxContent>
                      <w:p w:rsidR="003E1951" w:rsidRPr="00697F57" w:rsidRDefault="003E1951" w:rsidP="003D659B">
                        <w:pPr>
                          <w:rPr>
                            <w:b/>
                            <w:sz w:val="18"/>
                          </w:rPr>
                        </w:pPr>
                        <w:r w:rsidRPr="00697F57">
                          <w:rPr>
                            <w:b/>
                            <w:sz w:val="18"/>
                          </w:rPr>
                          <w:t>Two-out (Warm Zone)</w:t>
                        </w:r>
                      </w:p>
                    </w:txbxContent>
                  </v:textbox>
                </v:shape>
                <v:shape id="Text Box 1044" o:spid="_x0000_s1070" type="#_x0000_t202" style="position:absolute;left:43077;top:105;width:1262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SHsQA&#10;AADdAAAADwAAAGRycy9kb3ducmV2LnhtbERP32vCMBB+H+x/CDfY20w3RKQaRWRjCivOKvh6NGdb&#10;bS4lyWz1r18Gwt7u4/t503lvGnEh52vLCl4HCQjiwuqaSwX73cfLGIQPyBoby6TgSh7ms8eHKaba&#10;drylSx5KEUPYp6igCqFNpfRFRQb9wLbEkTtaZzBE6EqpHXYx3DTyLUlG0mDNsaHClpYVFef8xyg4&#10;dPmn26zXp+92ld02tzz7ovdMqeenfjEBEagP/+K7e6Xj/GQ4hL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BEh7EAAAA3QAAAA8AAAAAAAAAAAAAAAAAmAIAAGRycy9k&#10;b3ducmV2LnhtbFBLBQYAAAAABAAEAPUAAACJAwAAAAA=&#10;" fillcolor="window" stroked="f" strokeweight=".5pt">
                  <v:textbox>
                    <w:txbxContent>
                      <w:p w:rsidR="003E1951" w:rsidRPr="00697F57" w:rsidRDefault="003E1951" w:rsidP="003D659B">
                        <w:pPr>
                          <w:rPr>
                            <w:b/>
                            <w:sz w:val="18"/>
                          </w:rPr>
                        </w:pPr>
                        <w:r w:rsidRPr="00697F57">
                          <w:rPr>
                            <w:b/>
                            <w:sz w:val="18"/>
                          </w:rPr>
                          <w:t>Two-in (Hot Zone)</w:t>
                        </w:r>
                      </w:p>
                    </w:txbxContent>
                  </v:textbox>
                </v:shape>
              </v:group>
            </w:pict>
          </mc:Fallback>
        </mc:AlternateContent>
      </w:r>
    </w:p>
    <w:p w:rsidR="004D55C4" w:rsidRPr="0081410D" w:rsidRDefault="004D55C4" w:rsidP="004D55C4">
      <w:pPr>
        <w:pStyle w:val="NoSpacing"/>
        <w:jc w:val="center"/>
      </w:pPr>
    </w:p>
    <w:p w:rsidR="004F3FBB" w:rsidRDefault="004F3FBB" w:rsidP="00BA7F74">
      <w:pPr>
        <w:pStyle w:val="NoSpacing"/>
      </w:pPr>
    </w:p>
    <w:p w:rsidR="004F3FBB" w:rsidRDefault="004F3FBB" w:rsidP="00BA7F74">
      <w:pPr>
        <w:pStyle w:val="NoSpacing"/>
      </w:pPr>
    </w:p>
    <w:p w:rsidR="00326AA1" w:rsidRDefault="00326AA1" w:rsidP="00BA7F74">
      <w:pPr>
        <w:pStyle w:val="NoSpacing"/>
      </w:pPr>
    </w:p>
    <w:p w:rsidR="00326AA1" w:rsidRPr="00326AA1" w:rsidRDefault="00326AA1" w:rsidP="00326AA1"/>
    <w:p w:rsidR="00326AA1" w:rsidRPr="00326AA1" w:rsidRDefault="00326AA1" w:rsidP="00326AA1"/>
    <w:p w:rsidR="00326AA1" w:rsidRPr="00326AA1" w:rsidRDefault="00326AA1" w:rsidP="00326AA1"/>
    <w:p w:rsidR="00326AA1" w:rsidRPr="00326AA1" w:rsidRDefault="00326AA1" w:rsidP="00326AA1"/>
    <w:p w:rsidR="00326AA1" w:rsidRPr="00326AA1" w:rsidRDefault="00326AA1" w:rsidP="00326AA1"/>
    <w:p w:rsidR="00326AA1" w:rsidRPr="00326AA1" w:rsidRDefault="00326AA1" w:rsidP="00326AA1"/>
    <w:p w:rsidR="00326AA1" w:rsidRDefault="00326AA1" w:rsidP="00326AA1"/>
    <w:p w:rsidR="00326AA1" w:rsidRPr="00C4299C" w:rsidRDefault="00326AA1" w:rsidP="00AA373D">
      <w:pPr>
        <w:spacing w:line="240" w:lineRule="auto"/>
        <w:contextualSpacing/>
        <w:jc w:val="both"/>
        <w:rPr>
          <w:rFonts w:ascii="Bookman Old Style" w:hAnsi="Bookman Old Style"/>
        </w:rPr>
      </w:pPr>
      <w:r w:rsidRPr="00C4299C">
        <w:rPr>
          <w:rFonts w:ascii="Bookman Old Style" w:hAnsi="Bookman Old Style"/>
        </w:rPr>
        <w:t xml:space="preserve">Both the NFPA 1710 and the WAC 296-305 identify common critical tasks for structural firefighting.  </w:t>
      </w:r>
      <w:r w:rsidR="003A59C7" w:rsidRPr="00C4299C">
        <w:rPr>
          <w:rFonts w:ascii="Bookman Old Style" w:hAnsi="Bookman Old Style"/>
        </w:rPr>
        <w:t xml:space="preserve">NFPA 1710 Section 5.2.4.2.2 recommends staffing and tasks for a “typical 2000 sq. ft., two-story single-family dwelling without basement and with no exposures”. </w:t>
      </w:r>
      <w:r w:rsidR="00476953" w:rsidRPr="00C4299C">
        <w:rPr>
          <w:rFonts w:ascii="Bookman Old Style" w:hAnsi="Bookman Old Style"/>
        </w:rPr>
        <w:t xml:space="preserve"> Listed below </w:t>
      </w:r>
      <w:r w:rsidR="00BA2993" w:rsidRPr="00C4299C">
        <w:rPr>
          <w:rFonts w:ascii="Bookman Old Style" w:hAnsi="Bookman Old Style"/>
        </w:rPr>
        <w:t xml:space="preserve">is the </w:t>
      </w:r>
      <w:r w:rsidR="00BA2993" w:rsidRPr="00C4299C">
        <w:rPr>
          <w:rFonts w:ascii="Bookman Old Style" w:hAnsi="Bookman Old Style"/>
          <w:i/>
        </w:rPr>
        <w:t>minimum</w:t>
      </w:r>
      <w:r w:rsidR="00BA2993" w:rsidRPr="00C4299C">
        <w:rPr>
          <w:rFonts w:ascii="Bookman Old Style" w:hAnsi="Bookman Old Style"/>
        </w:rPr>
        <w:t xml:space="preserve"> </w:t>
      </w:r>
      <w:r w:rsidR="00373411" w:rsidRPr="00C4299C">
        <w:rPr>
          <w:rFonts w:ascii="Bookman Old Style" w:hAnsi="Bookman Old Style"/>
        </w:rPr>
        <w:t xml:space="preserve">initial </w:t>
      </w:r>
      <w:r w:rsidR="00BA2993" w:rsidRPr="00C4299C">
        <w:rPr>
          <w:rFonts w:ascii="Bookman Old Style" w:hAnsi="Bookman Old Style"/>
        </w:rPr>
        <w:t>alarm</w:t>
      </w:r>
      <w:r w:rsidR="00476953" w:rsidRPr="00C4299C">
        <w:rPr>
          <w:rFonts w:ascii="Bookman Old Style" w:hAnsi="Bookman Old Style"/>
        </w:rPr>
        <w:t xml:space="preserve"> staffing recommendations</w:t>
      </w:r>
      <w:r w:rsidR="00373411" w:rsidRPr="00C4299C">
        <w:rPr>
          <w:rFonts w:ascii="Bookman Old Style" w:hAnsi="Bookman Old Style"/>
        </w:rPr>
        <w:t xml:space="preserve"> of NFPA 1710</w:t>
      </w:r>
      <w:r w:rsidR="00476953" w:rsidRPr="00C4299C">
        <w:rPr>
          <w:rFonts w:ascii="Bookman Old Style" w:hAnsi="Bookman Old Style"/>
        </w:rPr>
        <w:t>:</w:t>
      </w:r>
    </w:p>
    <w:p w:rsidR="00A3156B" w:rsidRDefault="00A3156B" w:rsidP="00326AA1">
      <w:pPr>
        <w:jc w:val="center"/>
        <w:rPr>
          <w:rFonts w:ascii="Bookman Old Style" w:hAnsi="Bookman Old Style"/>
        </w:rPr>
      </w:pPr>
    </w:p>
    <w:p w:rsidR="00A3156B" w:rsidRDefault="00A3156B" w:rsidP="00326AA1">
      <w:pPr>
        <w:jc w:val="center"/>
        <w:rPr>
          <w:rFonts w:ascii="Bookman Old Style" w:hAnsi="Bookman Old Style"/>
        </w:rPr>
      </w:pPr>
    </w:p>
    <w:p w:rsidR="00326AA1" w:rsidRPr="00C4299C" w:rsidRDefault="00BA2993" w:rsidP="00326AA1">
      <w:pPr>
        <w:jc w:val="center"/>
        <w:rPr>
          <w:rFonts w:ascii="Bookman Old Style" w:hAnsi="Bookman Old Style"/>
        </w:rPr>
      </w:pPr>
      <w:r w:rsidRPr="00C4299C">
        <w:rPr>
          <w:rFonts w:ascii="Bookman Old Style" w:hAnsi="Bookman Old Style"/>
        </w:rPr>
        <w:lastRenderedPageBreak/>
        <w:t>NFPA 1710 Initial Alarm Staffing – Residential Structure Fire</w:t>
      </w:r>
    </w:p>
    <w:tbl>
      <w:tblPr>
        <w:tblW w:w="0" w:type="auto"/>
        <w:tblInd w:w="93" w:type="dxa"/>
        <w:tblLook w:val="04A0" w:firstRow="1" w:lastRow="0" w:firstColumn="1" w:lastColumn="0" w:noHBand="0" w:noVBand="1"/>
      </w:tblPr>
      <w:tblGrid>
        <w:gridCol w:w="2201"/>
        <w:gridCol w:w="5304"/>
        <w:gridCol w:w="1978"/>
      </w:tblGrid>
      <w:tr w:rsidR="008F6738" w:rsidRPr="00503B63" w:rsidTr="008F6738">
        <w:trPr>
          <w:trHeight w:val="144"/>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F6738" w:rsidRPr="00503B63" w:rsidRDefault="008F6738" w:rsidP="008F6738">
            <w:pPr>
              <w:spacing w:after="0" w:line="240" w:lineRule="auto"/>
              <w:jc w:val="center"/>
              <w:rPr>
                <w:rFonts w:ascii="Cambria" w:eastAsia="Times New Roman" w:hAnsi="Cambria" w:cs="Times New Roman"/>
                <w:b/>
                <w:bCs/>
                <w:color w:val="000000"/>
              </w:rPr>
            </w:pPr>
            <w:r w:rsidRPr="00503B63">
              <w:rPr>
                <w:rFonts w:ascii="Cambria" w:eastAsia="Times New Roman" w:hAnsi="Cambria" w:cs="Times New Roman"/>
                <w:b/>
                <w:bCs/>
                <w:color w:val="000000"/>
              </w:rPr>
              <w:t>Position</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F6738" w:rsidRPr="00503B63" w:rsidRDefault="008F6738" w:rsidP="008F6738">
            <w:pPr>
              <w:spacing w:after="0" w:line="240" w:lineRule="auto"/>
              <w:jc w:val="center"/>
              <w:rPr>
                <w:rFonts w:ascii="Cambria" w:eastAsia="Times New Roman" w:hAnsi="Cambria" w:cs="Times New Roman"/>
                <w:b/>
                <w:bCs/>
                <w:color w:val="000000"/>
              </w:rPr>
            </w:pPr>
            <w:r w:rsidRPr="00503B63">
              <w:rPr>
                <w:rFonts w:ascii="Cambria" w:eastAsia="Times New Roman" w:hAnsi="Cambria" w:cs="Times New Roman"/>
                <w:b/>
                <w:bCs/>
                <w:color w:val="000000"/>
              </w:rPr>
              <w:t>Task</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F6738" w:rsidRPr="00503B63" w:rsidRDefault="008F6738" w:rsidP="008F6738">
            <w:pPr>
              <w:spacing w:after="0" w:line="240" w:lineRule="auto"/>
              <w:rPr>
                <w:rFonts w:ascii="Cambria" w:eastAsia="Times New Roman" w:hAnsi="Cambria" w:cs="Times New Roman"/>
                <w:b/>
                <w:bCs/>
                <w:color w:val="000000"/>
              </w:rPr>
            </w:pPr>
            <w:r w:rsidRPr="00503B63">
              <w:rPr>
                <w:rFonts w:ascii="Cambria" w:eastAsia="Times New Roman" w:hAnsi="Cambria" w:cs="Times New Roman"/>
                <w:b/>
                <w:bCs/>
                <w:color w:val="000000"/>
              </w:rPr>
              <w:t># of FF's assigned</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Incident Commander</w:t>
            </w:r>
          </w:p>
        </w:tc>
        <w:tc>
          <w:tcPr>
            <w:tcW w:w="0" w:type="auto"/>
            <w:tcBorders>
              <w:top w:val="nil"/>
              <w:left w:val="nil"/>
              <w:bottom w:val="single" w:sz="4" w:space="0" w:color="auto"/>
              <w:right w:val="single" w:sz="4" w:space="0" w:color="auto"/>
            </w:tcBorders>
            <w:shd w:val="clear" w:color="auto" w:fill="auto"/>
            <w:vAlign w:val="center"/>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Overall coordination and direction of the initial full alarm assignment</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1</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Pump Operator</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Establishment of an uninterrupted water supply of 400 gpm for 30 min.</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1</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Fire Attack</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Establishment of an effective water flow application rate of 100 gpm</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2</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Back Up</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Establishment of an effective water flow application rate of 100 gpm</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2</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Support</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Provision of hydrant hookup and assistance in laying hose lines, utility control, forcible entry, etc.</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1</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Search</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Victim Search and Rescue</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2</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Ventilation</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Raise Ground Ladders and provide ventilation</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2</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Aerial Operator</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Maintenance and control of aerial device</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1</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RIC</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Firefighter Safety</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3</w:t>
            </w:r>
          </w:p>
        </w:tc>
      </w:tr>
      <w:tr w:rsidR="008F6738" w:rsidRPr="00503B63" w:rsidTr="008F6738">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Cambria" w:eastAsia="Times New Roman" w:hAnsi="Cambria" w:cs="Times New Roman"/>
                <w:color w:val="000000"/>
              </w:rPr>
            </w:pPr>
            <w:r w:rsidRPr="00503B63">
              <w:rPr>
                <w:rFonts w:ascii="Cambria" w:eastAsia="Times New Roman" w:hAnsi="Cambria"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Cambria" w:eastAsia="Times New Roman" w:hAnsi="Cambria" w:cs="Times New Roman"/>
                <w:color w:val="000000"/>
              </w:rPr>
            </w:pPr>
            <w:r w:rsidRPr="00503B63">
              <w:rPr>
                <w:rFonts w:ascii="Cambria" w:eastAsia="Times New Roman" w:hAnsi="Cambria" w:cs="Times New Roman"/>
                <w:color w:val="000000"/>
              </w:rPr>
              <w:t>15</w:t>
            </w:r>
          </w:p>
        </w:tc>
      </w:tr>
    </w:tbl>
    <w:p w:rsidR="00AF5588" w:rsidRDefault="00AF5588" w:rsidP="008F6738"/>
    <w:p w:rsidR="00503B63" w:rsidRDefault="00503B63" w:rsidP="008F6738">
      <w:pPr>
        <w:jc w:val="center"/>
        <w:rPr>
          <w:rFonts w:ascii="Bookman Old Style" w:hAnsi="Bookman Old Style"/>
        </w:rPr>
      </w:pPr>
    </w:p>
    <w:p w:rsidR="008F6738" w:rsidRDefault="008F6738" w:rsidP="008F6738">
      <w:pPr>
        <w:jc w:val="center"/>
        <w:rPr>
          <w:rFonts w:ascii="Bookman Old Style" w:hAnsi="Bookman Old Style"/>
        </w:rPr>
      </w:pPr>
      <w:r>
        <w:rPr>
          <w:rFonts w:ascii="Bookman Old Style" w:hAnsi="Bookman Old Style"/>
        </w:rPr>
        <w:t>Tri – County Chief’s Initial Alarm Staffing – Commercial Structure Fire</w:t>
      </w:r>
    </w:p>
    <w:tbl>
      <w:tblPr>
        <w:tblW w:w="0" w:type="auto"/>
        <w:tblInd w:w="93" w:type="dxa"/>
        <w:tblLook w:val="04A0" w:firstRow="1" w:lastRow="0" w:firstColumn="1" w:lastColumn="0" w:noHBand="0" w:noVBand="1"/>
      </w:tblPr>
      <w:tblGrid>
        <w:gridCol w:w="2301"/>
        <w:gridCol w:w="5204"/>
        <w:gridCol w:w="1978"/>
      </w:tblGrid>
      <w:tr w:rsidR="008F6738" w:rsidRPr="00503B63" w:rsidTr="008F673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F6738" w:rsidRPr="00503B63" w:rsidRDefault="008F6738" w:rsidP="008F6738">
            <w:pPr>
              <w:spacing w:after="0" w:line="240" w:lineRule="auto"/>
              <w:jc w:val="center"/>
              <w:rPr>
                <w:rFonts w:asciiTheme="majorHAnsi" w:eastAsia="Times New Roman" w:hAnsiTheme="majorHAnsi" w:cs="Times New Roman"/>
                <w:b/>
                <w:bCs/>
                <w:color w:val="000000"/>
              </w:rPr>
            </w:pPr>
            <w:r w:rsidRPr="00503B63">
              <w:rPr>
                <w:rFonts w:asciiTheme="majorHAnsi" w:eastAsia="Times New Roman" w:hAnsiTheme="majorHAnsi" w:cs="Times New Roman"/>
                <w:b/>
                <w:bCs/>
                <w:color w:val="000000"/>
              </w:rPr>
              <w:t>Position</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F6738" w:rsidRPr="00503B63" w:rsidRDefault="008F6738" w:rsidP="008F6738">
            <w:pPr>
              <w:spacing w:after="0" w:line="240" w:lineRule="auto"/>
              <w:jc w:val="center"/>
              <w:rPr>
                <w:rFonts w:asciiTheme="majorHAnsi" w:eastAsia="Times New Roman" w:hAnsiTheme="majorHAnsi" w:cs="Times New Roman"/>
                <w:b/>
                <w:bCs/>
                <w:color w:val="000000"/>
              </w:rPr>
            </w:pPr>
            <w:r w:rsidRPr="00503B63">
              <w:rPr>
                <w:rFonts w:asciiTheme="majorHAnsi" w:eastAsia="Times New Roman" w:hAnsiTheme="majorHAnsi" w:cs="Times New Roman"/>
                <w:b/>
                <w:bCs/>
                <w:color w:val="000000"/>
              </w:rPr>
              <w:t>Task</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8F6738" w:rsidRPr="00503B63" w:rsidRDefault="008F6738" w:rsidP="008F6738">
            <w:pPr>
              <w:spacing w:after="0" w:line="240" w:lineRule="auto"/>
              <w:rPr>
                <w:rFonts w:asciiTheme="majorHAnsi" w:eastAsia="Times New Roman" w:hAnsiTheme="majorHAnsi" w:cs="Times New Roman"/>
                <w:b/>
                <w:bCs/>
                <w:color w:val="000000"/>
              </w:rPr>
            </w:pPr>
            <w:r w:rsidRPr="00503B63">
              <w:rPr>
                <w:rFonts w:asciiTheme="majorHAnsi" w:eastAsia="Times New Roman" w:hAnsiTheme="majorHAnsi" w:cs="Times New Roman"/>
                <w:b/>
                <w:bCs/>
                <w:color w:val="000000"/>
              </w:rPr>
              <w:t># of FF's assigned</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Incident Commander</w:t>
            </w:r>
          </w:p>
        </w:tc>
        <w:tc>
          <w:tcPr>
            <w:tcW w:w="0" w:type="auto"/>
            <w:tcBorders>
              <w:top w:val="nil"/>
              <w:left w:val="nil"/>
              <w:bottom w:val="single" w:sz="4" w:space="0" w:color="auto"/>
              <w:right w:val="single" w:sz="4" w:space="0" w:color="auto"/>
            </w:tcBorders>
            <w:shd w:val="clear" w:color="auto" w:fill="auto"/>
            <w:vAlign w:val="center"/>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Overall coordination and direction of the initial full alarm assignment</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1</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Div. Supervisor</w:t>
            </w:r>
          </w:p>
        </w:tc>
        <w:tc>
          <w:tcPr>
            <w:tcW w:w="0" w:type="auto"/>
            <w:tcBorders>
              <w:top w:val="nil"/>
              <w:left w:val="nil"/>
              <w:bottom w:val="single" w:sz="4" w:space="0" w:color="auto"/>
              <w:right w:val="single" w:sz="4" w:space="0" w:color="auto"/>
            </w:tcBorders>
            <w:shd w:val="clear" w:color="auto" w:fill="auto"/>
            <w:vAlign w:val="center"/>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Overall coordination and direction of the division assignment</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Incident Safety Officer</w:t>
            </w:r>
          </w:p>
        </w:tc>
        <w:tc>
          <w:tcPr>
            <w:tcW w:w="0" w:type="auto"/>
            <w:tcBorders>
              <w:top w:val="nil"/>
              <w:left w:val="nil"/>
              <w:bottom w:val="single" w:sz="4" w:space="0" w:color="auto"/>
              <w:right w:val="single" w:sz="4" w:space="0" w:color="auto"/>
            </w:tcBorders>
            <w:shd w:val="clear" w:color="auto" w:fill="auto"/>
            <w:vAlign w:val="center"/>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Direct Safety Oversight of fireground operations</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1</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Pump Operator</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Establishment of an uninterrupted water supply of 400 gpm for 30 min.</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Fire Attack</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Establishment of an effective water flow application rate of 100 gpm</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3</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Back Up</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Establishment of an effective water flow application rate of 100 gpm</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3</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Support</w:t>
            </w:r>
          </w:p>
        </w:tc>
        <w:tc>
          <w:tcPr>
            <w:tcW w:w="0" w:type="auto"/>
            <w:tcBorders>
              <w:top w:val="nil"/>
              <w:left w:val="nil"/>
              <w:bottom w:val="single" w:sz="4" w:space="0" w:color="auto"/>
              <w:right w:val="single" w:sz="4" w:space="0" w:color="auto"/>
            </w:tcBorders>
            <w:shd w:val="clear" w:color="auto" w:fill="auto"/>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Provision of hydrant hookup and assistance in laying hose lines, utility control, forcible entry, etc.</w:t>
            </w:r>
          </w:p>
        </w:tc>
        <w:tc>
          <w:tcPr>
            <w:tcW w:w="0" w:type="auto"/>
            <w:tcBorders>
              <w:top w:val="nil"/>
              <w:left w:val="nil"/>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Search</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Victim Search and Rescue</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Ventilation</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Raise Ground Ladders and provide ventilation</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Aerial Operator</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Maintainance and control of aerial device</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RIG</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Firefighter Safety</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6</w:t>
            </w:r>
          </w:p>
        </w:tc>
      </w:tr>
      <w:tr w:rsidR="008F6738" w:rsidRPr="00503B63" w:rsidTr="008F673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rPr>
                <w:rFonts w:asciiTheme="majorHAnsi" w:eastAsia="Times New Roman" w:hAnsiTheme="majorHAnsi" w:cs="Times New Roman"/>
                <w:color w:val="000000"/>
              </w:rPr>
            </w:pPr>
            <w:r w:rsidRPr="00503B63">
              <w:rPr>
                <w:rFonts w:asciiTheme="majorHAnsi" w:eastAsia="Times New Roman" w:hAnsiTheme="majorHAnsi"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F6738" w:rsidRPr="00503B63" w:rsidRDefault="008F6738" w:rsidP="008F6738">
            <w:pPr>
              <w:spacing w:after="0" w:line="240" w:lineRule="auto"/>
              <w:jc w:val="center"/>
              <w:rPr>
                <w:rFonts w:asciiTheme="majorHAnsi" w:eastAsia="Times New Roman" w:hAnsiTheme="majorHAnsi" w:cs="Times New Roman"/>
                <w:color w:val="000000"/>
              </w:rPr>
            </w:pPr>
            <w:r w:rsidRPr="00503B63">
              <w:rPr>
                <w:rFonts w:asciiTheme="majorHAnsi" w:eastAsia="Times New Roman" w:hAnsiTheme="majorHAnsi" w:cs="Times New Roman"/>
                <w:color w:val="000000"/>
              </w:rPr>
              <w:t>26</w:t>
            </w:r>
          </w:p>
        </w:tc>
      </w:tr>
    </w:tbl>
    <w:p w:rsidR="008F6738" w:rsidRDefault="008F6738" w:rsidP="008F6738">
      <w:r>
        <w:tab/>
      </w:r>
      <w:r>
        <w:tab/>
      </w:r>
    </w:p>
    <w:p w:rsidR="00AF5588" w:rsidRPr="008F6738" w:rsidRDefault="00AF5588" w:rsidP="008F6738">
      <w:pPr>
        <w:pStyle w:val="Heading1"/>
        <w:rPr>
          <w:rFonts w:ascii="Bookman Old Style" w:hAnsi="Bookman Old Style"/>
          <w:color w:val="auto"/>
          <w:sz w:val="24"/>
          <w:szCs w:val="24"/>
        </w:rPr>
      </w:pPr>
      <w:bookmarkStart w:id="38" w:name="_Toc474159560"/>
      <w:bookmarkStart w:id="39" w:name="_Toc475003863"/>
      <w:r w:rsidRPr="008F6738">
        <w:rPr>
          <w:rFonts w:ascii="Bookman Old Style" w:hAnsi="Bookman Old Style"/>
          <w:color w:val="auto"/>
          <w:sz w:val="24"/>
          <w:szCs w:val="24"/>
        </w:rPr>
        <w:lastRenderedPageBreak/>
        <w:t>Section VI</w:t>
      </w:r>
      <w:bookmarkEnd w:id="38"/>
      <w:bookmarkEnd w:id="39"/>
      <w:r w:rsidRPr="008F6738">
        <w:rPr>
          <w:rFonts w:ascii="Bookman Old Style" w:hAnsi="Bookman Old Style"/>
          <w:color w:val="auto"/>
          <w:sz w:val="24"/>
          <w:szCs w:val="24"/>
        </w:rPr>
        <w:t xml:space="preserve"> </w:t>
      </w:r>
    </w:p>
    <w:p w:rsidR="00AF5588" w:rsidRDefault="00AF5588" w:rsidP="008A5557">
      <w:pPr>
        <w:pStyle w:val="Heading2"/>
        <w:spacing w:before="0" w:after="200"/>
        <w:rPr>
          <w:i/>
          <w:color w:val="auto"/>
          <w:sz w:val="24"/>
          <w:szCs w:val="24"/>
        </w:rPr>
      </w:pPr>
      <w:bookmarkStart w:id="40" w:name="_Toc474159561"/>
      <w:bookmarkStart w:id="41" w:name="_Toc475003864"/>
      <w:r w:rsidRPr="003746A2">
        <w:rPr>
          <w:i/>
          <w:color w:val="auto"/>
          <w:sz w:val="24"/>
          <w:szCs w:val="24"/>
        </w:rPr>
        <w:t>Response Times &amp; Critical Tasking</w:t>
      </w:r>
      <w:bookmarkEnd w:id="40"/>
      <w:bookmarkEnd w:id="41"/>
    </w:p>
    <w:p w:rsidR="008B669F" w:rsidRDefault="008B669F" w:rsidP="00503B63">
      <w:pPr>
        <w:spacing w:line="240" w:lineRule="auto"/>
        <w:jc w:val="both"/>
        <w:rPr>
          <w:rFonts w:ascii="Bookman Old Style" w:hAnsi="Bookman Old Style"/>
        </w:rPr>
      </w:pPr>
      <w:r>
        <w:rPr>
          <w:rFonts w:ascii="Bookman Old Style" w:hAnsi="Bookman Old Style"/>
        </w:rPr>
        <w:t>The geographic distribution of resources is import to provide an effective response time, however the concentration of resources is critical to the more significant events, such as fire, vehicle accidents, CPR in progress, and other multi-unit responses.  It is critical that sufficient resources (both personnel and equipment) arrive to the incident quickly enough to provide for incident mitigation.</w:t>
      </w:r>
    </w:p>
    <w:p w:rsidR="008B669F" w:rsidRDefault="008B669F" w:rsidP="00503B63">
      <w:pPr>
        <w:spacing w:line="240" w:lineRule="auto"/>
        <w:contextualSpacing/>
        <w:jc w:val="both"/>
        <w:rPr>
          <w:rFonts w:ascii="Bookman Old Style" w:hAnsi="Bookman Old Style"/>
        </w:rPr>
      </w:pPr>
      <w:r>
        <w:rPr>
          <w:rFonts w:ascii="Bookman Old Style" w:hAnsi="Bookman Old Style"/>
        </w:rPr>
        <w:t>The NFPA 1710 Standard specifies that the full first alarm assignment for a moderate risk structure fire (single story residential) should arrive within an eight-minute travel time, 90% of the time.</w:t>
      </w:r>
    </w:p>
    <w:p w:rsidR="00503B63" w:rsidRPr="008B669F" w:rsidRDefault="00503B63" w:rsidP="00503B63">
      <w:pPr>
        <w:spacing w:line="240" w:lineRule="auto"/>
        <w:contextualSpacing/>
        <w:jc w:val="both"/>
        <w:rPr>
          <w:rFonts w:ascii="Bookman Old Style" w:hAnsi="Bookman Old Style"/>
        </w:rPr>
      </w:pPr>
    </w:p>
    <w:p w:rsidR="006B1822" w:rsidRDefault="00727E60" w:rsidP="00503B63">
      <w:pPr>
        <w:spacing w:line="240" w:lineRule="auto"/>
        <w:contextualSpacing/>
        <w:jc w:val="both"/>
        <w:rPr>
          <w:rFonts w:ascii="Bookman Old Style" w:hAnsi="Bookman Old Style"/>
        </w:rPr>
      </w:pPr>
      <w:r w:rsidRPr="00C4299C">
        <w:rPr>
          <w:rFonts w:ascii="Bookman Old Style" w:hAnsi="Bookman Old Style"/>
        </w:rPr>
        <w:t xml:space="preserve">On February 21, 2006, </w:t>
      </w:r>
      <w:r w:rsidR="00EA7FFC">
        <w:rPr>
          <w:rFonts w:ascii="Bookman Old Style" w:hAnsi="Bookman Old Style"/>
        </w:rPr>
        <w:t>in accordance with RCW 35A.92</w:t>
      </w:r>
      <w:r w:rsidR="006B1822">
        <w:rPr>
          <w:rFonts w:ascii="Bookman Old Style" w:hAnsi="Bookman Old Style"/>
        </w:rPr>
        <w:t xml:space="preserve"> Fire Departments – Performance Measures, </w:t>
      </w:r>
      <w:r w:rsidRPr="00C4299C">
        <w:rPr>
          <w:rFonts w:ascii="Bookman Old Style" w:hAnsi="Bookman Old Style"/>
        </w:rPr>
        <w:t>the City Council of the City of Pasco adopted Resolution #2938 which identified performance standards for the Pasco Fire Department emergency responses.</w:t>
      </w:r>
      <w:r w:rsidR="006B1822">
        <w:rPr>
          <w:rFonts w:ascii="Bookman Old Style" w:hAnsi="Bookman Old Style"/>
        </w:rPr>
        <w:t xml:space="preserve"> NFPA 1710 recommends 80 seconds for turnout time for fire and special operations responses.  For the initial arriving company, the department’s fire suppression resources shall be deployed to provide for the arrival of an engine company within a 240-second travel time to 90% of the incidents.  It is important to note that Resolution #2938 is </w:t>
      </w:r>
      <w:r w:rsidR="00EA7FFC">
        <w:rPr>
          <w:rFonts w:ascii="Bookman Old Style" w:hAnsi="Bookman Old Style"/>
        </w:rPr>
        <w:t>not in compliance with RCW 35A.92, nor does it meet the intent of NFPA 1710</w:t>
      </w:r>
      <w:r w:rsidR="006B1822">
        <w:rPr>
          <w:rFonts w:ascii="Bookman Old Style" w:hAnsi="Bookman Old Style"/>
        </w:rPr>
        <w:t>.</w:t>
      </w:r>
    </w:p>
    <w:p w:rsidR="003751AF" w:rsidRPr="00C4299C" w:rsidRDefault="003751AF" w:rsidP="004A0133">
      <w:pPr>
        <w:spacing w:line="240" w:lineRule="auto"/>
        <w:contextualSpacing/>
        <w:jc w:val="both"/>
        <w:rPr>
          <w:rFonts w:ascii="Bookman Old Style" w:hAnsi="Bookman Old Style"/>
        </w:rPr>
      </w:pPr>
    </w:p>
    <w:p w:rsidR="00727E60" w:rsidRDefault="00727E60" w:rsidP="004A0133">
      <w:pPr>
        <w:spacing w:line="240" w:lineRule="auto"/>
        <w:contextualSpacing/>
        <w:jc w:val="both"/>
        <w:rPr>
          <w:rFonts w:ascii="Bookman Old Style" w:hAnsi="Bookman Old Style"/>
        </w:rPr>
      </w:pPr>
      <w:r w:rsidRPr="00C4299C">
        <w:rPr>
          <w:rFonts w:ascii="Bookman Old Style" w:hAnsi="Bookman Old Style"/>
        </w:rPr>
        <w:t>As stated in the resolution, the following standards represent the minimum desired service level for the respective emergency response services provided by the Fire Department.  Affected managers shall deploy appropriated resources so as to bes</w:t>
      </w:r>
      <w:r w:rsidR="00E57B22" w:rsidRPr="00C4299C">
        <w:rPr>
          <w:rFonts w:ascii="Bookman Old Style" w:hAnsi="Bookman Old Style"/>
        </w:rPr>
        <w:t>t</w:t>
      </w:r>
      <w:r w:rsidRPr="00C4299C">
        <w:rPr>
          <w:rFonts w:ascii="Bookman Old Style" w:hAnsi="Bookman Old Style"/>
        </w:rPr>
        <w:t xml:space="preserve"> achieve the standards set forth herein.</w:t>
      </w:r>
    </w:p>
    <w:p w:rsidR="003751AF" w:rsidRPr="00C4299C" w:rsidRDefault="003751AF" w:rsidP="004A0133">
      <w:pPr>
        <w:spacing w:line="240" w:lineRule="auto"/>
        <w:contextualSpacing/>
        <w:jc w:val="both"/>
        <w:rPr>
          <w:rFonts w:ascii="Bookman Old Style" w:hAnsi="Bookman Old Style"/>
        </w:rPr>
      </w:pPr>
    </w:p>
    <w:p w:rsidR="00727E60" w:rsidRDefault="00727E60"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TURNOUT</w:t>
      </w:r>
      <w:r w:rsidR="00AA373D">
        <w:rPr>
          <w:rFonts w:ascii="Bookman Old Style" w:hAnsi="Bookman Old Style"/>
          <w:sz w:val="20"/>
        </w:rPr>
        <w:t>:</w:t>
      </w:r>
      <w:r w:rsidR="00AB6655">
        <w:rPr>
          <w:rFonts w:ascii="Bookman Old Style" w:hAnsi="Bookman Old Style"/>
          <w:sz w:val="20"/>
        </w:rPr>
        <w:t xml:space="preserve"> A turn</w:t>
      </w:r>
      <w:r w:rsidRPr="00C4299C">
        <w:rPr>
          <w:rFonts w:ascii="Bookman Old Style" w:hAnsi="Bookman Old Style"/>
          <w:sz w:val="20"/>
        </w:rPr>
        <w:t xml:space="preserve">out time of two (2) minutes, which the </w:t>
      </w:r>
      <w:r w:rsidR="00B93479" w:rsidRPr="00C4299C">
        <w:rPr>
          <w:rFonts w:ascii="Bookman Old Style" w:hAnsi="Bookman Old Style"/>
          <w:sz w:val="20"/>
        </w:rPr>
        <w:t>department</w:t>
      </w:r>
      <w:r w:rsidRPr="00C4299C">
        <w:rPr>
          <w:rFonts w:ascii="Bookman Old Style" w:hAnsi="Bookman Old Style"/>
          <w:sz w:val="20"/>
        </w:rPr>
        <w:t xml:space="preserve"> should meet 85% of the time.  All firefighting safety equipment must </w:t>
      </w:r>
      <w:r w:rsidR="00B93479" w:rsidRPr="00C4299C">
        <w:rPr>
          <w:rFonts w:ascii="Bookman Old Style" w:hAnsi="Bookman Old Style"/>
          <w:sz w:val="20"/>
        </w:rPr>
        <w:t>be donned before the vehicle can leave the station for a fire response.</w:t>
      </w:r>
    </w:p>
    <w:p w:rsidR="00AA373D" w:rsidRPr="00C4299C" w:rsidRDefault="00AA373D" w:rsidP="004A0133">
      <w:pPr>
        <w:pStyle w:val="ListParagraph"/>
        <w:spacing w:line="240" w:lineRule="auto"/>
        <w:ind w:left="1080"/>
        <w:jc w:val="both"/>
        <w:rPr>
          <w:rFonts w:ascii="Bookman Old Style" w:hAnsi="Bookman Old Style"/>
          <w:sz w:val="20"/>
        </w:rPr>
      </w:pPr>
    </w:p>
    <w:p w:rsidR="00AA373D" w:rsidRPr="004A0133" w:rsidRDefault="00B93479"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FIRST ENGINE ARRIVAL</w:t>
      </w:r>
      <w:r w:rsidRPr="00C4299C">
        <w:rPr>
          <w:rFonts w:ascii="Bookman Old Style" w:hAnsi="Bookman Old Style"/>
          <w:sz w:val="20"/>
        </w:rPr>
        <w:t>:  A response/travel time (after turnout</w:t>
      </w:r>
      <w:r w:rsidR="00AB6655">
        <w:rPr>
          <w:rFonts w:ascii="Bookman Old Style" w:hAnsi="Bookman Old Style"/>
          <w:sz w:val="20"/>
        </w:rPr>
        <w:t>)</w:t>
      </w:r>
      <w:r w:rsidRPr="00C4299C">
        <w:rPr>
          <w:rFonts w:ascii="Bookman Old Style" w:hAnsi="Bookman Old Style"/>
          <w:sz w:val="20"/>
        </w:rPr>
        <w:t xml:space="preserve"> of six (6) minutes for the arrival of the first engine company (at least two (2) firefighters) to a fire suppression incident, which the department should meet 85% of the time.</w:t>
      </w:r>
    </w:p>
    <w:p w:rsidR="00AA373D" w:rsidRPr="00AA373D" w:rsidRDefault="00AA373D" w:rsidP="004A0133">
      <w:pPr>
        <w:pStyle w:val="ListParagraph"/>
        <w:spacing w:line="240" w:lineRule="auto"/>
        <w:ind w:left="1080"/>
        <w:jc w:val="both"/>
        <w:rPr>
          <w:rFonts w:ascii="Bookman Old Style" w:hAnsi="Bookman Old Style"/>
          <w:sz w:val="20"/>
        </w:rPr>
      </w:pPr>
    </w:p>
    <w:p w:rsidR="00B93479" w:rsidRDefault="00B93479"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FIRST FULL ALARM ARRIVAL</w:t>
      </w:r>
      <w:r w:rsidRPr="00C4299C">
        <w:rPr>
          <w:rFonts w:ascii="Bookman Old Style" w:hAnsi="Bookman Old Style"/>
          <w:sz w:val="20"/>
        </w:rPr>
        <w:t>:  A response/travel time (after turnout) of twelve (12) minutes for the arrival of the full complement of a 1</w:t>
      </w:r>
      <w:r w:rsidRPr="00C4299C">
        <w:rPr>
          <w:rFonts w:ascii="Bookman Old Style" w:hAnsi="Bookman Old Style"/>
          <w:sz w:val="20"/>
          <w:vertAlign w:val="superscript"/>
        </w:rPr>
        <w:t>st</w:t>
      </w:r>
      <w:r w:rsidRPr="00C4299C">
        <w:rPr>
          <w:rFonts w:ascii="Bookman Old Style" w:hAnsi="Bookman Old Style"/>
          <w:sz w:val="20"/>
        </w:rPr>
        <w:t xml:space="preserve"> alarm response to a fire suppression incident, which the department should meet 85% of the time.  “Full complement” means at least two (2) engine companies (trucks) with associated firefight</w:t>
      </w:r>
      <w:r w:rsidR="00AB6655">
        <w:rPr>
          <w:rFonts w:ascii="Bookman Old Style" w:hAnsi="Bookman Old Style"/>
          <w:sz w:val="20"/>
        </w:rPr>
        <w:t>ers and one (1) command officer (9 total apparatus).</w:t>
      </w:r>
    </w:p>
    <w:p w:rsidR="00AA373D" w:rsidRPr="00C4299C" w:rsidRDefault="00AA373D" w:rsidP="004A0133">
      <w:pPr>
        <w:pStyle w:val="ListParagraph"/>
        <w:spacing w:line="240" w:lineRule="auto"/>
        <w:ind w:left="1080"/>
        <w:jc w:val="both"/>
        <w:rPr>
          <w:rFonts w:ascii="Bookman Old Style" w:hAnsi="Bookman Old Style"/>
          <w:sz w:val="20"/>
        </w:rPr>
      </w:pPr>
    </w:p>
    <w:p w:rsidR="00AA373D" w:rsidRPr="004A0133" w:rsidRDefault="00D81005"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BLS AMBULANCE ARRIVAL</w:t>
      </w:r>
      <w:r w:rsidRPr="00C4299C">
        <w:rPr>
          <w:rFonts w:ascii="Bookman Old Style" w:hAnsi="Bookman Old Style"/>
          <w:sz w:val="20"/>
        </w:rPr>
        <w:t>:  A response/travel time (after turnout) of six (6) minutes/seconds for the arrival of the first emergency medical unit with at least one (1) EMT on board to an emergency medical incident, which the department should meet 85% of the time.</w:t>
      </w:r>
    </w:p>
    <w:p w:rsidR="00AA373D" w:rsidRPr="00C4299C" w:rsidRDefault="00AA373D" w:rsidP="004A0133">
      <w:pPr>
        <w:pStyle w:val="ListParagraph"/>
        <w:spacing w:line="240" w:lineRule="auto"/>
        <w:ind w:left="1080"/>
        <w:jc w:val="both"/>
        <w:rPr>
          <w:rFonts w:ascii="Bookman Old Style" w:hAnsi="Bookman Old Style"/>
          <w:sz w:val="20"/>
        </w:rPr>
      </w:pPr>
    </w:p>
    <w:p w:rsidR="00D81005" w:rsidRDefault="00D81005"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ALS AMBULANCE ARRIVAL</w:t>
      </w:r>
      <w:r w:rsidRPr="00C4299C">
        <w:rPr>
          <w:rFonts w:ascii="Bookman Old Style" w:hAnsi="Bookman Old Style"/>
          <w:sz w:val="20"/>
        </w:rPr>
        <w:t>:  A response/travel time (after turnout) of six (6) minutes for the arrival of an advanced life support unit with at least one (1) paramedic on board to an ALS emergency medical incident, which the department should meet 85% of the time.</w:t>
      </w:r>
    </w:p>
    <w:p w:rsidR="00AA373D" w:rsidRPr="00C4299C" w:rsidRDefault="00AA373D" w:rsidP="004A0133">
      <w:pPr>
        <w:pStyle w:val="ListParagraph"/>
        <w:spacing w:line="240" w:lineRule="auto"/>
        <w:ind w:left="1080"/>
        <w:jc w:val="both"/>
        <w:rPr>
          <w:rFonts w:ascii="Bookman Old Style" w:hAnsi="Bookman Old Style"/>
          <w:sz w:val="20"/>
        </w:rPr>
      </w:pPr>
    </w:p>
    <w:p w:rsidR="00AA373D" w:rsidRPr="004A0133" w:rsidRDefault="00D81005"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HAZARDOUS MATERIALS</w:t>
      </w:r>
      <w:r w:rsidRPr="00C4299C">
        <w:rPr>
          <w:rFonts w:ascii="Bookman Old Style" w:hAnsi="Bookman Old Style"/>
          <w:sz w:val="20"/>
        </w:rPr>
        <w:t>:  A response/travel time (after turnout) of six (6) minutes for the arrival of the first unit with at least one (1) appropriately trained Hazardous Materials Technician on board to a hazardous materials incident, which the department should meet 85% of the time.</w:t>
      </w:r>
    </w:p>
    <w:p w:rsidR="00AA373D" w:rsidRPr="00C4299C" w:rsidRDefault="00AA373D" w:rsidP="004A0133">
      <w:pPr>
        <w:pStyle w:val="ListParagraph"/>
        <w:spacing w:line="240" w:lineRule="auto"/>
        <w:ind w:left="1080"/>
        <w:jc w:val="both"/>
        <w:rPr>
          <w:rFonts w:ascii="Bookman Old Style" w:hAnsi="Bookman Old Style"/>
          <w:sz w:val="20"/>
        </w:rPr>
      </w:pPr>
    </w:p>
    <w:p w:rsidR="00D81005" w:rsidRDefault="00D81005"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TECHNICAL RESCUE INCIDENT</w:t>
      </w:r>
      <w:r w:rsidRPr="00C4299C">
        <w:rPr>
          <w:rFonts w:ascii="Bookman Old Style" w:hAnsi="Bookman Old Style"/>
          <w:sz w:val="20"/>
        </w:rPr>
        <w:t>: A response/travel time (after turnout) of six (6) minutes of the arrival of the first unit with appropriately trained and equipped personnel on board to a technical rescue incident, which the department should meet 85% of the time.</w:t>
      </w:r>
    </w:p>
    <w:p w:rsidR="00AA373D" w:rsidRPr="00C4299C" w:rsidRDefault="00AA373D" w:rsidP="004A0133">
      <w:pPr>
        <w:pStyle w:val="ListParagraph"/>
        <w:spacing w:line="240" w:lineRule="auto"/>
        <w:ind w:left="1080"/>
        <w:jc w:val="both"/>
        <w:rPr>
          <w:rFonts w:ascii="Bookman Old Style" w:hAnsi="Bookman Old Style"/>
          <w:sz w:val="20"/>
        </w:rPr>
      </w:pPr>
    </w:p>
    <w:p w:rsidR="004A0133" w:rsidRDefault="00D81005" w:rsidP="004A0133">
      <w:pPr>
        <w:pStyle w:val="ListParagraph"/>
        <w:numPr>
          <w:ilvl w:val="0"/>
          <w:numId w:val="5"/>
        </w:numPr>
        <w:spacing w:line="240" w:lineRule="auto"/>
        <w:jc w:val="both"/>
        <w:rPr>
          <w:rFonts w:ascii="Bookman Old Style" w:hAnsi="Bookman Old Style"/>
          <w:sz w:val="20"/>
        </w:rPr>
      </w:pPr>
      <w:r w:rsidRPr="00C4299C">
        <w:rPr>
          <w:rFonts w:ascii="Bookman Old Style" w:hAnsi="Bookman Old Style"/>
          <w:b/>
          <w:sz w:val="20"/>
        </w:rPr>
        <w:t>AIRCRAFT RESCUE AND FIREFIGHTING</w:t>
      </w:r>
      <w:r w:rsidRPr="00C4299C">
        <w:rPr>
          <w:rFonts w:ascii="Bookman Old Style" w:hAnsi="Bookman Old Style"/>
          <w:sz w:val="20"/>
        </w:rPr>
        <w:t>:  A total response/travel time of three (3) minutes for the arrival of the first unit with appropriately trained and equipped aircraft rescue and firefighting personnel on board to the site of an aircraft incident , which the department should meet 100% of the time (required stand of the FAA).</w:t>
      </w:r>
    </w:p>
    <w:p w:rsidR="004A0133" w:rsidRPr="004A0133" w:rsidRDefault="004A0133" w:rsidP="004A0133">
      <w:pPr>
        <w:pStyle w:val="ListParagraph"/>
        <w:spacing w:line="240" w:lineRule="auto"/>
        <w:rPr>
          <w:rFonts w:ascii="Bookman Old Style" w:hAnsi="Bookman Old Style"/>
          <w:b/>
          <w:sz w:val="20"/>
        </w:rPr>
      </w:pPr>
    </w:p>
    <w:p w:rsidR="00E57B22" w:rsidRDefault="00E57B22" w:rsidP="004A0133">
      <w:pPr>
        <w:pStyle w:val="ListParagraph"/>
        <w:numPr>
          <w:ilvl w:val="0"/>
          <w:numId w:val="5"/>
        </w:numPr>
        <w:spacing w:line="240" w:lineRule="auto"/>
        <w:jc w:val="both"/>
        <w:rPr>
          <w:rFonts w:ascii="Bookman Old Style" w:hAnsi="Bookman Old Style"/>
          <w:sz w:val="20"/>
        </w:rPr>
      </w:pPr>
      <w:r w:rsidRPr="004A0133">
        <w:rPr>
          <w:rFonts w:ascii="Bookman Old Style" w:hAnsi="Bookman Old Style"/>
          <w:b/>
          <w:sz w:val="20"/>
        </w:rPr>
        <w:t>WILDLAND FIREFIGHTING</w:t>
      </w:r>
      <w:r w:rsidRPr="004A0133">
        <w:rPr>
          <w:rFonts w:ascii="Bookman Old Style" w:hAnsi="Bookman Old Style"/>
          <w:sz w:val="20"/>
        </w:rPr>
        <w:t>:  A response/travel time (after turnout) of six (6) minutes for the arrival of the first unit with appropriately trained and equipped wild land firefighting personnel on board to a wild land fire incident, which the department should meet 85% of the time.</w:t>
      </w:r>
    </w:p>
    <w:p w:rsidR="00A3156B" w:rsidRDefault="00A3156B" w:rsidP="00A3156B">
      <w:pPr>
        <w:spacing w:line="240" w:lineRule="auto"/>
        <w:rPr>
          <w:rFonts w:ascii="Bookman Old Style" w:hAnsi="Bookman Old Style"/>
          <w:b/>
          <w:sz w:val="20"/>
        </w:rPr>
      </w:pPr>
    </w:p>
    <w:p w:rsidR="008B669F" w:rsidRPr="008B669F" w:rsidRDefault="008B669F" w:rsidP="008B669F">
      <w:pPr>
        <w:spacing w:line="240" w:lineRule="auto"/>
        <w:jc w:val="center"/>
        <w:rPr>
          <w:rFonts w:ascii="Bookman Old Style" w:hAnsi="Bookman Old Style"/>
          <w:b/>
          <w:sz w:val="20"/>
        </w:rPr>
      </w:pPr>
      <w:r w:rsidRPr="008B669F">
        <w:rPr>
          <w:rFonts w:ascii="Bookman Old Style" w:hAnsi="Bookman Old Style"/>
          <w:b/>
          <w:sz w:val="20"/>
        </w:rPr>
        <w:t>Travel Time Performance by Fire Management Zone (FMZ), 2015</w:t>
      </w:r>
    </w:p>
    <w:p w:rsidR="008B669F" w:rsidRPr="008B669F" w:rsidRDefault="008B669F" w:rsidP="008B669F">
      <w:pPr>
        <w:pStyle w:val="ListParagraph"/>
        <w:jc w:val="center"/>
        <w:rPr>
          <w:rFonts w:ascii="Bookman Old Style" w:hAnsi="Bookman Old Style"/>
          <w:sz w:val="20"/>
        </w:rPr>
      </w:pPr>
      <w:r w:rsidRPr="005B0DB7">
        <w:rPr>
          <w:rFonts w:eastAsia="Cambria" w:cs="Times New Roman"/>
          <w:noProof/>
        </w:rPr>
        <w:drawing>
          <wp:inline distT="0" distB="0" distL="0" distR="0" wp14:anchorId="7107D306" wp14:editId="54378E0E">
            <wp:extent cx="5640464" cy="402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D FMZ's and 2015 Travel Tim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40464" cy="4029075"/>
                    </a:xfrm>
                    <a:prstGeom prst="rect">
                      <a:avLst/>
                    </a:prstGeom>
                  </pic:spPr>
                </pic:pic>
              </a:graphicData>
            </a:graphic>
          </wp:inline>
        </w:drawing>
      </w:r>
    </w:p>
    <w:p w:rsidR="00503B63" w:rsidRDefault="00503B63" w:rsidP="00A3156B">
      <w:pPr>
        <w:rPr>
          <w:rFonts w:ascii="Bookman Old Style" w:hAnsi="Bookman Old Style"/>
        </w:rPr>
      </w:pPr>
    </w:p>
    <w:p w:rsidR="00E53174" w:rsidRPr="00C4299C" w:rsidRDefault="008B0FB0" w:rsidP="003751AF">
      <w:pPr>
        <w:jc w:val="center"/>
        <w:rPr>
          <w:rFonts w:ascii="Bookman Old Style" w:hAnsi="Bookman Old Style"/>
        </w:rPr>
      </w:pPr>
      <w:r w:rsidRPr="00C4299C">
        <w:rPr>
          <w:rFonts w:ascii="Bookman Old Style" w:hAnsi="Bookman Old Style"/>
        </w:rPr>
        <w:lastRenderedPageBreak/>
        <w:t>PFDs overall 2015 performance is best summarized by the following table.</w:t>
      </w:r>
    </w:p>
    <w:tbl>
      <w:tblPr>
        <w:tblW w:w="0" w:type="auto"/>
        <w:jc w:val="center"/>
        <w:shd w:val="clear" w:color="auto" w:fill="FFFFFF"/>
        <w:tblLook w:val="01E0" w:firstRow="1" w:lastRow="1" w:firstColumn="1" w:lastColumn="1" w:noHBand="0" w:noVBand="0"/>
      </w:tblPr>
      <w:tblGrid>
        <w:gridCol w:w="1811"/>
        <w:gridCol w:w="1184"/>
        <w:gridCol w:w="1533"/>
        <w:gridCol w:w="1157"/>
        <w:gridCol w:w="1201"/>
        <w:gridCol w:w="1533"/>
        <w:gridCol w:w="1157"/>
      </w:tblGrid>
      <w:tr w:rsidR="00191A50" w:rsidRPr="00C4299C" w:rsidTr="00802DD1">
        <w:trPr>
          <w:trHeight w:val="546"/>
          <w:tblHeader/>
          <w:jc w:val="center"/>
        </w:trPr>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Response</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Type</w:t>
            </w:r>
          </w:p>
        </w:tc>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Adopted</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 xml:space="preserve">Turnout </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Standard</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(Minutes)</w:t>
            </w:r>
          </w:p>
        </w:tc>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Actual</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Performance</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(Minutes)</w:t>
            </w:r>
          </w:p>
        </w:tc>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Percent</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Meeting</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Standard</w:t>
            </w:r>
          </w:p>
        </w:tc>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Adopted</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1</w:t>
            </w:r>
            <w:r w:rsidRPr="00C4299C">
              <w:rPr>
                <w:rFonts w:ascii="Bookman Old Style" w:eastAsia="Times New Roman" w:hAnsi="Bookman Old Style" w:cs="Times New Roman"/>
                <w:b/>
                <w:color w:val="FFFFFF"/>
                <w:sz w:val="20"/>
                <w:szCs w:val="20"/>
                <w:vertAlign w:val="superscript"/>
              </w:rPr>
              <w:t>st</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Arrival</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Response</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(Minutes)</w:t>
            </w:r>
          </w:p>
        </w:tc>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Actual</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Performance</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(Minutes)</w:t>
            </w:r>
          </w:p>
        </w:tc>
        <w:tc>
          <w:tcPr>
            <w:tcW w:w="0" w:type="auto"/>
            <w:tcBorders>
              <w:top w:val="single" w:sz="18" w:space="0" w:color="548DD4" w:themeColor="text2" w:themeTint="99"/>
              <w:left w:val="single" w:sz="18" w:space="0" w:color="548DD4" w:themeColor="text2" w:themeTint="99"/>
              <w:bottom w:val="single" w:sz="4" w:space="0" w:color="auto"/>
              <w:right w:val="single" w:sz="18" w:space="0" w:color="548DD4" w:themeColor="text2" w:themeTint="99"/>
            </w:tcBorders>
            <w:shd w:val="clear" w:color="auto" w:fill="1F497D"/>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Percent</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Meeting</w:t>
            </w:r>
          </w:p>
          <w:p w:rsidR="00191A50" w:rsidRPr="00C4299C" w:rsidRDefault="00191A50" w:rsidP="00012C6D">
            <w:pPr>
              <w:keepNext/>
              <w:keepLines/>
              <w:spacing w:after="0" w:line="240" w:lineRule="auto"/>
              <w:jc w:val="center"/>
              <w:rPr>
                <w:rFonts w:ascii="Bookman Old Style" w:eastAsia="Times New Roman" w:hAnsi="Bookman Old Style" w:cs="Times New Roman"/>
                <w:b/>
                <w:color w:val="FFFFFF"/>
                <w:sz w:val="20"/>
                <w:szCs w:val="20"/>
              </w:rPr>
            </w:pPr>
            <w:r w:rsidRPr="00C4299C">
              <w:rPr>
                <w:rFonts w:ascii="Bookman Old Style" w:eastAsia="Times New Roman" w:hAnsi="Bookman Old Style" w:cs="Times New Roman"/>
                <w:b/>
                <w:color w:val="FFFFFF"/>
                <w:sz w:val="20"/>
                <w:szCs w:val="20"/>
              </w:rPr>
              <w:t>Standard</w:t>
            </w:r>
          </w:p>
        </w:tc>
      </w:tr>
      <w:tr w:rsidR="00191A50" w:rsidRPr="00C4299C" w:rsidTr="00802DD1">
        <w:trPr>
          <w:trHeight w:val="432"/>
          <w:jc w:val="center"/>
        </w:trPr>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Fire</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Suppression</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Response</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(NFIRS 100- 199)</w:t>
            </w:r>
          </w:p>
        </w:tc>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2:53</w:t>
            </w:r>
          </w:p>
        </w:tc>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63%</w:t>
            </w:r>
          </w:p>
        </w:tc>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5:59</w:t>
            </w:r>
          </w:p>
        </w:tc>
        <w:tc>
          <w:tcPr>
            <w:tcW w:w="0" w:type="auto"/>
            <w:tcBorders>
              <w:top w:val="single" w:sz="4" w:space="0" w:color="auto"/>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90.1%</w:t>
            </w:r>
          </w:p>
        </w:tc>
      </w:tr>
      <w:tr w:rsidR="00191A50" w:rsidRPr="00C4299C" w:rsidTr="00802DD1">
        <w:trPr>
          <w:trHeight w:val="327"/>
          <w:jc w:val="center"/>
        </w:trPr>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Full First Alarm- Fire Suppression</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Response</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NA</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NA</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NA</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12:00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22:31</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50%</w:t>
            </w:r>
          </w:p>
        </w:tc>
      </w:tr>
      <w:tr w:rsidR="00191A50" w:rsidRPr="00C4299C" w:rsidTr="00802DD1">
        <w:trPr>
          <w:trHeight w:val="327"/>
          <w:jc w:val="center"/>
        </w:trPr>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First Arriving Medical Unit (BLS or ALS)</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1:51</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93.1%</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6:20</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88.1%</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r>
      <w:tr w:rsidR="00191A50" w:rsidRPr="00C4299C" w:rsidTr="00802DD1">
        <w:trPr>
          <w:trHeight w:val="214"/>
          <w:jc w:val="center"/>
        </w:trPr>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First Arriving ALS Unit</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1:52</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93.2%</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5:21</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92.9%</w:t>
            </w:r>
          </w:p>
        </w:tc>
      </w:tr>
      <w:tr w:rsidR="00191A50" w:rsidRPr="00C4299C" w:rsidTr="00802DD1">
        <w:trPr>
          <w:trHeight w:val="327"/>
          <w:jc w:val="center"/>
        </w:trPr>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Hazardous</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Material</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3:14</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50%</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5:21</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92.9%</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r>
      <w:tr w:rsidR="00191A50" w:rsidRPr="00C4299C" w:rsidTr="00802DD1">
        <w:trPr>
          <w:trHeight w:val="219"/>
          <w:jc w:val="center"/>
        </w:trPr>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Technical</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Rescue</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1:37</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91.7%</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8:11</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67.6%</w:t>
            </w:r>
          </w:p>
        </w:tc>
      </w:tr>
      <w:tr w:rsidR="00191A50" w:rsidRPr="00C4299C" w:rsidTr="00802DD1">
        <w:trPr>
          <w:trHeight w:val="327"/>
          <w:jc w:val="center"/>
        </w:trPr>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ARFF</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N/A</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N/A</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N/A</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3:00</w:t>
            </w: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2:15</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100%</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r>
      <w:tr w:rsidR="00191A50" w:rsidRPr="00C4299C" w:rsidTr="00802DD1">
        <w:trPr>
          <w:trHeight w:val="324"/>
          <w:jc w:val="center"/>
        </w:trPr>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Wildland</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3:28</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58%</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7:48</w:t>
            </w:r>
          </w:p>
        </w:tc>
        <w:tc>
          <w:tcPr>
            <w:tcW w:w="0" w:type="auto"/>
            <w:tcBorders>
              <w:left w:val="single" w:sz="18" w:space="0" w:color="548DD4" w:themeColor="text2" w:themeTint="99"/>
              <w:right w:val="single" w:sz="18" w:space="0" w:color="548DD4" w:themeColor="text2" w:themeTint="99"/>
            </w:tcBorders>
            <w:shd w:val="clear" w:color="auto" w:fill="FFFFFF"/>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84.6%</w:t>
            </w:r>
          </w:p>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p>
        </w:tc>
      </w:tr>
      <w:tr w:rsidR="00191A50" w:rsidRPr="00C4299C" w:rsidTr="00802DD1">
        <w:trPr>
          <w:trHeight w:val="327"/>
          <w:jc w:val="center"/>
        </w:trPr>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Overall 2015 Response Performance</w:t>
            </w:r>
          </w:p>
        </w:tc>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2:00</w:t>
            </w:r>
          </w:p>
        </w:tc>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2:06</w:t>
            </w:r>
          </w:p>
        </w:tc>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88%</w:t>
            </w:r>
          </w:p>
        </w:tc>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6:00</w:t>
            </w:r>
          </w:p>
        </w:tc>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6:02</w:t>
            </w:r>
          </w:p>
        </w:tc>
        <w:tc>
          <w:tcPr>
            <w:tcW w:w="0" w:type="auto"/>
            <w:tcBorders>
              <w:left w:val="single" w:sz="18" w:space="0" w:color="548DD4" w:themeColor="text2" w:themeTint="99"/>
              <w:bottom w:val="single" w:sz="18" w:space="0" w:color="548DD4" w:themeColor="text2" w:themeTint="99"/>
              <w:right w:val="single" w:sz="18" w:space="0" w:color="548DD4" w:themeColor="text2" w:themeTint="99"/>
            </w:tcBorders>
            <w:shd w:val="clear" w:color="auto" w:fill="D9D9D9"/>
            <w:vAlign w:val="center"/>
          </w:tcPr>
          <w:p w:rsidR="00191A50" w:rsidRPr="00C4299C" w:rsidRDefault="00191A50" w:rsidP="00012C6D">
            <w:pPr>
              <w:keepNext/>
              <w:keepLines/>
              <w:spacing w:after="0" w:line="240" w:lineRule="auto"/>
              <w:jc w:val="center"/>
              <w:rPr>
                <w:rFonts w:ascii="Bookman Old Style" w:eastAsia="Times New Roman" w:hAnsi="Bookman Old Style" w:cs="Times New Roman"/>
                <w:sz w:val="20"/>
                <w:szCs w:val="20"/>
              </w:rPr>
            </w:pPr>
            <w:r w:rsidRPr="00C4299C">
              <w:rPr>
                <w:rFonts w:ascii="Bookman Old Style" w:eastAsia="Times New Roman" w:hAnsi="Bookman Old Style" w:cs="Times New Roman"/>
                <w:sz w:val="20"/>
                <w:szCs w:val="20"/>
              </w:rPr>
              <w:t>89.8%</w:t>
            </w:r>
          </w:p>
        </w:tc>
      </w:tr>
    </w:tbl>
    <w:p w:rsidR="00727E60" w:rsidRDefault="00727E60" w:rsidP="00BA2993"/>
    <w:p w:rsidR="00BA2993" w:rsidRPr="00C4299C" w:rsidRDefault="00EB6845" w:rsidP="003751AF">
      <w:pPr>
        <w:spacing w:line="240" w:lineRule="auto"/>
        <w:jc w:val="both"/>
        <w:rPr>
          <w:rFonts w:ascii="Bookman Old Style" w:hAnsi="Bookman Old Style"/>
        </w:rPr>
      </w:pPr>
      <w:r w:rsidRPr="00C4299C">
        <w:rPr>
          <w:rFonts w:ascii="Bookman Old Style" w:hAnsi="Bookman Old Style"/>
        </w:rPr>
        <w:t>By using the recommendations of the NFPA 1710 as a baseline and identification of common critical tasks</w:t>
      </w:r>
      <w:r w:rsidR="00B343E8" w:rsidRPr="00C4299C">
        <w:rPr>
          <w:rFonts w:ascii="Bookman Old Style" w:hAnsi="Bookman Old Style"/>
        </w:rPr>
        <w:t xml:space="preserve">, the station staffing models of the Pasco Fire Department, and the identified risk assessment target hazards, </w:t>
      </w:r>
      <w:r w:rsidRPr="00C4299C">
        <w:rPr>
          <w:rFonts w:ascii="Bookman Old Style" w:hAnsi="Bookman Old Style"/>
        </w:rPr>
        <w:t xml:space="preserve">we can develop </w:t>
      </w:r>
      <w:r w:rsidR="00D70EDA" w:rsidRPr="00C4299C">
        <w:rPr>
          <w:rFonts w:ascii="Bookman Old Style" w:hAnsi="Bookman Old Style"/>
          <w:i/>
          <w:u w:val="single"/>
        </w:rPr>
        <w:t>minimum</w:t>
      </w:r>
      <w:r w:rsidR="00D70EDA" w:rsidRPr="00C4299C">
        <w:rPr>
          <w:rFonts w:ascii="Bookman Old Style" w:hAnsi="Bookman Old Style"/>
        </w:rPr>
        <w:t xml:space="preserve"> </w:t>
      </w:r>
      <w:r w:rsidRPr="00C4299C">
        <w:rPr>
          <w:rFonts w:ascii="Bookman Old Style" w:hAnsi="Bookman Old Style"/>
        </w:rPr>
        <w:t xml:space="preserve">resource needs for various emergent events.  The tables </w:t>
      </w:r>
      <w:r w:rsidRPr="006B1822">
        <w:rPr>
          <w:rFonts w:ascii="Bookman Old Style" w:hAnsi="Bookman Old Style"/>
        </w:rPr>
        <w:t>below serve as an</w:t>
      </w:r>
      <w:r w:rsidRPr="00C4299C">
        <w:rPr>
          <w:rFonts w:ascii="Bookman Old Style" w:hAnsi="Bookman Old Style"/>
        </w:rPr>
        <w:t xml:space="preserve"> example of common critical tasks and their associated </w:t>
      </w:r>
      <w:r w:rsidR="00D70EDA" w:rsidRPr="00C4299C">
        <w:rPr>
          <w:rFonts w:ascii="Bookman Old Style" w:hAnsi="Bookman Old Style"/>
          <w:i/>
          <w:u w:val="single"/>
        </w:rPr>
        <w:t>minimum</w:t>
      </w:r>
      <w:r w:rsidR="00D70EDA" w:rsidRPr="00C4299C">
        <w:rPr>
          <w:rFonts w:ascii="Bookman Old Style" w:hAnsi="Bookman Old Style"/>
        </w:rPr>
        <w:t xml:space="preserve"> </w:t>
      </w:r>
      <w:r w:rsidRPr="00C4299C">
        <w:rPr>
          <w:rFonts w:ascii="Bookman Old Style" w:hAnsi="Bookman Old Style"/>
        </w:rPr>
        <w:t>resource needs.</w:t>
      </w:r>
    </w:p>
    <w:p w:rsidR="00AF5588" w:rsidRDefault="003751AF" w:rsidP="003751AF">
      <w:pPr>
        <w:jc w:val="center"/>
      </w:pPr>
      <w:r w:rsidRPr="00191A50">
        <w:rPr>
          <w:rFonts w:ascii="Calibri" w:eastAsia="Cambria" w:hAnsi="Calibri" w:cs="Times New Roman"/>
          <w:noProof/>
        </w:rPr>
        <w:lastRenderedPageBreak/>
        <w:drawing>
          <wp:inline distT="0" distB="0" distL="0" distR="0" wp14:anchorId="4711ACE5" wp14:editId="0C22B63F">
            <wp:extent cx="5680953" cy="65175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3123" cy="6520021"/>
                    </a:xfrm>
                    <a:prstGeom prst="rect">
                      <a:avLst/>
                    </a:prstGeom>
                    <a:noFill/>
                    <a:ln>
                      <a:noFill/>
                    </a:ln>
                  </pic:spPr>
                </pic:pic>
              </a:graphicData>
            </a:graphic>
          </wp:inline>
        </w:drawing>
      </w:r>
    </w:p>
    <w:p w:rsidR="00AF5588" w:rsidRDefault="00AF5588" w:rsidP="00BA2993"/>
    <w:p w:rsidR="00AF5588" w:rsidRDefault="00AF5588" w:rsidP="00BA2993"/>
    <w:p w:rsidR="000A7A05" w:rsidRDefault="003751AF" w:rsidP="003751AF">
      <w:pPr>
        <w:jc w:val="center"/>
      </w:pPr>
      <w:r w:rsidRPr="00471830">
        <w:rPr>
          <w:noProof/>
        </w:rPr>
        <w:lastRenderedPageBreak/>
        <w:drawing>
          <wp:inline distT="0" distB="0" distL="0" distR="0" wp14:anchorId="2AB63554" wp14:editId="2B2891F6">
            <wp:extent cx="5603132" cy="7918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3082" cy="7918244"/>
                    </a:xfrm>
                    <a:prstGeom prst="rect">
                      <a:avLst/>
                    </a:prstGeom>
                    <a:noFill/>
                    <a:ln>
                      <a:noFill/>
                    </a:ln>
                  </pic:spPr>
                </pic:pic>
              </a:graphicData>
            </a:graphic>
          </wp:inline>
        </w:drawing>
      </w:r>
    </w:p>
    <w:p w:rsidR="00471830" w:rsidRDefault="00471830" w:rsidP="00BA2993"/>
    <w:p w:rsidR="000A7A05" w:rsidRDefault="00471830" w:rsidP="003751AF">
      <w:pPr>
        <w:jc w:val="center"/>
      </w:pPr>
      <w:r w:rsidRPr="00471830">
        <w:rPr>
          <w:noProof/>
        </w:rPr>
        <w:drawing>
          <wp:inline distT="0" distB="0" distL="0" distR="0" wp14:anchorId="4E7457EB" wp14:editId="605DAC22">
            <wp:extent cx="5226685" cy="5045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6685" cy="5045710"/>
                    </a:xfrm>
                    <a:prstGeom prst="rect">
                      <a:avLst/>
                    </a:prstGeom>
                    <a:noFill/>
                    <a:ln>
                      <a:noFill/>
                    </a:ln>
                  </pic:spPr>
                </pic:pic>
              </a:graphicData>
            </a:graphic>
          </wp:inline>
        </w:drawing>
      </w:r>
    </w:p>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3751AF">
      <w:pPr>
        <w:jc w:val="center"/>
      </w:pPr>
      <w:r w:rsidRPr="00471830">
        <w:rPr>
          <w:noProof/>
        </w:rPr>
        <w:drawing>
          <wp:inline distT="0" distB="0" distL="0" distR="0" wp14:anchorId="04A1856C" wp14:editId="43883762">
            <wp:extent cx="5226685" cy="7230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6685" cy="7230745"/>
                    </a:xfrm>
                    <a:prstGeom prst="rect">
                      <a:avLst/>
                    </a:prstGeom>
                    <a:noFill/>
                    <a:ln>
                      <a:noFill/>
                    </a:ln>
                  </pic:spPr>
                </pic:pic>
              </a:graphicData>
            </a:graphic>
          </wp:inline>
        </w:drawing>
      </w:r>
    </w:p>
    <w:p w:rsidR="00471830" w:rsidRDefault="00471830" w:rsidP="00BA2993"/>
    <w:p w:rsidR="00471830" w:rsidRDefault="00471830" w:rsidP="00BA2993"/>
    <w:p w:rsidR="00471830" w:rsidRDefault="00471830" w:rsidP="003751AF">
      <w:pPr>
        <w:jc w:val="center"/>
      </w:pPr>
      <w:r w:rsidRPr="00471830">
        <w:rPr>
          <w:noProof/>
        </w:rPr>
        <w:drawing>
          <wp:inline distT="0" distB="0" distL="0" distR="0" wp14:anchorId="5BC17873" wp14:editId="2836C96B">
            <wp:extent cx="5226685" cy="7075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6685" cy="7075170"/>
                    </a:xfrm>
                    <a:prstGeom prst="rect">
                      <a:avLst/>
                    </a:prstGeom>
                    <a:noFill/>
                    <a:ln>
                      <a:noFill/>
                    </a:ln>
                  </pic:spPr>
                </pic:pic>
              </a:graphicData>
            </a:graphic>
          </wp:inline>
        </w:drawing>
      </w:r>
    </w:p>
    <w:p w:rsidR="00471830" w:rsidRDefault="00471830" w:rsidP="00BA2993"/>
    <w:p w:rsidR="00471830" w:rsidRDefault="00207E9D" w:rsidP="00207E9D">
      <w:pPr>
        <w:jc w:val="center"/>
      </w:pPr>
      <w:r w:rsidRPr="00471830">
        <w:rPr>
          <w:noProof/>
        </w:rPr>
        <w:lastRenderedPageBreak/>
        <w:drawing>
          <wp:inline distT="0" distB="0" distL="0" distR="0" wp14:anchorId="58D9C817" wp14:editId="35DDF95E">
            <wp:extent cx="5126315" cy="7950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5484" cy="7964961"/>
                    </a:xfrm>
                    <a:prstGeom prst="rect">
                      <a:avLst/>
                    </a:prstGeom>
                    <a:noFill/>
                    <a:ln>
                      <a:noFill/>
                    </a:ln>
                  </pic:spPr>
                </pic:pic>
              </a:graphicData>
            </a:graphic>
          </wp:inline>
        </w:drawing>
      </w:r>
    </w:p>
    <w:p w:rsidR="00471830" w:rsidRDefault="00471830" w:rsidP="003751AF">
      <w:pPr>
        <w:jc w:val="center"/>
      </w:pPr>
    </w:p>
    <w:p w:rsidR="000A7A05" w:rsidRDefault="00471830" w:rsidP="003751AF">
      <w:pPr>
        <w:jc w:val="center"/>
      </w:pPr>
      <w:r w:rsidRPr="00471830">
        <w:rPr>
          <w:noProof/>
        </w:rPr>
        <w:drawing>
          <wp:inline distT="0" distB="0" distL="0" distR="0" wp14:anchorId="1FB44AEA" wp14:editId="62AABC96">
            <wp:extent cx="5226685" cy="7451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6685" cy="7451090"/>
                    </a:xfrm>
                    <a:prstGeom prst="rect">
                      <a:avLst/>
                    </a:prstGeom>
                    <a:noFill/>
                    <a:ln>
                      <a:noFill/>
                    </a:ln>
                  </pic:spPr>
                </pic:pic>
              </a:graphicData>
            </a:graphic>
          </wp:inline>
        </w:drawing>
      </w:r>
    </w:p>
    <w:p w:rsidR="00471830" w:rsidRDefault="00471830" w:rsidP="00BA2993"/>
    <w:p w:rsidR="00471830" w:rsidRDefault="00471830" w:rsidP="003751AF">
      <w:pPr>
        <w:jc w:val="center"/>
      </w:pPr>
      <w:r w:rsidRPr="00471830">
        <w:rPr>
          <w:noProof/>
        </w:rPr>
        <w:lastRenderedPageBreak/>
        <w:drawing>
          <wp:inline distT="0" distB="0" distL="0" distR="0" wp14:anchorId="4B11AE91" wp14:editId="0062D5FC">
            <wp:extent cx="5226685" cy="5038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6685" cy="5038725"/>
                    </a:xfrm>
                    <a:prstGeom prst="rect">
                      <a:avLst/>
                    </a:prstGeom>
                    <a:noFill/>
                    <a:ln>
                      <a:noFill/>
                    </a:ln>
                  </pic:spPr>
                </pic:pic>
              </a:graphicData>
            </a:graphic>
          </wp:inline>
        </w:drawing>
      </w:r>
    </w:p>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BA2993"/>
    <w:p w:rsidR="00471830" w:rsidRDefault="00471830" w:rsidP="003751AF">
      <w:pPr>
        <w:jc w:val="center"/>
      </w:pPr>
      <w:r w:rsidRPr="00471830">
        <w:rPr>
          <w:noProof/>
        </w:rPr>
        <w:lastRenderedPageBreak/>
        <w:drawing>
          <wp:inline distT="0" distB="0" distL="0" distR="0" wp14:anchorId="6AB7C7D6" wp14:editId="277A4BCA">
            <wp:extent cx="5499370" cy="781307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1906" cy="7816682"/>
                    </a:xfrm>
                    <a:prstGeom prst="rect">
                      <a:avLst/>
                    </a:prstGeom>
                    <a:noFill/>
                    <a:ln>
                      <a:noFill/>
                    </a:ln>
                  </pic:spPr>
                </pic:pic>
              </a:graphicData>
            </a:graphic>
          </wp:inline>
        </w:drawing>
      </w:r>
    </w:p>
    <w:p w:rsidR="009F68A4" w:rsidRDefault="009F68A4" w:rsidP="009F68A4">
      <w:pPr>
        <w:rPr>
          <w:rFonts w:ascii="Bookman Old Style" w:hAnsi="Bookman Old Style"/>
          <w:sz w:val="24"/>
          <w:szCs w:val="24"/>
        </w:rPr>
      </w:pPr>
      <w:bookmarkStart w:id="42" w:name="_Toc474159562"/>
    </w:p>
    <w:p w:rsidR="002936B1" w:rsidRPr="003746A2" w:rsidRDefault="00AF5588" w:rsidP="008A5557">
      <w:pPr>
        <w:pStyle w:val="Heading1"/>
        <w:rPr>
          <w:i/>
          <w:color w:val="auto"/>
          <w:sz w:val="24"/>
          <w:szCs w:val="24"/>
        </w:rPr>
      </w:pPr>
      <w:bookmarkStart w:id="43" w:name="_Toc475003865"/>
      <w:r w:rsidRPr="003746A2">
        <w:rPr>
          <w:i/>
          <w:color w:val="auto"/>
          <w:sz w:val="24"/>
          <w:szCs w:val="24"/>
        </w:rPr>
        <w:lastRenderedPageBreak/>
        <w:t>Section VII</w:t>
      </w:r>
      <w:bookmarkEnd w:id="42"/>
      <w:bookmarkEnd w:id="43"/>
    </w:p>
    <w:p w:rsidR="004A0133" w:rsidRPr="003746A2" w:rsidRDefault="00514C4B" w:rsidP="003746A2">
      <w:pPr>
        <w:pStyle w:val="Heading2"/>
        <w:spacing w:before="0" w:after="200" w:line="360" w:lineRule="auto"/>
        <w:contextualSpacing/>
        <w:rPr>
          <w:i/>
          <w:color w:val="auto"/>
          <w:sz w:val="24"/>
          <w:szCs w:val="24"/>
        </w:rPr>
      </w:pPr>
      <w:bookmarkStart w:id="44" w:name="_Toc474159563"/>
      <w:bookmarkStart w:id="45" w:name="_Toc475003866"/>
      <w:r w:rsidRPr="003746A2">
        <w:rPr>
          <w:i/>
          <w:color w:val="auto"/>
          <w:sz w:val="24"/>
          <w:szCs w:val="24"/>
        </w:rPr>
        <w:t xml:space="preserve">Summary and </w:t>
      </w:r>
      <w:r w:rsidR="003751AF" w:rsidRPr="003746A2">
        <w:rPr>
          <w:i/>
          <w:color w:val="auto"/>
          <w:sz w:val="24"/>
          <w:szCs w:val="24"/>
        </w:rPr>
        <w:t>Recommendation</w:t>
      </w:r>
      <w:bookmarkEnd w:id="44"/>
      <w:bookmarkEnd w:id="45"/>
    </w:p>
    <w:p w:rsidR="003751AF" w:rsidRPr="00C4299C" w:rsidRDefault="003751AF" w:rsidP="003751AF">
      <w:pPr>
        <w:pStyle w:val="NoSpacing"/>
        <w:spacing w:after="200"/>
        <w:contextualSpacing/>
        <w:jc w:val="both"/>
        <w:rPr>
          <w:rFonts w:ascii="Bookman Old Style" w:hAnsi="Bookman Old Style"/>
        </w:rPr>
      </w:pPr>
      <w:r w:rsidRPr="00C4299C">
        <w:rPr>
          <w:rFonts w:ascii="Bookman Old Style" w:hAnsi="Bookman Old Style"/>
        </w:rPr>
        <w:t xml:space="preserve">The Pasco Fire Department struggles to achieve the targeted response standards as defined by Council Resolution #2938 and accepted industry recommendations in part because of increasing call volume and increasing   overlapping call percentages.  This is due largely in part to the unprecedented growth within the western urban growth boundaries.  And based upon historical trending models it is expected that demand for services will continue to increase at a rate of nearly 16% per year as the population increases.  The growth has created, and continues to strain existing resources because funding streams have yet to fully mature in order to update and/or replace resources.  Thus, the City must “think outside of the box” in order to meet the Council Resolution, industry standards and Washington state labor laws.  </w:t>
      </w:r>
    </w:p>
    <w:p w:rsidR="003751AF" w:rsidRPr="00C4299C" w:rsidRDefault="003751AF" w:rsidP="003751AF">
      <w:pPr>
        <w:pStyle w:val="NoSpacing"/>
        <w:spacing w:after="200"/>
        <w:contextualSpacing/>
        <w:jc w:val="both"/>
        <w:rPr>
          <w:rFonts w:ascii="Bookman Old Style" w:hAnsi="Bookman Old Style"/>
        </w:rPr>
      </w:pPr>
    </w:p>
    <w:p w:rsidR="003751AF" w:rsidRDefault="003751AF" w:rsidP="005D5B1F">
      <w:pPr>
        <w:pStyle w:val="NoSpacing"/>
        <w:numPr>
          <w:ilvl w:val="0"/>
          <w:numId w:val="8"/>
        </w:numPr>
        <w:spacing w:after="200"/>
        <w:contextualSpacing/>
        <w:jc w:val="both"/>
        <w:rPr>
          <w:rFonts w:ascii="Bookman Old Style" w:hAnsi="Bookman Old Style"/>
        </w:rPr>
      </w:pPr>
      <w:r w:rsidRPr="00C4299C">
        <w:rPr>
          <w:rFonts w:ascii="Bookman Old Style" w:hAnsi="Bookman Old Style"/>
        </w:rPr>
        <w:t xml:space="preserve">Key performance indicators need to be regularly monitored by department administration and City policy makers.  Unit response times, geographic call distribution maps, unit hour utilization and temporal call distribution statistics will provide historical background information that can be compared and extrapolated as the basis for future decision points on service delivery options.  </w:t>
      </w:r>
    </w:p>
    <w:p w:rsidR="003751AF" w:rsidRDefault="003751AF" w:rsidP="003751AF">
      <w:pPr>
        <w:pStyle w:val="NoSpacing"/>
        <w:spacing w:after="200"/>
        <w:contextualSpacing/>
        <w:jc w:val="both"/>
        <w:rPr>
          <w:rFonts w:ascii="Bookman Old Style" w:hAnsi="Bookman Old Style"/>
        </w:rPr>
      </w:pPr>
    </w:p>
    <w:p w:rsidR="003751AF" w:rsidRPr="00C4299C" w:rsidRDefault="003751AF" w:rsidP="005D5B1F">
      <w:pPr>
        <w:pStyle w:val="NoSpacing"/>
        <w:numPr>
          <w:ilvl w:val="0"/>
          <w:numId w:val="8"/>
        </w:numPr>
        <w:spacing w:after="200"/>
        <w:contextualSpacing/>
        <w:jc w:val="both"/>
        <w:rPr>
          <w:rFonts w:ascii="Bookman Old Style" w:hAnsi="Bookman Old Style"/>
        </w:rPr>
      </w:pPr>
      <w:r w:rsidRPr="00C4299C">
        <w:rPr>
          <w:rFonts w:ascii="Bookman Old Style" w:hAnsi="Bookman Old Style"/>
        </w:rPr>
        <w:t xml:space="preserve">As the scope of the traditional fire service changes, the conventional expectations of the department will need to be reconsidered.  Alternative staffing models, additional stations and resources, and reliance on auto and mutual aid to augment the already substandard response package need to be prioritized in the near future (3-5 yrs.).  Additional stations, apparatus and personnel will ultimately reduce the overall demand on individual units and personnel and will help to meet the initial action full effective response force requirements.  This will require identification of additional and consistent funding streams such as impact fees, and fees for service.  Negotiated salary and benefit packages need to be planned and contained. </w:t>
      </w:r>
    </w:p>
    <w:p w:rsidR="003751AF" w:rsidRPr="00C4299C" w:rsidRDefault="003751AF" w:rsidP="003751AF">
      <w:pPr>
        <w:pStyle w:val="NoSpacing"/>
        <w:spacing w:after="200"/>
        <w:contextualSpacing/>
        <w:jc w:val="both"/>
        <w:rPr>
          <w:rFonts w:ascii="Bookman Old Style" w:hAnsi="Bookman Old Style"/>
        </w:rPr>
      </w:pPr>
    </w:p>
    <w:p w:rsidR="003751AF" w:rsidRPr="00C4299C" w:rsidRDefault="003751AF" w:rsidP="005D5B1F">
      <w:pPr>
        <w:pStyle w:val="NoSpacing"/>
        <w:numPr>
          <w:ilvl w:val="0"/>
          <w:numId w:val="8"/>
        </w:numPr>
        <w:spacing w:after="200"/>
        <w:contextualSpacing/>
        <w:jc w:val="both"/>
        <w:rPr>
          <w:rFonts w:ascii="Bookman Old Style" w:hAnsi="Bookman Old Style"/>
        </w:rPr>
      </w:pPr>
      <w:r w:rsidRPr="00C4299C">
        <w:rPr>
          <w:rFonts w:ascii="Bookman Old Style" w:hAnsi="Bookman Old Style"/>
        </w:rPr>
        <w:t xml:space="preserve">Shifting the emphasis to preparedness and community safety education in conjunction with a highly trained response and mitigation force will provide long-term relief (10-20 yrs.) in that demand for service should be reduced per capita and the complexity of the call will be diminished because of a more educated constituency.  A successful community risk reduction program will address not only fire emergencies but will also include all event types which ultimately lead to reduced unit hour utilization.  Secondarily, by “partnering” with the community, other opportunities for efficiencies and/or funding may emerge. </w:t>
      </w:r>
    </w:p>
    <w:p w:rsidR="003751AF" w:rsidRPr="00C4299C" w:rsidRDefault="003751AF" w:rsidP="003751AF">
      <w:pPr>
        <w:pStyle w:val="NoSpacing"/>
        <w:spacing w:after="200"/>
        <w:contextualSpacing/>
        <w:jc w:val="both"/>
        <w:rPr>
          <w:rFonts w:ascii="Bookman Old Style" w:hAnsi="Bookman Old Style"/>
        </w:rPr>
      </w:pPr>
    </w:p>
    <w:p w:rsidR="000A7A05" w:rsidRDefault="003751AF" w:rsidP="005D5B1F">
      <w:pPr>
        <w:pStyle w:val="NoSpacing"/>
        <w:numPr>
          <w:ilvl w:val="0"/>
          <w:numId w:val="8"/>
        </w:numPr>
        <w:spacing w:after="200"/>
        <w:contextualSpacing/>
        <w:jc w:val="both"/>
        <w:rPr>
          <w:rFonts w:ascii="Bookman Old Style" w:hAnsi="Bookman Old Style"/>
        </w:rPr>
      </w:pPr>
      <w:r w:rsidRPr="00C4299C">
        <w:rPr>
          <w:rFonts w:ascii="Bookman Old Style" w:hAnsi="Bookman Old Style"/>
        </w:rPr>
        <w:t>A multi-pronged approach to emergency mitigation that includes a highly trained and well equipped response force that is augmented with an active community focused risk reduction program provides the most cost effective and effic</w:t>
      </w:r>
      <w:r>
        <w:rPr>
          <w:rFonts w:ascii="Bookman Old Style" w:hAnsi="Bookman Old Style"/>
        </w:rPr>
        <w:t>ient service to the community.</w:t>
      </w:r>
    </w:p>
    <w:p w:rsidR="00085701" w:rsidRDefault="00085701" w:rsidP="003751AF">
      <w:pPr>
        <w:pStyle w:val="NoSpacing"/>
        <w:spacing w:after="200"/>
        <w:contextualSpacing/>
        <w:jc w:val="both"/>
        <w:rPr>
          <w:rFonts w:ascii="Bookman Old Style" w:hAnsi="Bookman Old Style"/>
        </w:rPr>
      </w:pPr>
    </w:p>
    <w:p w:rsidR="00085701" w:rsidRDefault="00085701" w:rsidP="003751AF">
      <w:pPr>
        <w:pStyle w:val="NoSpacing"/>
        <w:spacing w:after="200"/>
        <w:contextualSpacing/>
        <w:jc w:val="both"/>
        <w:rPr>
          <w:rFonts w:ascii="Bookman Old Style" w:hAnsi="Bookman Old Style"/>
        </w:rPr>
      </w:pPr>
    </w:p>
    <w:p w:rsidR="00085701" w:rsidRDefault="00085701" w:rsidP="003751AF">
      <w:pPr>
        <w:pStyle w:val="NoSpacing"/>
        <w:spacing w:after="200"/>
        <w:contextualSpacing/>
        <w:jc w:val="both"/>
        <w:rPr>
          <w:rFonts w:ascii="Bookman Old Style" w:hAnsi="Bookman Old Style"/>
        </w:rPr>
      </w:pPr>
    </w:p>
    <w:p w:rsidR="00085701" w:rsidRDefault="00085701" w:rsidP="003751AF">
      <w:pPr>
        <w:pStyle w:val="NoSpacing"/>
        <w:spacing w:after="200"/>
        <w:contextualSpacing/>
        <w:jc w:val="both"/>
        <w:rPr>
          <w:rFonts w:ascii="Bookman Old Style" w:hAnsi="Bookman Old Style"/>
        </w:rPr>
      </w:pPr>
    </w:p>
    <w:p w:rsidR="00085701" w:rsidRDefault="00085701" w:rsidP="003751AF">
      <w:pPr>
        <w:pStyle w:val="NoSpacing"/>
        <w:spacing w:after="200"/>
        <w:contextualSpacing/>
        <w:jc w:val="both"/>
        <w:rPr>
          <w:rFonts w:ascii="Bookman Old Style" w:hAnsi="Bookman Old Style"/>
        </w:rPr>
      </w:pPr>
    </w:p>
    <w:p w:rsidR="00085701" w:rsidRDefault="00085701" w:rsidP="003751AF">
      <w:pPr>
        <w:pStyle w:val="NoSpacing"/>
        <w:spacing w:after="200"/>
        <w:contextualSpacing/>
        <w:jc w:val="both"/>
        <w:rPr>
          <w:rFonts w:ascii="Bookman Old Style" w:hAnsi="Bookman Old Style"/>
        </w:rPr>
      </w:pPr>
    </w:p>
    <w:p w:rsidR="00085701" w:rsidRDefault="00A22852" w:rsidP="00085701">
      <w:pPr>
        <w:pStyle w:val="Heading1"/>
        <w:rPr>
          <w:rFonts w:ascii="Bookman Old Style" w:hAnsi="Bookman Old Style"/>
          <w:i/>
          <w:color w:val="auto"/>
          <w:sz w:val="24"/>
          <w:szCs w:val="24"/>
        </w:rPr>
      </w:pPr>
      <w:bookmarkStart w:id="46" w:name="_Toc475003867"/>
      <w:r>
        <w:rPr>
          <w:rFonts w:ascii="Bookman Old Style" w:hAnsi="Bookman Old Style"/>
          <w:i/>
          <w:color w:val="auto"/>
          <w:sz w:val="24"/>
          <w:szCs w:val="24"/>
        </w:rPr>
        <w:t>Works Cited</w:t>
      </w:r>
      <w:bookmarkEnd w:id="46"/>
    </w:p>
    <w:p w:rsidR="002076DE" w:rsidRDefault="002076DE" w:rsidP="002076DE"/>
    <w:p w:rsidR="002076DE" w:rsidRPr="002076DE" w:rsidRDefault="002076DE" w:rsidP="002076DE">
      <w:pPr>
        <w:pStyle w:val="Workcited"/>
        <w:rPr>
          <w:rFonts w:ascii="Bookman Old Style" w:hAnsi="Bookman Old Style"/>
        </w:rPr>
      </w:pPr>
      <w:r w:rsidRPr="002076DE">
        <w:rPr>
          <w:rFonts w:ascii="Bookman Old Style" w:hAnsi="Bookman Old Style"/>
          <w:b/>
          <w:i/>
        </w:rPr>
        <w:t>Franklin County Hazard Mitigation Plan</w:t>
      </w:r>
      <w:r w:rsidRPr="002076DE">
        <w:rPr>
          <w:rFonts w:ascii="Bookman Old Style" w:hAnsi="Bookman Old Style"/>
        </w:rPr>
        <w:t>, FCEM, 2011</w:t>
      </w:r>
    </w:p>
    <w:p w:rsidR="002076DE" w:rsidRPr="002076DE" w:rsidRDefault="002076DE" w:rsidP="002076DE">
      <w:pPr>
        <w:pStyle w:val="Workcited"/>
        <w:rPr>
          <w:rFonts w:ascii="Bookman Old Style" w:hAnsi="Bookman Old Style"/>
        </w:rPr>
      </w:pPr>
      <w:r w:rsidRPr="002076DE">
        <w:rPr>
          <w:rFonts w:ascii="Bookman Old Style" w:hAnsi="Bookman Old Style"/>
          <w:b/>
          <w:i/>
        </w:rPr>
        <w:t>Standard for the Organization and Deployment of Fire Suppression Operations, Emergency Medical Operations, and Special Operation to the Public by Career Fire Departments,</w:t>
      </w:r>
      <w:r w:rsidRPr="002076DE">
        <w:rPr>
          <w:rFonts w:ascii="Bookman Old Style" w:hAnsi="Bookman Old Style"/>
        </w:rPr>
        <w:t xml:space="preserve"> Nationa</w:t>
      </w:r>
      <w:r w:rsidR="005F0E91">
        <w:rPr>
          <w:rFonts w:ascii="Bookman Old Style" w:hAnsi="Bookman Old Style"/>
        </w:rPr>
        <w:t>l Fire Protection Association</w:t>
      </w:r>
      <w:r w:rsidRPr="002076DE">
        <w:rPr>
          <w:rFonts w:ascii="Bookman Old Style" w:hAnsi="Bookman Old Style"/>
        </w:rPr>
        <w:t>, 2016 Edition</w:t>
      </w:r>
    </w:p>
    <w:p w:rsidR="002076DE" w:rsidRPr="002076DE" w:rsidRDefault="002076DE" w:rsidP="002076DE">
      <w:pPr>
        <w:pStyle w:val="Workcited"/>
        <w:rPr>
          <w:rFonts w:ascii="Bookman Old Style" w:hAnsi="Bookman Old Style"/>
        </w:rPr>
      </w:pPr>
      <w:r w:rsidRPr="002076DE">
        <w:rPr>
          <w:rFonts w:ascii="Bookman Old Style" w:hAnsi="Bookman Old Style"/>
          <w:b/>
          <w:i/>
        </w:rPr>
        <w:t>Wildland Fire Incident Management Field Guide PMS 210</w:t>
      </w:r>
      <w:r w:rsidRPr="002076DE">
        <w:rPr>
          <w:rFonts w:ascii="Bookman Old Style" w:hAnsi="Bookman Old Style"/>
          <w:i/>
        </w:rPr>
        <w:t>,</w:t>
      </w:r>
      <w:r w:rsidRPr="002076DE">
        <w:rPr>
          <w:rFonts w:ascii="Bookman Old Style" w:hAnsi="Bookman Old Style"/>
        </w:rPr>
        <w:t xml:space="preserve"> National Wildfire Coordinating Group, January 2014</w:t>
      </w:r>
    </w:p>
    <w:p w:rsidR="002076DE" w:rsidRPr="002076DE" w:rsidRDefault="002076DE" w:rsidP="002076DE">
      <w:pPr>
        <w:pStyle w:val="Workcited"/>
        <w:rPr>
          <w:rFonts w:ascii="Bookman Old Style" w:hAnsi="Bookman Old Style"/>
        </w:rPr>
      </w:pPr>
      <w:r w:rsidRPr="002076DE">
        <w:rPr>
          <w:rFonts w:ascii="Bookman Old Style" w:hAnsi="Bookman Old Style"/>
          <w:b/>
          <w:i/>
        </w:rPr>
        <w:t>Washington Administrative Code 296-305 Safety Standards for Fire Fighters</w:t>
      </w:r>
      <w:r w:rsidRPr="002076DE">
        <w:rPr>
          <w:rFonts w:ascii="Bookman Old Style" w:hAnsi="Bookman Old Style"/>
          <w:i/>
        </w:rPr>
        <w:t>,</w:t>
      </w:r>
      <w:r w:rsidRPr="002076DE">
        <w:rPr>
          <w:rFonts w:ascii="Bookman Old Style" w:hAnsi="Bookman Old Style"/>
        </w:rPr>
        <w:t xml:space="preserve"> 2014</w:t>
      </w:r>
    </w:p>
    <w:p w:rsidR="002076DE" w:rsidRPr="002076DE" w:rsidRDefault="002076DE" w:rsidP="002076DE">
      <w:pPr>
        <w:pStyle w:val="Workcited"/>
        <w:rPr>
          <w:rFonts w:ascii="Bookman Old Style" w:hAnsi="Bookman Old Style"/>
        </w:rPr>
      </w:pPr>
      <w:r w:rsidRPr="002076DE">
        <w:rPr>
          <w:rFonts w:ascii="Bookman Old Style" w:hAnsi="Bookman Old Style"/>
          <w:b/>
          <w:i/>
        </w:rPr>
        <w:t>Pasco Fie Department Emergency Services Master Plan</w:t>
      </w:r>
      <w:r w:rsidRPr="002076DE">
        <w:rPr>
          <w:rFonts w:ascii="Bookman Old Style" w:hAnsi="Bookman Old Style"/>
          <w:i/>
        </w:rPr>
        <w:t>,</w:t>
      </w:r>
      <w:r w:rsidRPr="002076DE">
        <w:rPr>
          <w:rFonts w:ascii="Bookman Old Style" w:hAnsi="Bookman Old Style"/>
        </w:rPr>
        <w:t xml:space="preserve"> Emergency Services Consulting International, Fall 2016</w:t>
      </w:r>
    </w:p>
    <w:p w:rsidR="002076DE" w:rsidRPr="002076DE" w:rsidRDefault="002076DE" w:rsidP="002076DE">
      <w:pPr>
        <w:pStyle w:val="Workcited"/>
        <w:rPr>
          <w:rFonts w:ascii="Bookman Old Style" w:hAnsi="Bookman Old Style"/>
        </w:rPr>
      </w:pPr>
      <w:r w:rsidRPr="002076DE">
        <w:rPr>
          <w:rFonts w:ascii="Bookman Old Style" w:hAnsi="Bookman Old Style"/>
          <w:b/>
          <w:i/>
        </w:rPr>
        <w:t>Ambulance Utility Cost of Service and Rate Study</w:t>
      </w:r>
      <w:r w:rsidRPr="002076DE">
        <w:rPr>
          <w:rFonts w:ascii="Bookman Old Style" w:hAnsi="Bookman Old Style"/>
        </w:rPr>
        <w:t>, FCS Group, November 2015</w:t>
      </w:r>
    </w:p>
    <w:p w:rsidR="002076DE" w:rsidRDefault="002076DE" w:rsidP="002076DE">
      <w:pPr>
        <w:rPr>
          <w:rFonts w:ascii="Bookman Old Style" w:hAnsi="Bookman Old Style"/>
        </w:rPr>
      </w:pPr>
      <w:r w:rsidRPr="002076DE">
        <w:rPr>
          <w:rFonts w:ascii="Bookman Old Style" w:hAnsi="Bookman Old Style"/>
          <w:b/>
          <w:i/>
        </w:rPr>
        <w:t>City of Pasco/Tri—Cities Airport ARFF Services Study</w:t>
      </w:r>
      <w:r w:rsidRPr="002076DE">
        <w:rPr>
          <w:rFonts w:ascii="Bookman Old Style" w:hAnsi="Bookman Old Style"/>
          <w:i/>
        </w:rPr>
        <w:t xml:space="preserve">, </w:t>
      </w:r>
      <w:r w:rsidRPr="002076DE">
        <w:rPr>
          <w:rFonts w:ascii="Bookman Old Style" w:hAnsi="Bookman Old Style"/>
        </w:rPr>
        <w:t>SSI, June 2015</w:t>
      </w:r>
    </w:p>
    <w:p w:rsidR="002076DE" w:rsidRPr="002076DE" w:rsidRDefault="002076DE" w:rsidP="002076DE">
      <w:pPr>
        <w:rPr>
          <w:rFonts w:ascii="Bookman Old Style" w:hAnsi="Bookman Old Style"/>
        </w:rPr>
      </w:pPr>
      <w:r w:rsidRPr="002076DE">
        <w:rPr>
          <w:rFonts w:ascii="Bookman Old Style" w:hAnsi="Bookman Old Style"/>
          <w:b/>
          <w:i/>
        </w:rPr>
        <w:t>Fire Service Performance Measures</w:t>
      </w:r>
      <w:r>
        <w:rPr>
          <w:rFonts w:ascii="Bookman Old Style" w:hAnsi="Bookman Old Style"/>
        </w:rPr>
        <w:t>, National Fire Protection Association Fire Analysis and Research Division, Jennifer D. Flynn, November 2009</w:t>
      </w:r>
    </w:p>
    <w:p w:rsidR="002076DE" w:rsidRDefault="00597CF9" w:rsidP="002076DE">
      <w:pPr>
        <w:rPr>
          <w:rFonts w:ascii="Bookman Old Style" w:hAnsi="Bookman Old Style"/>
        </w:rPr>
      </w:pPr>
      <w:r>
        <w:rPr>
          <w:rFonts w:ascii="Bookman Old Style" w:hAnsi="Bookman Old Style"/>
          <w:b/>
          <w:i/>
        </w:rPr>
        <w:t xml:space="preserve">Community Risk Assessment and Standards of Response Coverage Study, </w:t>
      </w:r>
      <w:r>
        <w:rPr>
          <w:rFonts w:ascii="Bookman Old Style" w:hAnsi="Bookman Old Style"/>
        </w:rPr>
        <w:t>Chico Fire Department, January 2017</w:t>
      </w:r>
    </w:p>
    <w:p w:rsidR="00DA10F6" w:rsidRDefault="00DA10F6" w:rsidP="002076DE">
      <w:pPr>
        <w:rPr>
          <w:rFonts w:ascii="Bookman Old Style" w:hAnsi="Bookman Old Style"/>
        </w:rPr>
      </w:pPr>
      <w:r>
        <w:rPr>
          <w:rFonts w:ascii="Bookman Old Style" w:hAnsi="Bookman Old Style"/>
          <w:b/>
          <w:i/>
        </w:rPr>
        <w:t>HAZUS-MH: Earthquake Event Report:</w:t>
      </w:r>
      <w:r>
        <w:rPr>
          <w:rFonts w:ascii="Bookman Old Style" w:hAnsi="Bookman Old Style"/>
        </w:rPr>
        <w:t xml:space="preserve"> Saddle Mtn. M 7.35, March 10, 2010</w:t>
      </w:r>
    </w:p>
    <w:p w:rsidR="00DA0DC8" w:rsidRPr="00DA0DC8" w:rsidRDefault="00DA0DC8" w:rsidP="002076DE">
      <w:pPr>
        <w:rPr>
          <w:rFonts w:ascii="Bookman Old Style" w:hAnsi="Bookman Old Style"/>
        </w:rPr>
      </w:pPr>
      <w:r>
        <w:rPr>
          <w:rFonts w:ascii="Bookman Old Style" w:hAnsi="Bookman Old Style"/>
          <w:b/>
          <w:i/>
        </w:rPr>
        <w:t xml:space="preserve">Franklin County Hazard </w:t>
      </w:r>
      <w:r w:rsidR="00CF6C80">
        <w:rPr>
          <w:rFonts w:ascii="Bookman Old Style" w:hAnsi="Bookman Old Style"/>
          <w:b/>
          <w:i/>
        </w:rPr>
        <w:t>Vulnerability Analysis</w:t>
      </w:r>
      <w:r>
        <w:rPr>
          <w:rFonts w:ascii="Bookman Old Style" w:hAnsi="Bookman Old Style"/>
          <w:b/>
          <w:i/>
        </w:rPr>
        <w:t>:</w:t>
      </w:r>
      <w:r>
        <w:rPr>
          <w:rFonts w:ascii="Bookman Old Style" w:hAnsi="Bookman Old Style"/>
        </w:rPr>
        <w:t xml:space="preserve">  Franklin County Emergency Management, </w:t>
      </w:r>
    </w:p>
    <w:sectPr w:rsidR="00DA0DC8" w:rsidRPr="00DA0DC8" w:rsidSect="004A0133">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B" w:rsidRDefault="00A11C0B" w:rsidP="00197969">
      <w:pPr>
        <w:spacing w:after="0" w:line="240" w:lineRule="auto"/>
      </w:pPr>
      <w:r>
        <w:separator/>
      </w:r>
    </w:p>
  </w:endnote>
  <w:endnote w:type="continuationSeparator" w:id="0">
    <w:p w:rsidR="00A11C0B" w:rsidRDefault="00A11C0B" w:rsidP="0019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MdBT-Norm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3E1951">
      <w:tc>
        <w:tcPr>
          <w:tcW w:w="918" w:type="dxa"/>
        </w:tcPr>
        <w:p w:rsidR="003E1951" w:rsidRDefault="003E1951">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466AA7" w:rsidRPr="00466AA7">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18</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3E1951" w:rsidRDefault="003E1951">
          <w:pPr>
            <w:pStyle w:val="Footer"/>
          </w:pPr>
        </w:p>
      </w:tc>
    </w:tr>
  </w:tbl>
  <w:p w:rsidR="003E1951" w:rsidRDefault="003E1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B" w:rsidRDefault="00A11C0B" w:rsidP="00197969">
      <w:pPr>
        <w:spacing w:after="0" w:line="240" w:lineRule="auto"/>
      </w:pPr>
      <w:r>
        <w:separator/>
      </w:r>
    </w:p>
  </w:footnote>
  <w:footnote w:type="continuationSeparator" w:id="0">
    <w:p w:rsidR="00A11C0B" w:rsidRDefault="00A11C0B" w:rsidP="00197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14290"/>
    <w:multiLevelType w:val="hybridMultilevel"/>
    <w:tmpl w:val="8D34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14EBD"/>
    <w:multiLevelType w:val="hybridMultilevel"/>
    <w:tmpl w:val="DDB87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1120AC"/>
    <w:multiLevelType w:val="hybridMultilevel"/>
    <w:tmpl w:val="1B34E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5937577"/>
    <w:multiLevelType w:val="hybridMultilevel"/>
    <w:tmpl w:val="551CA2AC"/>
    <w:lvl w:ilvl="0" w:tplc="9516DE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375D3153"/>
    <w:multiLevelType w:val="hybridMultilevel"/>
    <w:tmpl w:val="0898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042BD6"/>
    <w:multiLevelType w:val="hybridMultilevel"/>
    <w:tmpl w:val="F83A52C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6">
    <w:nsid w:val="5AA076F7"/>
    <w:multiLevelType w:val="hybridMultilevel"/>
    <w:tmpl w:val="6456A16C"/>
    <w:lvl w:ilvl="0" w:tplc="775A25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BED78D6"/>
    <w:multiLevelType w:val="hybridMultilevel"/>
    <w:tmpl w:val="2DDE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338"/>
    <w:rsid w:val="00012C6D"/>
    <w:rsid w:val="00013D13"/>
    <w:rsid w:val="0001400D"/>
    <w:rsid w:val="0001776D"/>
    <w:rsid w:val="000207ED"/>
    <w:rsid w:val="00026DA3"/>
    <w:rsid w:val="00045385"/>
    <w:rsid w:val="000534BE"/>
    <w:rsid w:val="00055697"/>
    <w:rsid w:val="00065AFD"/>
    <w:rsid w:val="000674B5"/>
    <w:rsid w:val="00075F68"/>
    <w:rsid w:val="00085701"/>
    <w:rsid w:val="00086773"/>
    <w:rsid w:val="00094CC3"/>
    <w:rsid w:val="000A7A05"/>
    <w:rsid w:val="000E6665"/>
    <w:rsid w:val="000E7269"/>
    <w:rsid w:val="000F29DF"/>
    <w:rsid w:val="000F3B5B"/>
    <w:rsid w:val="000F3DD1"/>
    <w:rsid w:val="00115B6B"/>
    <w:rsid w:val="00115F06"/>
    <w:rsid w:val="001201CE"/>
    <w:rsid w:val="0014096F"/>
    <w:rsid w:val="00150CEE"/>
    <w:rsid w:val="001628C6"/>
    <w:rsid w:val="00176F8E"/>
    <w:rsid w:val="00180D2A"/>
    <w:rsid w:val="001849F9"/>
    <w:rsid w:val="00191A50"/>
    <w:rsid w:val="00195B13"/>
    <w:rsid w:val="00197969"/>
    <w:rsid w:val="001B3B38"/>
    <w:rsid w:val="001C5577"/>
    <w:rsid w:val="001C7449"/>
    <w:rsid w:val="001D2B69"/>
    <w:rsid w:val="001D5F1F"/>
    <w:rsid w:val="001E3255"/>
    <w:rsid w:val="001E3B4E"/>
    <w:rsid w:val="00202AB4"/>
    <w:rsid w:val="002076DE"/>
    <w:rsid w:val="00207E9D"/>
    <w:rsid w:val="002200DB"/>
    <w:rsid w:val="002269F4"/>
    <w:rsid w:val="00233159"/>
    <w:rsid w:val="00235CCC"/>
    <w:rsid w:val="00236581"/>
    <w:rsid w:val="002370C2"/>
    <w:rsid w:val="00246BF2"/>
    <w:rsid w:val="0026346B"/>
    <w:rsid w:val="00270E36"/>
    <w:rsid w:val="0027223E"/>
    <w:rsid w:val="0027512F"/>
    <w:rsid w:val="00282721"/>
    <w:rsid w:val="00286EFC"/>
    <w:rsid w:val="00286F0F"/>
    <w:rsid w:val="002936B1"/>
    <w:rsid w:val="002A4906"/>
    <w:rsid w:val="002C1C23"/>
    <w:rsid w:val="002D06DB"/>
    <w:rsid w:val="002D2767"/>
    <w:rsid w:val="002E5DBB"/>
    <w:rsid w:val="002E6163"/>
    <w:rsid w:val="002F20A3"/>
    <w:rsid w:val="00312525"/>
    <w:rsid w:val="00326AA1"/>
    <w:rsid w:val="00327350"/>
    <w:rsid w:val="003312C2"/>
    <w:rsid w:val="0033640D"/>
    <w:rsid w:val="00343659"/>
    <w:rsid w:val="00346EF8"/>
    <w:rsid w:val="00351857"/>
    <w:rsid w:val="003549DD"/>
    <w:rsid w:val="003702B5"/>
    <w:rsid w:val="00373411"/>
    <w:rsid w:val="003746A2"/>
    <w:rsid w:val="00374BC4"/>
    <w:rsid w:val="003751AF"/>
    <w:rsid w:val="003757D5"/>
    <w:rsid w:val="003874EF"/>
    <w:rsid w:val="00390B9E"/>
    <w:rsid w:val="00392C2C"/>
    <w:rsid w:val="00393389"/>
    <w:rsid w:val="00393EFD"/>
    <w:rsid w:val="003946A8"/>
    <w:rsid w:val="003A501C"/>
    <w:rsid w:val="003A59C7"/>
    <w:rsid w:val="003A6220"/>
    <w:rsid w:val="003A62C2"/>
    <w:rsid w:val="003B47E0"/>
    <w:rsid w:val="003B68C4"/>
    <w:rsid w:val="003B6C0D"/>
    <w:rsid w:val="003C11BF"/>
    <w:rsid w:val="003D1199"/>
    <w:rsid w:val="003D659B"/>
    <w:rsid w:val="003E05C7"/>
    <w:rsid w:val="003E1951"/>
    <w:rsid w:val="003E35D3"/>
    <w:rsid w:val="003F4F56"/>
    <w:rsid w:val="00405397"/>
    <w:rsid w:val="00407FC6"/>
    <w:rsid w:val="004128A0"/>
    <w:rsid w:val="004145B5"/>
    <w:rsid w:val="0041575F"/>
    <w:rsid w:val="00421505"/>
    <w:rsid w:val="00423FD1"/>
    <w:rsid w:val="00425513"/>
    <w:rsid w:val="004318CB"/>
    <w:rsid w:val="00441B40"/>
    <w:rsid w:val="004604A0"/>
    <w:rsid w:val="00460C40"/>
    <w:rsid w:val="004629FB"/>
    <w:rsid w:val="0046546E"/>
    <w:rsid w:val="00466AA7"/>
    <w:rsid w:val="00470542"/>
    <w:rsid w:val="00471830"/>
    <w:rsid w:val="00476953"/>
    <w:rsid w:val="00482E3E"/>
    <w:rsid w:val="00483CE9"/>
    <w:rsid w:val="00485A36"/>
    <w:rsid w:val="00492EC7"/>
    <w:rsid w:val="004A0133"/>
    <w:rsid w:val="004A13B0"/>
    <w:rsid w:val="004A455A"/>
    <w:rsid w:val="004B3FF3"/>
    <w:rsid w:val="004B76E0"/>
    <w:rsid w:val="004C3E65"/>
    <w:rsid w:val="004C4232"/>
    <w:rsid w:val="004C7391"/>
    <w:rsid w:val="004D3002"/>
    <w:rsid w:val="004D55C4"/>
    <w:rsid w:val="004E0F85"/>
    <w:rsid w:val="004F3FBB"/>
    <w:rsid w:val="0050021E"/>
    <w:rsid w:val="00501F73"/>
    <w:rsid w:val="00503B63"/>
    <w:rsid w:val="00514683"/>
    <w:rsid w:val="00514C4B"/>
    <w:rsid w:val="005178EE"/>
    <w:rsid w:val="005404D6"/>
    <w:rsid w:val="00546B74"/>
    <w:rsid w:val="00550AC6"/>
    <w:rsid w:val="00554E82"/>
    <w:rsid w:val="005577CB"/>
    <w:rsid w:val="005629A4"/>
    <w:rsid w:val="0056391B"/>
    <w:rsid w:val="005822DA"/>
    <w:rsid w:val="005839DE"/>
    <w:rsid w:val="0058517E"/>
    <w:rsid w:val="00591225"/>
    <w:rsid w:val="00597CF9"/>
    <w:rsid w:val="005A1596"/>
    <w:rsid w:val="005A3E20"/>
    <w:rsid w:val="005B155E"/>
    <w:rsid w:val="005D5B1F"/>
    <w:rsid w:val="005D6905"/>
    <w:rsid w:val="005F0E91"/>
    <w:rsid w:val="005F102D"/>
    <w:rsid w:val="005F1A43"/>
    <w:rsid w:val="005F3E97"/>
    <w:rsid w:val="005F6F82"/>
    <w:rsid w:val="006172A3"/>
    <w:rsid w:val="0061741F"/>
    <w:rsid w:val="0063068B"/>
    <w:rsid w:val="00641397"/>
    <w:rsid w:val="0064179E"/>
    <w:rsid w:val="006530A1"/>
    <w:rsid w:val="00665AE9"/>
    <w:rsid w:val="006901CD"/>
    <w:rsid w:val="006A5FD5"/>
    <w:rsid w:val="006B1822"/>
    <w:rsid w:val="006C07FF"/>
    <w:rsid w:val="006C649F"/>
    <w:rsid w:val="006D065B"/>
    <w:rsid w:val="006D5949"/>
    <w:rsid w:val="006D7A27"/>
    <w:rsid w:val="007035C9"/>
    <w:rsid w:val="00704588"/>
    <w:rsid w:val="00705AA5"/>
    <w:rsid w:val="00706B04"/>
    <w:rsid w:val="00707F29"/>
    <w:rsid w:val="0071465F"/>
    <w:rsid w:val="00726235"/>
    <w:rsid w:val="00727E60"/>
    <w:rsid w:val="0073773F"/>
    <w:rsid w:val="007521C3"/>
    <w:rsid w:val="007558B9"/>
    <w:rsid w:val="0075728A"/>
    <w:rsid w:val="00766829"/>
    <w:rsid w:val="00784373"/>
    <w:rsid w:val="00797126"/>
    <w:rsid w:val="007A05B3"/>
    <w:rsid w:val="007A0C7D"/>
    <w:rsid w:val="007B0DFF"/>
    <w:rsid w:val="007B76B6"/>
    <w:rsid w:val="007C5336"/>
    <w:rsid w:val="007D5409"/>
    <w:rsid w:val="007D7AE6"/>
    <w:rsid w:val="007D7C06"/>
    <w:rsid w:val="007D7FBE"/>
    <w:rsid w:val="007E49F6"/>
    <w:rsid w:val="007F0704"/>
    <w:rsid w:val="007F57A5"/>
    <w:rsid w:val="007F5971"/>
    <w:rsid w:val="00802527"/>
    <w:rsid w:val="00802DD1"/>
    <w:rsid w:val="00812E4C"/>
    <w:rsid w:val="0081410D"/>
    <w:rsid w:val="00814354"/>
    <w:rsid w:val="00814393"/>
    <w:rsid w:val="00814EE1"/>
    <w:rsid w:val="00815F1F"/>
    <w:rsid w:val="00840E58"/>
    <w:rsid w:val="00851592"/>
    <w:rsid w:val="00854FEB"/>
    <w:rsid w:val="00855061"/>
    <w:rsid w:val="00855CA1"/>
    <w:rsid w:val="008568C7"/>
    <w:rsid w:val="00862E2A"/>
    <w:rsid w:val="0086620B"/>
    <w:rsid w:val="008672FA"/>
    <w:rsid w:val="00881C82"/>
    <w:rsid w:val="0088730D"/>
    <w:rsid w:val="0089617F"/>
    <w:rsid w:val="008A5557"/>
    <w:rsid w:val="008B0FB0"/>
    <w:rsid w:val="008B54B1"/>
    <w:rsid w:val="008B669F"/>
    <w:rsid w:val="008C541A"/>
    <w:rsid w:val="008D1CDD"/>
    <w:rsid w:val="008D1F2E"/>
    <w:rsid w:val="008E0456"/>
    <w:rsid w:val="008E0F1C"/>
    <w:rsid w:val="008E1F07"/>
    <w:rsid w:val="008F1696"/>
    <w:rsid w:val="008F6019"/>
    <w:rsid w:val="008F6738"/>
    <w:rsid w:val="00910921"/>
    <w:rsid w:val="009223D1"/>
    <w:rsid w:val="00922425"/>
    <w:rsid w:val="0092480E"/>
    <w:rsid w:val="00955C16"/>
    <w:rsid w:val="009606A1"/>
    <w:rsid w:val="00967F3E"/>
    <w:rsid w:val="00977642"/>
    <w:rsid w:val="00980835"/>
    <w:rsid w:val="009822D4"/>
    <w:rsid w:val="00991217"/>
    <w:rsid w:val="009979C6"/>
    <w:rsid w:val="009A686A"/>
    <w:rsid w:val="009B1469"/>
    <w:rsid w:val="009B1EEA"/>
    <w:rsid w:val="009B2A81"/>
    <w:rsid w:val="009B48A2"/>
    <w:rsid w:val="009B576A"/>
    <w:rsid w:val="009B66E7"/>
    <w:rsid w:val="009C04FD"/>
    <w:rsid w:val="009C1070"/>
    <w:rsid w:val="009C6A46"/>
    <w:rsid w:val="009E0EA6"/>
    <w:rsid w:val="009F09D1"/>
    <w:rsid w:val="009F550D"/>
    <w:rsid w:val="009F5C33"/>
    <w:rsid w:val="009F68A4"/>
    <w:rsid w:val="00A01A84"/>
    <w:rsid w:val="00A02E96"/>
    <w:rsid w:val="00A03518"/>
    <w:rsid w:val="00A0655D"/>
    <w:rsid w:val="00A10BEA"/>
    <w:rsid w:val="00A11C0B"/>
    <w:rsid w:val="00A11ED0"/>
    <w:rsid w:val="00A22852"/>
    <w:rsid w:val="00A3156B"/>
    <w:rsid w:val="00A55F12"/>
    <w:rsid w:val="00A62923"/>
    <w:rsid w:val="00A908A3"/>
    <w:rsid w:val="00A91830"/>
    <w:rsid w:val="00AA373D"/>
    <w:rsid w:val="00AB6655"/>
    <w:rsid w:val="00AC053B"/>
    <w:rsid w:val="00AC3B85"/>
    <w:rsid w:val="00AE3101"/>
    <w:rsid w:val="00AF5588"/>
    <w:rsid w:val="00B00150"/>
    <w:rsid w:val="00B03C88"/>
    <w:rsid w:val="00B16D00"/>
    <w:rsid w:val="00B21689"/>
    <w:rsid w:val="00B21A44"/>
    <w:rsid w:val="00B2602F"/>
    <w:rsid w:val="00B26427"/>
    <w:rsid w:val="00B343E8"/>
    <w:rsid w:val="00B42E2C"/>
    <w:rsid w:val="00B431F9"/>
    <w:rsid w:val="00B43612"/>
    <w:rsid w:val="00B46E00"/>
    <w:rsid w:val="00B578A4"/>
    <w:rsid w:val="00B57CE0"/>
    <w:rsid w:val="00B63B11"/>
    <w:rsid w:val="00B65260"/>
    <w:rsid w:val="00B74674"/>
    <w:rsid w:val="00B81113"/>
    <w:rsid w:val="00B81B1D"/>
    <w:rsid w:val="00B8376A"/>
    <w:rsid w:val="00B85E5C"/>
    <w:rsid w:val="00B8622A"/>
    <w:rsid w:val="00B86900"/>
    <w:rsid w:val="00B90420"/>
    <w:rsid w:val="00B923E5"/>
    <w:rsid w:val="00B93479"/>
    <w:rsid w:val="00B97789"/>
    <w:rsid w:val="00BA2993"/>
    <w:rsid w:val="00BA2BA5"/>
    <w:rsid w:val="00BA5338"/>
    <w:rsid w:val="00BA7F74"/>
    <w:rsid w:val="00BB65D0"/>
    <w:rsid w:val="00BE7054"/>
    <w:rsid w:val="00BF04F6"/>
    <w:rsid w:val="00BF5436"/>
    <w:rsid w:val="00C17300"/>
    <w:rsid w:val="00C1765E"/>
    <w:rsid w:val="00C26B6F"/>
    <w:rsid w:val="00C335C9"/>
    <w:rsid w:val="00C4299C"/>
    <w:rsid w:val="00C4778B"/>
    <w:rsid w:val="00C6292A"/>
    <w:rsid w:val="00C66CF7"/>
    <w:rsid w:val="00C73F24"/>
    <w:rsid w:val="00C95C29"/>
    <w:rsid w:val="00CB0837"/>
    <w:rsid w:val="00CB47B6"/>
    <w:rsid w:val="00CB4950"/>
    <w:rsid w:val="00CC5C5B"/>
    <w:rsid w:val="00CD55E5"/>
    <w:rsid w:val="00CE20E4"/>
    <w:rsid w:val="00CE373E"/>
    <w:rsid w:val="00CE4581"/>
    <w:rsid w:val="00CF6C80"/>
    <w:rsid w:val="00D10F94"/>
    <w:rsid w:val="00D13ACE"/>
    <w:rsid w:val="00D16597"/>
    <w:rsid w:val="00D345B0"/>
    <w:rsid w:val="00D4020B"/>
    <w:rsid w:val="00D456D8"/>
    <w:rsid w:val="00D45972"/>
    <w:rsid w:val="00D47274"/>
    <w:rsid w:val="00D51516"/>
    <w:rsid w:val="00D515A4"/>
    <w:rsid w:val="00D55490"/>
    <w:rsid w:val="00D70EDA"/>
    <w:rsid w:val="00D71424"/>
    <w:rsid w:val="00D81005"/>
    <w:rsid w:val="00D8493C"/>
    <w:rsid w:val="00D87219"/>
    <w:rsid w:val="00D92728"/>
    <w:rsid w:val="00DA0DC8"/>
    <w:rsid w:val="00DA10F6"/>
    <w:rsid w:val="00DB2859"/>
    <w:rsid w:val="00DB5A50"/>
    <w:rsid w:val="00DC0A28"/>
    <w:rsid w:val="00DD5FFA"/>
    <w:rsid w:val="00DD79E8"/>
    <w:rsid w:val="00DE1872"/>
    <w:rsid w:val="00DF0E93"/>
    <w:rsid w:val="00DF3D76"/>
    <w:rsid w:val="00E002D7"/>
    <w:rsid w:val="00E14BB7"/>
    <w:rsid w:val="00E20801"/>
    <w:rsid w:val="00E22B7D"/>
    <w:rsid w:val="00E247A6"/>
    <w:rsid w:val="00E40A01"/>
    <w:rsid w:val="00E439A7"/>
    <w:rsid w:val="00E53174"/>
    <w:rsid w:val="00E56FA6"/>
    <w:rsid w:val="00E57B22"/>
    <w:rsid w:val="00E800C3"/>
    <w:rsid w:val="00E867E2"/>
    <w:rsid w:val="00E91559"/>
    <w:rsid w:val="00EA7FFC"/>
    <w:rsid w:val="00EB6845"/>
    <w:rsid w:val="00EC04B6"/>
    <w:rsid w:val="00EC1592"/>
    <w:rsid w:val="00ED4EBE"/>
    <w:rsid w:val="00EE3482"/>
    <w:rsid w:val="00EE4E48"/>
    <w:rsid w:val="00EF1FDF"/>
    <w:rsid w:val="00EF3151"/>
    <w:rsid w:val="00F01108"/>
    <w:rsid w:val="00F013BC"/>
    <w:rsid w:val="00F04DD5"/>
    <w:rsid w:val="00F17511"/>
    <w:rsid w:val="00F22E13"/>
    <w:rsid w:val="00F22FC3"/>
    <w:rsid w:val="00F24A35"/>
    <w:rsid w:val="00F27D0F"/>
    <w:rsid w:val="00F65CFB"/>
    <w:rsid w:val="00F742D8"/>
    <w:rsid w:val="00F772DE"/>
    <w:rsid w:val="00F8406F"/>
    <w:rsid w:val="00F94093"/>
    <w:rsid w:val="00FA534A"/>
    <w:rsid w:val="00FB28F5"/>
    <w:rsid w:val="00FC1934"/>
    <w:rsid w:val="00FC34BD"/>
    <w:rsid w:val="00FC46BB"/>
    <w:rsid w:val="00FD0181"/>
    <w:rsid w:val="00FE4D71"/>
    <w:rsid w:val="00FF4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2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62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629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629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629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5338"/>
    <w:pPr>
      <w:spacing w:after="0" w:line="240" w:lineRule="auto"/>
    </w:pPr>
  </w:style>
  <w:style w:type="table" w:styleId="TableGrid">
    <w:name w:val="Table Grid"/>
    <w:basedOn w:val="TableNormal"/>
    <w:uiPriority w:val="59"/>
    <w:rsid w:val="00D55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1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505"/>
    <w:rPr>
      <w:rFonts w:ascii="Tahoma" w:hAnsi="Tahoma" w:cs="Tahoma"/>
      <w:sz w:val="16"/>
      <w:szCs w:val="16"/>
    </w:rPr>
  </w:style>
  <w:style w:type="paragraph" w:styleId="Header">
    <w:name w:val="header"/>
    <w:basedOn w:val="Normal"/>
    <w:link w:val="HeaderChar"/>
    <w:uiPriority w:val="99"/>
    <w:unhideWhenUsed/>
    <w:rsid w:val="00197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969"/>
  </w:style>
  <w:style w:type="paragraph" w:styleId="Footer">
    <w:name w:val="footer"/>
    <w:basedOn w:val="Normal"/>
    <w:link w:val="FooterChar"/>
    <w:uiPriority w:val="99"/>
    <w:unhideWhenUsed/>
    <w:rsid w:val="00197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969"/>
  </w:style>
  <w:style w:type="paragraph" w:styleId="ListParagraph">
    <w:name w:val="List Paragraph"/>
    <w:basedOn w:val="Normal"/>
    <w:uiPriority w:val="34"/>
    <w:qFormat/>
    <w:rsid w:val="00B8376A"/>
    <w:pPr>
      <w:ind w:left="720"/>
      <w:contextualSpacing/>
    </w:pPr>
  </w:style>
  <w:style w:type="table" w:styleId="LightList-Accent5">
    <w:name w:val="Light List Accent 5"/>
    <w:basedOn w:val="TableNormal"/>
    <w:uiPriority w:val="61"/>
    <w:rsid w:val="005D690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oSpacingChar">
    <w:name w:val="No Spacing Char"/>
    <w:basedOn w:val="DefaultParagraphFont"/>
    <w:link w:val="NoSpacing"/>
    <w:uiPriority w:val="1"/>
    <w:rsid w:val="00207E9D"/>
  </w:style>
  <w:style w:type="character" w:customStyle="1" w:styleId="Heading1Char">
    <w:name w:val="Heading 1 Char"/>
    <w:basedOn w:val="DefaultParagraphFont"/>
    <w:link w:val="Heading1"/>
    <w:uiPriority w:val="9"/>
    <w:rsid w:val="00A629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29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29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629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629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62923"/>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semiHidden/>
    <w:unhideWhenUsed/>
    <w:qFormat/>
    <w:rsid w:val="00A62923"/>
    <w:pPr>
      <w:outlineLvl w:val="9"/>
    </w:pPr>
    <w:rPr>
      <w:lang w:eastAsia="ja-JP"/>
    </w:rPr>
  </w:style>
  <w:style w:type="paragraph" w:styleId="TOC1">
    <w:name w:val="toc 1"/>
    <w:basedOn w:val="Normal"/>
    <w:next w:val="Normal"/>
    <w:autoRedefine/>
    <w:uiPriority w:val="39"/>
    <w:unhideWhenUsed/>
    <w:qFormat/>
    <w:rsid w:val="00E439A7"/>
    <w:pPr>
      <w:tabs>
        <w:tab w:val="right" w:leader="dot" w:pos="9350"/>
      </w:tabs>
      <w:spacing w:after="100"/>
    </w:pPr>
    <w:rPr>
      <w:rFonts w:ascii="Bookman Old Style" w:hAnsi="Bookman Old Style"/>
      <w:noProof/>
      <w:sz w:val="32"/>
      <w:szCs w:val="32"/>
    </w:rPr>
  </w:style>
  <w:style w:type="paragraph" w:styleId="TOC2">
    <w:name w:val="toc 2"/>
    <w:basedOn w:val="Normal"/>
    <w:next w:val="Normal"/>
    <w:autoRedefine/>
    <w:uiPriority w:val="39"/>
    <w:unhideWhenUsed/>
    <w:qFormat/>
    <w:rsid w:val="00A62923"/>
    <w:pPr>
      <w:spacing w:after="100"/>
      <w:ind w:left="220"/>
    </w:pPr>
  </w:style>
  <w:style w:type="paragraph" w:styleId="TOC3">
    <w:name w:val="toc 3"/>
    <w:basedOn w:val="Normal"/>
    <w:next w:val="Normal"/>
    <w:autoRedefine/>
    <w:uiPriority w:val="39"/>
    <w:unhideWhenUsed/>
    <w:qFormat/>
    <w:rsid w:val="00A62923"/>
    <w:pPr>
      <w:spacing w:after="100"/>
      <w:ind w:left="440"/>
    </w:pPr>
  </w:style>
  <w:style w:type="character" w:styleId="Hyperlink">
    <w:name w:val="Hyperlink"/>
    <w:basedOn w:val="DefaultParagraphFont"/>
    <w:uiPriority w:val="99"/>
    <w:unhideWhenUsed/>
    <w:rsid w:val="00A62923"/>
    <w:rPr>
      <w:color w:val="0000FF" w:themeColor="hyperlink"/>
      <w:u w:val="single"/>
    </w:rPr>
  </w:style>
  <w:style w:type="paragraph" w:styleId="TOC4">
    <w:name w:val="toc 4"/>
    <w:basedOn w:val="Normal"/>
    <w:next w:val="Normal"/>
    <w:autoRedefine/>
    <w:uiPriority w:val="39"/>
    <w:unhideWhenUsed/>
    <w:rsid w:val="00A62923"/>
    <w:pPr>
      <w:spacing w:after="100"/>
      <w:ind w:left="660"/>
    </w:pPr>
  </w:style>
  <w:style w:type="paragraph" w:styleId="TOC5">
    <w:name w:val="toc 5"/>
    <w:basedOn w:val="Normal"/>
    <w:next w:val="Normal"/>
    <w:autoRedefine/>
    <w:uiPriority w:val="39"/>
    <w:unhideWhenUsed/>
    <w:rsid w:val="00A62923"/>
    <w:pPr>
      <w:spacing w:after="100"/>
      <w:ind w:left="880"/>
    </w:pPr>
  </w:style>
  <w:style w:type="paragraph" w:styleId="TOC6">
    <w:name w:val="toc 6"/>
    <w:basedOn w:val="Normal"/>
    <w:next w:val="Normal"/>
    <w:autoRedefine/>
    <w:uiPriority w:val="39"/>
    <w:unhideWhenUsed/>
    <w:rsid w:val="00A62923"/>
    <w:pPr>
      <w:spacing w:after="100"/>
      <w:ind w:left="1100"/>
    </w:pPr>
  </w:style>
  <w:style w:type="character" w:customStyle="1" w:styleId="Heading7Char">
    <w:name w:val="Heading 7 Char"/>
    <w:basedOn w:val="DefaultParagraphFont"/>
    <w:link w:val="Heading7"/>
    <w:uiPriority w:val="9"/>
    <w:rsid w:val="00A62923"/>
    <w:rPr>
      <w:rFonts w:asciiTheme="majorHAnsi" w:eastAsiaTheme="majorEastAsia" w:hAnsiTheme="majorHAnsi" w:cstheme="majorBidi"/>
      <w:i/>
      <w:iCs/>
      <w:color w:val="404040" w:themeColor="text1" w:themeTint="BF"/>
    </w:rPr>
  </w:style>
  <w:style w:type="paragraph" w:styleId="TOC7">
    <w:name w:val="toc 7"/>
    <w:basedOn w:val="Normal"/>
    <w:next w:val="Normal"/>
    <w:autoRedefine/>
    <w:uiPriority w:val="39"/>
    <w:unhideWhenUsed/>
    <w:rsid w:val="00E439A7"/>
    <w:pPr>
      <w:spacing w:after="100"/>
      <w:ind w:left="1320"/>
    </w:pPr>
  </w:style>
  <w:style w:type="paragraph" w:customStyle="1" w:styleId="Workcited">
    <w:name w:val="Work cited"/>
    <w:basedOn w:val="Normal"/>
    <w:qFormat/>
    <w:rsid w:val="002076DE"/>
    <w:pPr>
      <w:spacing w:after="0" w:line="480" w:lineRule="auto"/>
    </w:pPr>
    <w:rPr>
      <w:rFonts w:ascii="Arial" w:eastAsia="Times New Roman" w:hAnsi="Arial" w:cs="Times New Roman"/>
      <w:szCs w:val="24"/>
    </w:rPr>
  </w:style>
  <w:style w:type="paragraph" w:styleId="Caption">
    <w:name w:val="caption"/>
    <w:basedOn w:val="Normal"/>
    <w:next w:val="Normal"/>
    <w:qFormat/>
    <w:rsid w:val="00B2602F"/>
    <w:pPr>
      <w:spacing w:before="120" w:after="120" w:line="240" w:lineRule="auto"/>
    </w:pPr>
    <w:rPr>
      <w:rFonts w:ascii="Times New Roman" w:eastAsia="Times New Roman" w:hAnsi="Times New Roman" w:cs="Times New Roman"/>
      <w:b/>
      <w:bCs/>
      <w:sz w:val="20"/>
      <w:szCs w:val="20"/>
    </w:rPr>
  </w:style>
  <w:style w:type="table" w:styleId="LightGrid-Accent5">
    <w:name w:val="Light Grid Accent 5"/>
    <w:basedOn w:val="TableNormal"/>
    <w:uiPriority w:val="62"/>
    <w:rsid w:val="00705AA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
    <w:name w:val="Medium Shading 2"/>
    <w:basedOn w:val="TableNormal"/>
    <w:uiPriority w:val="64"/>
    <w:rsid w:val="0020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20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202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E34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E348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B9778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2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2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62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629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629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629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5338"/>
    <w:pPr>
      <w:spacing w:after="0" w:line="240" w:lineRule="auto"/>
    </w:pPr>
  </w:style>
  <w:style w:type="table" w:styleId="TableGrid">
    <w:name w:val="Table Grid"/>
    <w:basedOn w:val="TableNormal"/>
    <w:uiPriority w:val="59"/>
    <w:rsid w:val="00D55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1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505"/>
    <w:rPr>
      <w:rFonts w:ascii="Tahoma" w:hAnsi="Tahoma" w:cs="Tahoma"/>
      <w:sz w:val="16"/>
      <w:szCs w:val="16"/>
    </w:rPr>
  </w:style>
  <w:style w:type="paragraph" w:styleId="Header">
    <w:name w:val="header"/>
    <w:basedOn w:val="Normal"/>
    <w:link w:val="HeaderChar"/>
    <w:uiPriority w:val="99"/>
    <w:unhideWhenUsed/>
    <w:rsid w:val="00197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969"/>
  </w:style>
  <w:style w:type="paragraph" w:styleId="Footer">
    <w:name w:val="footer"/>
    <w:basedOn w:val="Normal"/>
    <w:link w:val="FooterChar"/>
    <w:uiPriority w:val="99"/>
    <w:unhideWhenUsed/>
    <w:rsid w:val="00197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969"/>
  </w:style>
  <w:style w:type="paragraph" w:styleId="ListParagraph">
    <w:name w:val="List Paragraph"/>
    <w:basedOn w:val="Normal"/>
    <w:uiPriority w:val="34"/>
    <w:qFormat/>
    <w:rsid w:val="00B8376A"/>
    <w:pPr>
      <w:ind w:left="720"/>
      <w:contextualSpacing/>
    </w:pPr>
  </w:style>
  <w:style w:type="table" w:styleId="LightList-Accent5">
    <w:name w:val="Light List Accent 5"/>
    <w:basedOn w:val="TableNormal"/>
    <w:uiPriority w:val="61"/>
    <w:rsid w:val="005D690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oSpacingChar">
    <w:name w:val="No Spacing Char"/>
    <w:basedOn w:val="DefaultParagraphFont"/>
    <w:link w:val="NoSpacing"/>
    <w:uiPriority w:val="1"/>
    <w:rsid w:val="00207E9D"/>
  </w:style>
  <w:style w:type="character" w:customStyle="1" w:styleId="Heading1Char">
    <w:name w:val="Heading 1 Char"/>
    <w:basedOn w:val="DefaultParagraphFont"/>
    <w:link w:val="Heading1"/>
    <w:uiPriority w:val="9"/>
    <w:rsid w:val="00A629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29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29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629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629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62923"/>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semiHidden/>
    <w:unhideWhenUsed/>
    <w:qFormat/>
    <w:rsid w:val="00A62923"/>
    <w:pPr>
      <w:outlineLvl w:val="9"/>
    </w:pPr>
    <w:rPr>
      <w:lang w:eastAsia="ja-JP"/>
    </w:rPr>
  </w:style>
  <w:style w:type="paragraph" w:styleId="TOC1">
    <w:name w:val="toc 1"/>
    <w:basedOn w:val="Normal"/>
    <w:next w:val="Normal"/>
    <w:autoRedefine/>
    <w:uiPriority w:val="39"/>
    <w:unhideWhenUsed/>
    <w:qFormat/>
    <w:rsid w:val="00E439A7"/>
    <w:pPr>
      <w:tabs>
        <w:tab w:val="right" w:leader="dot" w:pos="9350"/>
      </w:tabs>
      <w:spacing w:after="100"/>
    </w:pPr>
    <w:rPr>
      <w:rFonts w:ascii="Bookman Old Style" w:hAnsi="Bookman Old Style"/>
      <w:noProof/>
      <w:sz w:val="32"/>
      <w:szCs w:val="32"/>
    </w:rPr>
  </w:style>
  <w:style w:type="paragraph" w:styleId="TOC2">
    <w:name w:val="toc 2"/>
    <w:basedOn w:val="Normal"/>
    <w:next w:val="Normal"/>
    <w:autoRedefine/>
    <w:uiPriority w:val="39"/>
    <w:unhideWhenUsed/>
    <w:qFormat/>
    <w:rsid w:val="00A62923"/>
    <w:pPr>
      <w:spacing w:after="100"/>
      <w:ind w:left="220"/>
    </w:pPr>
  </w:style>
  <w:style w:type="paragraph" w:styleId="TOC3">
    <w:name w:val="toc 3"/>
    <w:basedOn w:val="Normal"/>
    <w:next w:val="Normal"/>
    <w:autoRedefine/>
    <w:uiPriority w:val="39"/>
    <w:unhideWhenUsed/>
    <w:qFormat/>
    <w:rsid w:val="00A62923"/>
    <w:pPr>
      <w:spacing w:after="100"/>
      <w:ind w:left="440"/>
    </w:pPr>
  </w:style>
  <w:style w:type="character" w:styleId="Hyperlink">
    <w:name w:val="Hyperlink"/>
    <w:basedOn w:val="DefaultParagraphFont"/>
    <w:uiPriority w:val="99"/>
    <w:unhideWhenUsed/>
    <w:rsid w:val="00A62923"/>
    <w:rPr>
      <w:color w:val="0000FF" w:themeColor="hyperlink"/>
      <w:u w:val="single"/>
    </w:rPr>
  </w:style>
  <w:style w:type="paragraph" w:styleId="TOC4">
    <w:name w:val="toc 4"/>
    <w:basedOn w:val="Normal"/>
    <w:next w:val="Normal"/>
    <w:autoRedefine/>
    <w:uiPriority w:val="39"/>
    <w:unhideWhenUsed/>
    <w:rsid w:val="00A62923"/>
    <w:pPr>
      <w:spacing w:after="100"/>
      <w:ind w:left="660"/>
    </w:pPr>
  </w:style>
  <w:style w:type="paragraph" w:styleId="TOC5">
    <w:name w:val="toc 5"/>
    <w:basedOn w:val="Normal"/>
    <w:next w:val="Normal"/>
    <w:autoRedefine/>
    <w:uiPriority w:val="39"/>
    <w:unhideWhenUsed/>
    <w:rsid w:val="00A62923"/>
    <w:pPr>
      <w:spacing w:after="100"/>
      <w:ind w:left="880"/>
    </w:pPr>
  </w:style>
  <w:style w:type="paragraph" w:styleId="TOC6">
    <w:name w:val="toc 6"/>
    <w:basedOn w:val="Normal"/>
    <w:next w:val="Normal"/>
    <w:autoRedefine/>
    <w:uiPriority w:val="39"/>
    <w:unhideWhenUsed/>
    <w:rsid w:val="00A62923"/>
    <w:pPr>
      <w:spacing w:after="100"/>
      <w:ind w:left="1100"/>
    </w:pPr>
  </w:style>
  <w:style w:type="character" w:customStyle="1" w:styleId="Heading7Char">
    <w:name w:val="Heading 7 Char"/>
    <w:basedOn w:val="DefaultParagraphFont"/>
    <w:link w:val="Heading7"/>
    <w:uiPriority w:val="9"/>
    <w:rsid w:val="00A62923"/>
    <w:rPr>
      <w:rFonts w:asciiTheme="majorHAnsi" w:eastAsiaTheme="majorEastAsia" w:hAnsiTheme="majorHAnsi" w:cstheme="majorBidi"/>
      <w:i/>
      <w:iCs/>
      <w:color w:val="404040" w:themeColor="text1" w:themeTint="BF"/>
    </w:rPr>
  </w:style>
  <w:style w:type="paragraph" w:styleId="TOC7">
    <w:name w:val="toc 7"/>
    <w:basedOn w:val="Normal"/>
    <w:next w:val="Normal"/>
    <w:autoRedefine/>
    <w:uiPriority w:val="39"/>
    <w:unhideWhenUsed/>
    <w:rsid w:val="00E439A7"/>
    <w:pPr>
      <w:spacing w:after="100"/>
      <w:ind w:left="1320"/>
    </w:pPr>
  </w:style>
  <w:style w:type="paragraph" w:customStyle="1" w:styleId="Workcited">
    <w:name w:val="Work cited"/>
    <w:basedOn w:val="Normal"/>
    <w:qFormat/>
    <w:rsid w:val="002076DE"/>
    <w:pPr>
      <w:spacing w:after="0" w:line="480" w:lineRule="auto"/>
    </w:pPr>
    <w:rPr>
      <w:rFonts w:ascii="Arial" w:eastAsia="Times New Roman" w:hAnsi="Arial" w:cs="Times New Roman"/>
      <w:szCs w:val="24"/>
    </w:rPr>
  </w:style>
  <w:style w:type="paragraph" w:styleId="Caption">
    <w:name w:val="caption"/>
    <w:basedOn w:val="Normal"/>
    <w:next w:val="Normal"/>
    <w:qFormat/>
    <w:rsid w:val="00B2602F"/>
    <w:pPr>
      <w:spacing w:before="120" w:after="120" w:line="240" w:lineRule="auto"/>
    </w:pPr>
    <w:rPr>
      <w:rFonts w:ascii="Times New Roman" w:eastAsia="Times New Roman" w:hAnsi="Times New Roman" w:cs="Times New Roman"/>
      <w:b/>
      <w:bCs/>
      <w:sz w:val="20"/>
      <w:szCs w:val="20"/>
    </w:rPr>
  </w:style>
  <w:style w:type="table" w:styleId="LightGrid-Accent5">
    <w:name w:val="Light Grid Accent 5"/>
    <w:basedOn w:val="TableNormal"/>
    <w:uiPriority w:val="62"/>
    <w:rsid w:val="00705AA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
    <w:name w:val="Medium Shading 2"/>
    <w:basedOn w:val="TableNormal"/>
    <w:uiPriority w:val="64"/>
    <w:rsid w:val="0020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20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202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E34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E348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B9778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77962">
      <w:bodyDiv w:val="1"/>
      <w:marLeft w:val="0"/>
      <w:marRight w:val="0"/>
      <w:marTop w:val="0"/>
      <w:marBottom w:val="0"/>
      <w:divBdr>
        <w:top w:val="none" w:sz="0" w:space="0" w:color="auto"/>
        <w:left w:val="none" w:sz="0" w:space="0" w:color="auto"/>
        <w:bottom w:val="none" w:sz="0" w:space="0" w:color="auto"/>
        <w:right w:val="none" w:sz="0" w:space="0" w:color="auto"/>
      </w:divBdr>
    </w:div>
    <w:div w:id="206643970">
      <w:bodyDiv w:val="1"/>
      <w:marLeft w:val="0"/>
      <w:marRight w:val="0"/>
      <w:marTop w:val="0"/>
      <w:marBottom w:val="0"/>
      <w:divBdr>
        <w:top w:val="none" w:sz="0" w:space="0" w:color="auto"/>
        <w:left w:val="none" w:sz="0" w:space="0" w:color="auto"/>
        <w:bottom w:val="none" w:sz="0" w:space="0" w:color="auto"/>
        <w:right w:val="none" w:sz="0" w:space="0" w:color="auto"/>
      </w:divBdr>
    </w:div>
    <w:div w:id="378556436">
      <w:bodyDiv w:val="1"/>
      <w:marLeft w:val="0"/>
      <w:marRight w:val="0"/>
      <w:marTop w:val="0"/>
      <w:marBottom w:val="0"/>
      <w:divBdr>
        <w:top w:val="none" w:sz="0" w:space="0" w:color="auto"/>
        <w:left w:val="none" w:sz="0" w:space="0" w:color="auto"/>
        <w:bottom w:val="none" w:sz="0" w:space="0" w:color="auto"/>
        <w:right w:val="none" w:sz="0" w:space="0" w:color="auto"/>
      </w:divBdr>
    </w:div>
    <w:div w:id="487408244">
      <w:bodyDiv w:val="1"/>
      <w:marLeft w:val="0"/>
      <w:marRight w:val="0"/>
      <w:marTop w:val="0"/>
      <w:marBottom w:val="0"/>
      <w:divBdr>
        <w:top w:val="none" w:sz="0" w:space="0" w:color="auto"/>
        <w:left w:val="none" w:sz="0" w:space="0" w:color="auto"/>
        <w:bottom w:val="none" w:sz="0" w:space="0" w:color="auto"/>
        <w:right w:val="none" w:sz="0" w:space="0" w:color="auto"/>
      </w:divBdr>
    </w:div>
    <w:div w:id="633143469">
      <w:bodyDiv w:val="1"/>
      <w:marLeft w:val="0"/>
      <w:marRight w:val="0"/>
      <w:marTop w:val="0"/>
      <w:marBottom w:val="0"/>
      <w:divBdr>
        <w:top w:val="none" w:sz="0" w:space="0" w:color="auto"/>
        <w:left w:val="none" w:sz="0" w:space="0" w:color="auto"/>
        <w:bottom w:val="none" w:sz="0" w:space="0" w:color="auto"/>
        <w:right w:val="none" w:sz="0" w:space="0" w:color="auto"/>
      </w:divBdr>
    </w:div>
    <w:div w:id="749935451">
      <w:bodyDiv w:val="1"/>
      <w:marLeft w:val="0"/>
      <w:marRight w:val="0"/>
      <w:marTop w:val="0"/>
      <w:marBottom w:val="0"/>
      <w:divBdr>
        <w:top w:val="none" w:sz="0" w:space="0" w:color="auto"/>
        <w:left w:val="none" w:sz="0" w:space="0" w:color="auto"/>
        <w:bottom w:val="none" w:sz="0" w:space="0" w:color="auto"/>
        <w:right w:val="none" w:sz="0" w:space="0" w:color="auto"/>
      </w:divBdr>
    </w:div>
    <w:div w:id="899753872">
      <w:bodyDiv w:val="1"/>
      <w:marLeft w:val="0"/>
      <w:marRight w:val="0"/>
      <w:marTop w:val="0"/>
      <w:marBottom w:val="0"/>
      <w:divBdr>
        <w:top w:val="none" w:sz="0" w:space="0" w:color="auto"/>
        <w:left w:val="none" w:sz="0" w:space="0" w:color="auto"/>
        <w:bottom w:val="none" w:sz="0" w:space="0" w:color="auto"/>
        <w:right w:val="none" w:sz="0" w:space="0" w:color="auto"/>
      </w:divBdr>
    </w:div>
    <w:div w:id="1252469571">
      <w:bodyDiv w:val="1"/>
      <w:marLeft w:val="0"/>
      <w:marRight w:val="0"/>
      <w:marTop w:val="0"/>
      <w:marBottom w:val="0"/>
      <w:divBdr>
        <w:top w:val="none" w:sz="0" w:space="0" w:color="auto"/>
        <w:left w:val="none" w:sz="0" w:space="0" w:color="auto"/>
        <w:bottom w:val="none" w:sz="0" w:space="0" w:color="auto"/>
        <w:right w:val="none" w:sz="0" w:space="0" w:color="auto"/>
      </w:divBdr>
    </w:div>
    <w:div w:id="1456867111">
      <w:bodyDiv w:val="1"/>
      <w:marLeft w:val="0"/>
      <w:marRight w:val="0"/>
      <w:marTop w:val="0"/>
      <w:marBottom w:val="0"/>
      <w:divBdr>
        <w:top w:val="none" w:sz="0" w:space="0" w:color="auto"/>
        <w:left w:val="none" w:sz="0" w:space="0" w:color="auto"/>
        <w:bottom w:val="none" w:sz="0" w:space="0" w:color="auto"/>
        <w:right w:val="none" w:sz="0" w:space="0" w:color="auto"/>
      </w:divBdr>
    </w:div>
    <w:div w:id="1472022233">
      <w:bodyDiv w:val="1"/>
      <w:marLeft w:val="0"/>
      <w:marRight w:val="0"/>
      <w:marTop w:val="0"/>
      <w:marBottom w:val="0"/>
      <w:divBdr>
        <w:top w:val="none" w:sz="0" w:space="0" w:color="auto"/>
        <w:left w:val="none" w:sz="0" w:space="0" w:color="auto"/>
        <w:bottom w:val="none" w:sz="0" w:space="0" w:color="auto"/>
        <w:right w:val="none" w:sz="0" w:space="0" w:color="auto"/>
      </w:divBdr>
    </w:div>
    <w:div w:id="1570194016">
      <w:bodyDiv w:val="1"/>
      <w:marLeft w:val="0"/>
      <w:marRight w:val="0"/>
      <w:marTop w:val="0"/>
      <w:marBottom w:val="0"/>
      <w:divBdr>
        <w:top w:val="none" w:sz="0" w:space="0" w:color="auto"/>
        <w:left w:val="none" w:sz="0" w:space="0" w:color="auto"/>
        <w:bottom w:val="none" w:sz="0" w:space="0" w:color="auto"/>
        <w:right w:val="none" w:sz="0" w:space="0" w:color="auto"/>
      </w:divBdr>
    </w:div>
    <w:div w:id="203734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chart" Target="charts/chart4.xml"/><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hart" Target="charts/chart8.xml"/><Relationship Id="rId46"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2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chart" Target="charts/chart7.xml"/><Relationship Id="rId40" Type="http://schemas.openxmlformats.org/officeDocument/2006/relationships/image" Target="media/image23.jpeg"/><Relationship Id="rId45" Type="http://schemas.openxmlformats.org/officeDocument/2006/relationships/image" Target="media/image28.emf"/><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chart" Target="charts/chart6.xml"/><Relationship Id="rId49" Type="http://schemas.openxmlformats.org/officeDocument/2006/relationships/image" Target="media/image32.emf"/><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chart" Target="charts/chart5.xml"/><Relationship Id="rId43" Type="http://schemas.openxmlformats.org/officeDocument/2006/relationships/image" Target="media/image26.jpeg"/><Relationship Id="rId48" Type="http://schemas.openxmlformats.org/officeDocument/2006/relationships/image" Target="media/image31.emf"/><Relationship Id="rId8" Type="http://schemas.openxmlformats.org/officeDocument/2006/relationships/footnotes" Target="footnotes.xml"/><Relationship Id="rId51" Type="http://schemas.openxmlformats.org/officeDocument/2006/relationships/image" Target="media/image34.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Sheet1!$A$80:$A$97</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Sheet1!$B$80:$B$97</c:f>
              <c:numCache>
                <c:formatCode>#,##0</c:formatCode>
                <c:ptCount val="18"/>
                <c:pt idx="0">
                  <c:v>6845</c:v>
                </c:pt>
                <c:pt idx="1">
                  <c:v>6125</c:v>
                </c:pt>
                <c:pt idx="2">
                  <c:v>5338</c:v>
                </c:pt>
                <c:pt idx="3">
                  <c:v>4787</c:v>
                </c:pt>
                <c:pt idx="4">
                  <c:v>4470</c:v>
                </c:pt>
                <c:pt idx="5">
                  <c:v>5274</c:v>
                </c:pt>
                <c:pt idx="6">
                  <c:v>4904</c:v>
                </c:pt>
                <c:pt idx="7">
                  <c:v>4240</c:v>
                </c:pt>
                <c:pt idx="8">
                  <c:v>3440</c:v>
                </c:pt>
                <c:pt idx="9">
                  <c:v>3047</c:v>
                </c:pt>
                <c:pt idx="10">
                  <c:v>2826</c:v>
                </c:pt>
                <c:pt idx="11">
                  <c:v>2517</c:v>
                </c:pt>
                <c:pt idx="12">
                  <c:v>1936</c:v>
                </c:pt>
                <c:pt idx="13">
                  <c:v>1373</c:v>
                </c:pt>
                <c:pt idx="14" formatCode="General">
                  <c:v>930</c:v>
                </c:pt>
                <c:pt idx="15" formatCode="General">
                  <c:v>719</c:v>
                </c:pt>
                <c:pt idx="16" formatCode="General">
                  <c:v>538</c:v>
                </c:pt>
                <c:pt idx="17" formatCode="General">
                  <c:v>472</c:v>
                </c:pt>
              </c:numCache>
            </c:numRef>
          </c:val>
          <c:extLst xmlns:c16r2="http://schemas.microsoft.com/office/drawing/2015/06/chart">
            <c:ext xmlns:c16="http://schemas.microsoft.com/office/drawing/2014/chart" uri="{C3380CC4-5D6E-409C-BE32-E72D297353CC}">
              <c16:uniqueId val="{00000000-0A38-473D-B538-EBBB79ECF758}"/>
            </c:ext>
          </c:extLst>
        </c:ser>
        <c:ser>
          <c:idx val="1"/>
          <c:order val="1"/>
          <c:invertIfNegative val="0"/>
          <c:cat>
            <c:strRef>
              <c:f>Sheet1!$A$80:$A$97</c:f>
              <c:strCache>
                <c:ptCount val="18"/>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years and over</c:v>
                </c:pt>
              </c:strCache>
            </c:strRef>
          </c:cat>
          <c:val>
            <c:numRef>
              <c:f>Sheet1!$C$80:$C$97</c:f>
              <c:numCache>
                <c:formatCode>General</c:formatCode>
                <c:ptCount val="18"/>
                <c:pt idx="0">
                  <c:v>11.5</c:v>
                </c:pt>
                <c:pt idx="1">
                  <c:v>10.199999999999999</c:v>
                </c:pt>
                <c:pt idx="2">
                  <c:v>8.9</c:v>
                </c:pt>
                <c:pt idx="3">
                  <c:v>8</c:v>
                </c:pt>
                <c:pt idx="4">
                  <c:v>7.5</c:v>
                </c:pt>
                <c:pt idx="5">
                  <c:v>8.8000000000000007</c:v>
                </c:pt>
                <c:pt idx="6">
                  <c:v>8.1999999999999993</c:v>
                </c:pt>
                <c:pt idx="7">
                  <c:v>7.1</c:v>
                </c:pt>
                <c:pt idx="8">
                  <c:v>5.8</c:v>
                </c:pt>
                <c:pt idx="9">
                  <c:v>5.0999999999999996</c:v>
                </c:pt>
                <c:pt idx="10">
                  <c:v>4.7</c:v>
                </c:pt>
                <c:pt idx="11">
                  <c:v>4.2</c:v>
                </c:pt>
                <c:pt idx="12">
                  <c:v>3.2</c:v>
                </c:pt>
                <c:pt idx="13">
                  <c:v>2.2999999999999998</c:v>
                </c:pt>
                <c:pt idx="14">
                  <c:v>1.6</c:v>
                </c:pt>
                <c:pt idx="15">
                  <c:v>1.2</c:v>
                </c:pt>
                <c:pt idx="16">
                  <c:v>0.9</c:v>
                </c:pt>
                <c:pt idx="17">
                  <c:v>0.8</c:v>
                </c:pt>
              </c:numCache>
            </c:numRef>
          </c:val>
          <c:extLst xmlns:c16r2="http://schemas.microsoft.com/office/drawing/2015/06/chart">
            <c:ext xmlns:c16="http://schemas.microsoft.com/office/drawing/2014/chart" uri="{C3380CC4-5D6E-409C-BE32-E72D297353CC}">
              <c16:uniqueId val="{00000001-0A38-473D-B538-EBBB79ECF758}"/>
            </c:ext>
          </c:extLst>
        </c:ser>
        <c:dLbls>
          <c:showLegendKey val="0"/>
          <c:showVal val="0"/>
          <c:showCatName val="0"/>
          <c:showSerName val="0"/>
          <c:showPercent val="0"/>
          <c:showBubbleSize val="0"/>
        </c:dLbls>
        <c:gapWidth val="150"/>
        <c:axId val="194724224"/>
        <c:axId val="230793216"/>
      </c:barChart>
      <c:catAx>
        <c:axId val="194724224"/>
        <c:scaling>
          <c:orientation val="minMax"/>
        </c:scaling>
        <c:delete val="0"/>
        <c:axPos val="b"/>
        <c:numFmt formatCode="General" sourceLinked="0"/>
        <c:majorTickMark val="out"/>
        <c:minorTickMark val="none"/>
        <c:tickLblPos val="nextTo"/>
        <c:crossAx val="230793216"/>
        <c:crosses val="autoZero"/>
        <c:auto val="1"/>
        <c:lblAlgn val="ctr"/>
        <c:lblOffset val="100"/>
        <c:noMultiLvlLbl val="0"/>
      </c:catAx>
      <c:valAx>
        <c:axId val="230793216"/>
        <c:scaling>
          <c:orientation val="minMax"/>
        </c:scaling>
        <c:delete val="0"/>
        <c:axPos val="l"/>
        <c:majorGridlines/>
        <c:numFmt formatCode="#,##0" sourceLinked="1"/>
        <c:majorTickMark val="out"/>
        <c:minorTickMark val="none"/>
        <c:tickLblPos val="nextTo"/>
        <c:crossAx val="1947242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Fire</a:t>
            </a:r>
            <a:r>
              <a:rPr lang="en-US" baseline="0"/>
              <a:t> Department Funding Sources</a:t>
            </a:r>
            <a:endParaRPr lang="en-US"/>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Sheet1!$B$3:$B$6</c:f>
              <c:strCache>
                <c:ptCount val="4"/>
                <c:pt idx="0">
                  <c:v>General Fund</c:v>
                </c:pt>
                <c:pt idx="1">
                  <c:v>Ambulance Utility</c:v>
                </c:pt>
                <c:pt idx="2">
                  <c:v>Contracts</c:v>
                </c:pt>
                <c:pt idx="3">
                  <c:v>Alternative</c:v>
                </c:pt>
              </c:strCache>
            </c:strRef>
          </c:cat>
          <c:val>
            <c:numRef>
              <c:f>Sheet1!$C$3:$C$6</c:f>
              <c:numCache>
                <c:formatCode>0%</c:formatCode>
                <c:ptCount val="4"/>
                <c:pt idx="0">
                  <c:v>0.5</c:v>
                </c:pt>
                <c:pt idx="1">
                  <c:v>0.44</c:v>
                </c:pt>
                <c:pt idx="2">
                  <c:v>0.05</c:v>
                </c:pt>
                <c:pt idx="3">
                  <c:v>0.01</c:v>
                </c:pt>
              </c:numCache>
            </c:numRef>
          </c:val>
          <c:extLst xmlns:c16r2="http://schemas.microsoft.com/office/drawing/2015/06/chart">
            <c:ext xmlns:c16="http://schemas.microsoft.com/office/drawing/2014/chart" uri="{C3380CC4-5D6E-409C-BE32-E72D297353CC}">
              <c16:uniqueId val="{00000000-1F54-4312-9524-5F0D1ED77F89}"/>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Incidents per 1,000 population - 2015</a:t>
            </a: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Sheet1!$D$6:$E$6</c:f>
              <c:numCache>
                <c:formatCode>General</c:formatCode>
                <c:ptCount val="2"/>
                <c:pt idx="0">
                  <c:v>66.7</c:v>
                </c:pt>
                <c:pt idx="1">
                  <c:v>74.7</c:v>
                </c:pt>
              </c:numCache>
            </c:numRef>
          </c:val>
          <c:extLst xmlns:c16r2="http://schemas.microsoft.com/office/drawing/2015/06/chart">
            <c:ext xmlns:c16="http://schemas.microsoft.com/office/drawing/2014/chart" uri="{C3380CC4-5D6E-409C-BE32-E72D297353CC}">
              <c16:uniqueId val="{00000000-41D4-416E-85A8-A8A40558B17C}"/>
            </c:ext>
          </c:extLst>
        </c:ser>
        <c:dLbls>
          <c:dLblPos val="outEnd"/>
          <c:showLegendKey val="0"/>
          <c:showVal val="1"/>
          <c:showCatName val="0"/>
          <c:showSerName val="0"/>
          <c:showPercent val="0"/>
          <c:showBubbleSize val="0"/>
        </c:dLbls>
        <c:gapWidth val="150"/>
        <c:axId val="430303104"/>
        <c:axId val="430935040"/>
      </c:barChart>
      <c:catAx>
        <c:axId val="430303104"/>
        <c:scaling>
          <c:orientation val="minMax"/>
        </c:scaling>
        <c:delete val="1"/>
        <c:axPos val="b"/>
        <c:title>
          <c:tx>
            <c:rich>
              <a:bodyPr/>
              <a:lstStyle/>
              <a:p>
                <a:pPr>
                  <a:defRPr/>
                </a:pPr>
                <a:r>
                  <a:rPr lang="en-US"/>
                  <a:t>Regional</a:t>
                </a:r>
                <a:r>
                  <a:rPr lang="en-US" baseline="0"/>
                  <a:t> Median</a:t>
                </a:r>
                <a:endParaRPr lang="en-US"/>
              </a:p>
            </c:rich>
          </c:tx>
          <c:layout>
            <c:manualLayout>
              <c:xMode val="edge"/>
              <c:yMode val="edge"/>
              <c:x val="0.18718175853018371"/>
              <c:y val="0.89141611159882606"/>
            </c:manualLayout>
          </c:layout>
          <c:overlay val="0"/>
        </c:title>
        <c:majorTickMark val="out"/>
        <c:minorTickMark val="none"/>
        <c:tickLblPos val="nextTo"/>
        <c:crossAx val="430935040"/>
        <c:crosses val="autoZero"/>
        <c:auto val="1"/>
        <c:lblAlgn val="ctr"/>
        <c:lblOffset val="100"/>
        <c:noMultiLvlLbl val="0"/>
      </c:catAx>
      <c:valAx>
        <c:axId val="430935040"/>
        <c:scaling>
          <c:orientation val="minMax"/>
        </c:scaling>
        <c:delete val="0"/>
        <c:axPos val="l"/>
        <c:majorGridlines/>
        <c:numFmt formatCode="General" sourceLinked="1"/>
        <c:majorTickMark val="out"/>
        <c:minorTickMark val="none"/>
        <c:tickLblPos val="nextTo"/>
        <c:crossAx val="430303104"/>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Call</a:t>
            </a:r>
            <a:r>
              <a:rPr lang="en-US" baseline="0"/>
              <a:t> Volume</a:t>
            </a:r>
            <a:endParaRPr lang="en-US"/>
          </a:p>
        </c:rich>
      </c:tx>
      <c:overlay val="0"/>
    </c:title>
    <c:autoTitleDeleted val="0"/>
    <c:plotArea>
      <c:layout/>
      <c:lineChart>
        <c:grouping val="stacked"/>
        <c:varyColors val="0"/>
        <c:ser>
          <c:idx val="1"/>
          <c:order val="0"/>
          <c:tx>
            <c:strRef>
              <c:f>Sheet3!$B$7</c:f>
              <c:strCache>
                <c:ptCount val="1"/>
                <c:pt idx="0">
                  <c:v>Calls</c:v>
                </c:pt>
              </c:strCache>
            </c:strRef>
          </c:tx>
          <c:marker>
            <c:symbol val="none"/>
          </c:marker>
          <c:dLbls>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Sheet3!$A$8:$A$12</c:f>
              <c:numCache>
                <c:formatCode>General</c:formatCode>
                <c:ptCount val="5"/>
                <c:pt idx="0">
                  <c:v>2011</c:v>
                </c:pt>
                <c:pt idx="1">
                  <c:v>2012</c:v>
                </c:pt>
                <c:pt idx="2">
                  <c:v>2013</c:v>
                </c:pt>
                <c:pt idx="3">
                  <c:v>2014</c:v>
                </c:pt>
                <c:pt idx="4">
                  <c:v>2015</c:v>
                </c:pt>
              </c:numCache>
            </c:numRef>
          </c:cat>
          <c:val>
            <c:numRef>
              <c:f>Sheet3!$B$8:$B$12</c:f>
              <c:numCache>
                <c:formatCode>General</c:formatCode>
                <c:ptCount val="5"/>
                <c:pt idx="0">
                  <c:v>4232</c:v>
                </c:pt>
                <c:pt idx="1">
                  <c:v>4397</c:v>
                </c:pt>
                <c:pt idx="2">
                  <c:v>4331</c:v>
                </c:pt>
                <c:pt idx="3">
                  <c:v>4701</c:v>
                </c:pt>
                <c:pt idx="4">
                  <c:v>5097</c:v>
                </c:pt>
              </c:numCache>
            </c:numRef>
          </c:val>
          <c:smooth val="0"/>
          <c:extLst xmlns:c16r2="http://schemas.microsoft.com/office/drawing/2015/06/chart">
            <c:ext xmlns:c16="http://schemas.microsoft.com/office/drawing/2014/chart" uri="{C3380CC4-5D6E-409C-BE32-E72D297353CC}">
              <c16:uniqueId val="{00000000-B1F2-40AE-843C-763CA33C8AC4}"/>
            </c:ext>
          </c:extLst>
        </c:ser>
        <c:dLbls>
          <c:showLegendKey val="0"/>
          <c:showVal val="0"/>
          <c:showCatName val="0"/>
          <c:showSerName val="0"/>
          <c:showPercent val="0"/>
          <c:showBubbleSize val="0"/>
        </c:dLbls>
        <c:marker val="1"/>
        <c:smooth val="0"/>
        <c:axId val="39428096"/>
        <c:axId val="39429632"/>
      </c:lineChart>
      <c:catAx>
        <c:axId val="3942809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9429632"/>
        <c:crosses val="autoZero"/>
        <c:auto val="1"/>
        <c:lblAlgn val="ctr"/>
        <c:lblOffset val="100"/>
        <c:noMultiLvlLbl val="0"/>
      </c:catAx>
      <c:valAx>
        <c:axId val="3942963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9428096"/>
        <c:crosses val="autoZero"/>
        <c:crossBetween val="between"/>
      </c:valAx>
      <c:spPr>
        <a:solidFill>
          <a:schemeClr val="accent5">
            <a:lumMod val="20000"/>
            <a:lumOff val="80000"/>
          </a:schemeClr>
        </a:solidFill>
      </c:spPr>
    </c:plotArea>
    <c:plotVisOnly val="1"/>
    <c:dispBlanksAs val="zero"/>
    <c:showDLblsOverMax val="0"/>
  </c:chart>
  <c:spPr>
    <a:solidFill>
      <a:schemeClr val="lt1"/>
    </a:solidFill>
    <a:ln w="25400" cap="flat" cmpd="sng" algn="ctr">
      <a:solidFill>
        <a:schemeClr val="accent5"/>
      </a:solidFill>
      <a:prstDash val="soli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Sheet1!$A$32:$A$43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Sheet1!$D$32:$D$43</c:f>
              <c:numCache>
                <c:formatCode>0.00%</c:formatCode>
                <c:ptCount val="12"/>
                <c:pt idx="0">
                  <c:v>7.2927276431045018E-2</c:v>
                </c:pt>
                <c:pt idx="1">
                  <c:v>6.7936443267467922E-2</c:v>
                </c:pt>
                <c:pt idx="2">
                  <c:v>8.2807089020167035E-2</c:v>
                </c:pt>
                <c:pt idx="3">
                  <c:v>7.8936646974943986E-2</c:v>
                </c:pt>
                <c:pt idx="4">
                  <c:v>8.3825626400488892E-2</c:v>
                </c:pt>
                <c:pt idx="5">
                  <c:v>8.5353432470971685E-2</c:v>
                </c:pt>
                <c:pt idx="6">
                  <c:v>9.1770217966999384E-2</c:v>
                </c:pt>
                <c:pt idx="7">
                  <c:v>8.973314320635567E-2</c:v>
                </c:pt>
                <c:pt idx="8">
                  <c:v>8.6270116113261353E-2</c:v>
                </c:pt>
                <c:pt idx="9">
                  <c:v>9.0038704420452226E-2</c:v>
                </c:pt>
                <c:pt idx="10">
                  <c:v>8.993685068242005E-2</c:v>
                </c:pt>
                <c:pt idx="11">
                  <c:v>8.0464453045426765E-2</c:v>
                </c:pt>
              </c:numCache>
            </c:numRef>
          </c:val>
          <c:extLst xmlns:c16r2="http://schemas.microsoft.com/office/drawing/2015/06/chart">
            <c:ext xmlns:c16="http://schemas.microsoft.com/office/drawing/2014/chart" uri="{C3380CC4-5D6E-409C-BE32-E72D297353CC}">
              <c16:uniqueId val="{00000000-FBB9-4235-BDDA-E8EC2A9F3C87}"/>
            </c:ext>
          </c:extLst>
        </c:ser>
        <c:dLbls>
          <c:showLegendKey val="0"/>
          <c:showVal val="0"/>
          <c:showCatName val="0"/>
          <c:showSerName val="0"/>
          <c:showPercent val="0"/>
          <c:showBubbleSize val="0"/>
        </c:dLbls>
        <c:gapWidth val="150"/>
        <c:axId val="194717184"/>
        <c:axId val="194718720"/>
      </c:barChart>
      <c:catAx>
        <c:axId val="194717184"/>
        <c:scaling>
          <c:orientation val="minMax"/>
        </c:scaling>
        <c:delete val="0"/>
        <c:axPos val="b"/>
        <c:numFmt formatCode="General" sourceLinked="0"/>
        <c:majorTickMark val="out"/>
        <c:minorTickMark val="none"/>
        <c:tickLblPos val="nextTo"/>
        <c:crossAx val="194718720"/>
        <c:crosses val="autoZero"/>
        <c:auto val="1"/>
        <c:lblAlgn val="ctr"/>
        <c:lblOffset val="100"/>
        <c:noMultiLvlLbl val="0"/>
      </c:catAx>
      <c:valAx>
        <c:axId val="194718720"/>
        <c:scaling>
          <c:orientation val="minMax"/>
        </c:scaling>
        <c:delete val="0"/>
        <c:axPos val="l"/>
        <c:majorGridlines/>
        <c:minorGridlines>
          <c:spPr>
            <a:ln>
              <a:noFill/>
            </a:ln>
          </c:spPr>
        </c:minorGridlines>
        <c:numFmt formatCode="0%" sourceLinked="0"/>
        <c:majorTickMark val="out"/>
        <c:minorTickMark val="none"/>
        <c:tickLblPos val="nextTo"/>
        <c:crossAx val="194717184"/>
        <c:crosses val="autoZero"/>
        <c:crossBetween val="between"/>
        <c:minorUnit val="5.000000000000001E-3"/>
      </c:valAx>
    </c:plotArea>
    <c:plotVisOnly val="1"/>
    <c:dispBlanksAs val="gap"/>
    <c:showDLblsOverMax val="0"/>
  </c:chart>
  <c:spPr>
    <a:solidFill>
      <a:sysClr val="window" lastClr="FFFFFF"/>
    </a:solidFill>
    <a:ln w="12700">
      <a:noFill/>
    </a:ln>
  </c:spPr>
  <c:txPr>
    <a:bodyPr/>
    <a:lstStyle/>
    <a:p>
      <a:pPr>
        <a:defRPr b="0">
          <a:latin typeface="Calibri"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Sheet1!$A$51:$A$57</c:f>
              <c:strCache>
                <c:ptCount val="7"/>
                <c:pt idx="0">
                  <c:v>Sunday</c:v>
                </c:pt>
                <c:pt idx="1">
                  <c:v>Monday</c:v>
                </c:pt>
                <c:pt idx="2">
                  <c:v>Tuesday</c:v>
                </c:pt>
                <c:pt idx="3">
                  <c:v>Wednesday</c:v>
                </c:pt>
                <c:pt idx="4">
                  <c:v>Thursday</c:v>
                </c:pt>
                <c:pt idx="5">
                  <c:v>Friday</c:v>
                </c:pt>
                <c:pt idx="6">
                  <c:v>Saturday</c:v>
                </c:pt>
              </c:strCache>
            </c:strRef>
          </c:cat>
          <c:val>
            <c:numRef>
              <c:f>Sheet1!$D$51:$D$57</c:f>
              <c:numCache>
                <c:formatCode>0.00%</c:formatCode>
                <c:ptCount val="7"/>
                <c:pt idx="0">
                  <c:v>0.13220615196577715</c:v>
                </c:pt>
                <c:pt idx="1">
                  <c:v>0.14442860052963943</c:v>
                </c:pt>
                <c:pt idx="2">
                  <c:v>0.13770625381951518</c:v>
                </c:pt>
                <c:pt idx="3">
                  <c:v>0.14096557343654512</c:v>
                </c:pt>
                <c:pt idx="4">
                  <c:v>0.15033611733550623</c:v>
                </c:pt>
                <c:pt idx="5">
                  <c:v>0.14799348136076593</c:v>
                </c:pt>
                <c:pt idx="6">
                  <c:v>0.14636382155225097</c:v>
                </c:pt>
              </c:numCache>
            </c:numRef>
          </c:val>
          <c:extLst xmlns:c16r2="http://schemas.microsoft.com/office/drawing/2015/06/chart">
            <c:ext xmlns:c16="http://schemas.microsoft.com/office/drawing/2014/chart" uri="{C3380CC4-5D6E-409C-BE32-E72D297353CC}">
              <c16:uniqueId val="{00000000-5A56-4AEF-BA09-F295C1395B94}"/>
            </c:ext>
          </c:extLst>
        </c:ser>
        <c:dLbls>
          <c:showLegendKey val="0"/>
          <c:showVal val="0"/>
          <c:showCatName val="0"/>
          <c:showSerName val="0"/>
          <c:showPercent val="0"/>
          <c:showBubbleSize val="0"/>
        </c:dLbls>
        <c:gapWidth val="150"/>
        <c:axId val="230771328"/>
        <c:axId val="230773120"/>
      </c:barChart>
      <c:catAx>
        <c:axId val="230771328"/>
        <c:scaling>
          <c:orientation val="minMax"/>
        </c:scaling>
        <c:delete val="0"/>
        <c:axPos val="b"/>
        <c:numFmt formatCode="General" sourceLinked="0"/>
        <c:majorTickMark val="out"/>
        <c:minorTickMark val="none"/>
        <c:tickLblPos val="nextTo"/>
        <c:crossAx val="230773120"/>
        <c:crosses val="autoZero"/>
        <c:auto val="1"/>
        <c:lblAlgn val="ctr"/>
        <c:lblOffset val="100"/>
        <c:noMultiLvlLbl val="0"/>
      </c:catAx>
      <c:valAx>
        <c:axId val="230773120"/>
        <c:scaling>
          <c:orientation val="minMax"/>
          <c:min val="0"/>
        </c:scaling>
        <c:delete val="0"/>
        <c:axPos val="l"/>
        <c:majorGridlines/>
        <c:minorGridlines>
          <c:spPr>
            <a:ln>
              <a:noFill/>
            </a:ln>
          </c:spPr>
        </c:minorGridlines>
        <c:numFmt formatCode="0%" sourceLinked="0"/>
        <c:majorTickMark val="out"/>
        <c:minorTickMark val="none"/>
        <c:tickLblPos val="nextTo"/>
        <c:crossAx val="230771328"/>
        <c:crosses val="autoZero"/>
        <c:crossBetween val="between"/>
        <c:minorUnit val="1.0000000000000002E-2"/>
      </c:valAx>
    </c:plotArea>
    <c:plotVisOnly val="1"/>
    <c:dispBlanksAs val="gap"/>
    <c:showDLblsOverMax val="0"/>
  </c:chart>
  <c:spPr>
    <a:solidFill>
      <a:sysClr val="window" lastClr="FFFFFF"/>
    </a:solidFill>
    <a:ln w="12700">
      <a:noFill/>
    </a:ln>
  </c:spPr>
  <c:txPr>
    <a:bodyPr/>
    <a:lstStyle/>
    <a:p>
      <a:pPr>
        <a:defRPr b="0">
          <a:latin typeface="Calibri"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Sheet1!$G$65:$G$88</c:f>
              <c:strCache>
                <c:ptCount val="24"/>
                <c:pt idx="0">
                  <c:v>Midnight</c:v>
                </c:pt>
                <c:pt idx="1">
                  <c:v>1 AM</c:v>
                </c:pt>
                <c:pt idx="2">
                  <c:v>2 AM</c:v>
                </c:pt>
                <c:pt idx="3">
                  <c:v>3 AM</c:v>
                </c:pt>
                <c:pt idx="4">
                  <c:v>4 AM</c:v>
                </c:pt>
                <c:pt idx="5">
                  <c:v>5 AM</c:v>
                </c:pt>
                <c:pt idx="6">
                  <c:v>6 AM</c:v>
                </c:pt>
                <c:pt idx="7">
                  <c:v>7 AM</c:v>
                </c:pt>
                <c:pt idx="8">
                  <c:v>8 AM</c:v>
                </c:pt>
                <c:pt idx="9">
                  <c:v>9 AM</c:v>
                </c:pt>
                <c:pt idx="10">
                  <c:v>10 AM</c:v>
                </c:pt>
                <c:pt idx="11">
                  <c:v>11 AM</c:v>
                </c:pt>
                <c:pt idx="12">
                  <c:v>Noon</c:v>
                </c:pt>
                <c:pt idx="13">
                  <c:v>1 PM</c:v>
                </c:pt>
                <c:pt idx="14">
                  <c:v>2 PM</c:v>
                </c:pt>
                <c:pt idx="15">
                  <c:v>3 PM</c:v>
                </c:pt>
                <c:pt idx="16">
                  <c:v>4 PM</c:v>
                </c:pt>
                <c:pt idx="17">
                  <c:v>5 PM</c:v>
                </c:pt>
                <c:pt idx="18">
                  <c:v>6 PM</c:v>
                </c:pt>
                <c:pt idx="19">
                  <c:v>7 PM</c:v>
                </c:pt>
                <c:pt idx="20">
                  <c:v>8 PM</c:v>
                </c:pt>
                <c:pt idx="21">
                  <c:v>9 PM</c:v>
                </c:pt>
                <c:pt idx="22">
                  <c:v>10 PM</c:v>
                </c:pt>
                <c:pt idx="23">
                  <c:v>11 PM</c:v>
                </c:pt>
              </c:strCache>
            </c:strRef>
          </c:cat>
          <c:val>
            <c:numRef>
              <c:f>Sheet1!$H$65:$H$88</c:f>
              <c:numCache>
                <c:formatCode>0.00%</c:formatCode>
                <c:ptCount val="24"/>
                <c:pt idx="0">
                  <c:v>2.5843934688971251E-2</c:v>
                </c:pt>
                <c:pt idx="1">
                  <c:v>2.5042572373034158E-2</c:v>
                </c:pt>
                <c:pt idx="2">
                  <c:v>2.3039166583191426E-2</c:v>
                </c:pt>
                <c:pt idx="3">
                  <c:v>2.0334568766903736E-2</c:v>
                </c:pt>
                <c:pt idx="4">
                  <c:v>2.0134228187919462E-2</c:v>
                </c:pt>
                <c:pt idx="5">
                  <c:v>2.053490934588801E-2</c:v>
                </c:pt>
                <c:pt idx="6">
                  <c:v>2.5042572373034158E-2</c:v>
                </c:pt>
                <c:pt idx="7">
                  <c:v>3.1653811479515175E-2</c:v>
                </c:pt>
                <c:pt idx="8">
                  <c:v>4.2973054192126617E-2</c:v>
                </c:pt>
                <c:pt idx="9">
                  <c:v>4.8582590403686267E-2</c:v>
                </c:pt>
                <c:pt idx="10">
                  <c:v>5.1988380246418914E-2</c:v>
                </c:pt>
                <c:pt idx="11">
                  <c:v>5.7097065010517881E-2</c:v>
                </c:pt>
                <c:pt idx="12">
                  <c:v>5.7097065010517881E-2</c:v>
                </c:pt>
                <c:pt idx="13">
                  <c:v>5.3190423720324551E-2</c:v>
                </c:pt>
                <c:pt idx="14">
                  <c:v>5.7698086747470699E-2</c:v>
                </c:pt>
                <c:pt idx="15">
                  <c:v>5.689672443153361E-2</c:v>
                </c:pt>
                <c:pt idx="16">
                  <c:v>5.6696383852549333E-2</c:v>
                </c:pt>
                <c:pt idx="17">
                  <c:v>5.9501151958329161E-2</c:v>
                </c:pt>
                <c:pt idx="18">
                  <c:v>5.1287188219973953E-2</c:v>
                </c:pt>
                <c:pt idx="19">
                  <c:v>4.908344185114695E-2</c:v>
                </c:pt>
                <c:pt idx="20">
                  <c:v>5.0485825904036864E-2</c:v>
                </c:pt>
                <c:pt idx="21">
                  <c:v>4.2372032455173798E-2</c:v>
                </c:pt>
                <c:pt idx="22">
                  <c:v>4.1871181007713115E-2</c:v>
                </c:pt>
                <c:pt idx="23">
                  <c:v>3.1553641190023039E-2</c:v>
                </c:pt>
              </c:numCache>
            </c:numRef>
          </c:val>
          <c:extLst xmlns:c16r2="http://schemas.microsoft.com/office/drawing/2015/06/chart">
            <c:ext xmlns:c16="http://schemas.microsoft.com/office/drawing/2014/chart" uri="{C3380CC4-5D6E-409C-BE32-E72D297353CC}">
              <c16:uniqueId val="{00000000-1C80-43E5-8830-2359CF774436}"/>
            </c:ext>
          </c:extLst>
        </c:ser>
        <c:dLbls>
          <c:showLegendKey val="0"/>
          <c:showVal val="0"/>
          <c:showCatName val="0"/>
          <c:showSerName val="0"/>
          <c:showPercent val="0"/>
          <c:showBubbleSize val="0"/>
        </c:dLbls>
        <c:gapWidth val="150"/>
        <c:axId val="230809984"/>
        <c:axId val="230811520"/>
      </c:barChart>
      <c:catAx>
        <c:axId val="230809984"/>
        <c:scaling>
          <c:orientation val="minMax"/>
        </c:scaling>
        <c:delete val="0"/>
        <c:axPos val="b"/>
        <c:numFmt formatCode="General" sourceLinked="0"/>
        <c:majorTickMark val="out"/>
        <c:minorTickMark val="none"/>
        <c:tickLblPos val="nextTo"/>
        <c:crossAx val="230811520"/>
        <c:crosses val="autoZero"/>
        <c:auto val="1"/>
        <c:lblAlgn val="ctr"/>
        <c:lblOffset val="100"/>
        <c:noMultiLvlLbl val="0"/>
      </c:catAx>
      <c:valAx>
        <c:axId val="230811520"/>
        <c:scaling>
          <c:orientation val="minMax"/>
        </c:scaling>
        <c:delete val="0"/>
        <c:axPos val="l"/>
        <c:majorGridlines/>
        <c:minorGridlines>
          <c:spPr>
            <a:ln>
              <a:noFill/>
            </a:ln>
          </c:spPr>
        </c:minorGridlines>
        <c:numFmt formatCode="0%" sourceLinked="0"/>
        <c:majorTickMark val="out"/>
        <c:minorTickMark val="none"/>
        <c:tickLblPos val="nextTo"/>
        <c:crossAx val="230809984"/>
        <c:crosses val="autoZero"/>
        <c:crossBetween val="between"/>
        <c:minorUnit val="5.000000000000001E-3"/>
      </c:valAx>
    </c:plotArea>
    <c:plotVisOnly val="1"/>
    <c:dispBlanksAs val="gap"/>
    <c:showDLblsOverMax val="0"/>
  </c:chart>
  <c:spPr>
    <a:solidFill>
      <a:sysClr val="window" lastClr="FFFFFF"/>
    </a:solidFill>
    <a:ln w="12700">
      <a:noFill/>
    </a:ln>
  </c:spPr>
  <c:txPr>
    <a:bodyPr/>
    <a:lstStyle/>
    <a:p>
      <a:pPr>
        <a:defRPr b="0">
          <a:latin typeface="Calibri" pitchFamily="34" charset="0"/>
          <a:cs typeface="Arial" pitchFamily="34" charset="0"/>
        </a:defRPr>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7233225" cy="169735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0.68958</cdr:x>
      <cdr:y>0.88368</cdr:y>
    </cdr:from>
    <cdr:to>
      <cdr:x>0.80625</cdr:x>
      <cdr:y>0.96123</cdr:y>
    </cdr:to>
    <cdr:sp macro="" textlink="">
      <cdr:nvSpPr>
        <cdr:cNvPr id="3" name="TextBox 2"/>
        <cdr:cNvSpPr txBox="1"/>
      </cdr:nvSpPr>
      <cdr:spPr>
        <a:xfrm xmlns:a="http://schemas.openxmlformats.org/drawingml/2006/main">
          <a:off x="3152776" y="2605088"/>
          <a:ext cx="5334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PFD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2017-02-07T00:00:00</PublishDate>
  <Abstract>The Standards of Cover provides a foundational examination of the community risks, organization, response capabilities and resources of the Pasco Fire Department as they exist as of the date of the document.</Abstract>
  <CompanyAddress>1011 E. Ainsworth Ave. 
Pasco, WA.</CompanyAddress>
  <CompanyPhone>509-545-3426</CompanyPhone>
  <CompanyFax>509-543-5717</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88E83-56AC-4366-8CD4-D15592FA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5145</TotalTime>
  <Pages>66</Pages>
  <Words>14640</Words>
  <Characters>83450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Standards of Cover</vt:lpstr>
    </vt:vector>
  </TitlesOfParts>
  <Company>City of Pasco</Company>
  <LinksUpToDate>false</LinksUpToDate>
  <CharactersWithSpaces>97895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of Cover</dc:title>
  <dc:creator>David Hare</dc:creator>
  <cp:lastModifiedBy>David Hare</cp:lastModifiedBy>
  <cp:revision>15</cp:revision>
  <cp:lastPrinted>2017-03-22T18:21:00Z</cp:lastPrinted>
  <dcterms:created xsi:type="dcterms:W3CDTF">2017-02-21T20:36:00Z</dcterms:created>
  <dcterms:modified xsi:type="dcterms:W3CDTF">2017-06-12T18:16:00Z</dcterms:modified>
</cp:coreProperties>
</file>