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theme/themeOverride13.xml" ContentType="application/vnd.openxmlformats-officedocument.themeOverride+xml"/>
  <Override PartName="/word/drawings/drawing1.xml" ContentType="application/vnd.openxmlformats-officedocument.drawingml.chartshapes+xml"/>
  <Override PartName="/word/charts/chart14.xml" ContentType="application/vnd.openxmlformats-officedocument.drawingml.chart+xml"/>
  <Override PartName="/word/theme/themeOverride14.xml" ContentType="application/vnd.openxmlformats-officedocument.themeOverride+xml"/>
  <Override PartName="/word/charts/chart15.xml" ContentType="application/vnd.openxmlformats-officedocument.drawingml.chart+xml"/>
  <Override PartName="/word/theme/themeOverride15.xml" ContentType="application/vnd.openxmlformats-officedocument.themeOverride+xml"/>
  <Override PartName="/word/charts/chart16.xml" ContentType="application/vnd.openxmlformats-officedocument.drawingml.chart+xml"/>
  <Override PartName="/word/theme/themeOverride16.xml" ContentType="application/vnd.openxmlformats-officedocument.themeOverride+xml"/>
  <Override PartName="/word/charts/chart17.xml" ContentType="application/vnd.openxmlformats-officedocument.drawingml.chart+xml"/>
  <Override PartName="/word/theme/themeOverride17.xml" ContentType="application/vnd.openxmlformats-officedocument.themeOverride+xml"/>
  <Override PartName="/word/charts/chart18.xml" ContentType="application/vnd.openxmlformats-officedocument.drawingml.chart+xml"/>
  <Override PartName="/word/theme/themeOverride18.xml" ContentType="application/vnd.openxmlformats-officedocument.themeOverride+xml"/>
  <Override PartName="/word/charts/chart19.xml" ContentType="application/vnd.openxmlformats-officedocument.drawingml.chart+xml"/>
  <Override PartName="/word/theme/themeOverride19.xml" ContentType="application/vnd.openxmlformats-officedocument.themeOverride+xml"/>
  <Override PartName="/word/charts/chart20.xml" ContentType="application/vnd.openxmlformats-officedocument.drawingml.chart+xml"/>
  <Override PartName="/word/theme/themeOverride20.xml" ContentType="application/vnd.openxmlformats-officedocument.themeOverride+xml"/>
  <Override PartName="/word/charts/chart21.xml" ContentType="application/vnd.openxmlformats-officedocument.drawingml.chart+xml"/>
  <Override PartName="/word/theme/themeOverride21.xml" ContentType="application/vnd.openxmlformats-officedocument.themeOverride+xml"/>
  <Override PartName="/word/charts/chart22.xml" ContentType="application/vnd.openxmlformats-officedocument.drawingml.chart+xml"/>
  <Override PartName="/word/theme/themeOverride22.xml" ContentType="application/vnd.openxmlformats-officedocument.themeOverride+xml"/>
  <Override PartName="/word/charts/chart23.xml" ContentType="application/vnd.openxmlformats-officedocument.drawingml.chart+xml"/>
  <Override PartName="/word/theme/themeOverride23.xml" ContentType="application/vnd.openxmlformats-officedocument.themeOverride+xml"/>
  <Override PartName="/word/charts/chart24.xml" ContentType="application/vnd.openxmlformats-officedocument.drawingml.chart+xml"/>
  <Override PartName="/word/theme/themeOverride24.xml" ContentType="application/vnd.openxmlformats-officedocument.themeOverride+xml"/>
  <Override PartName="/word/charts/chart25.xml" ContentType="application/vnd.openxmlformats-officedocument.drawingml.chart+xml"/>
  <Override PartName="/word/theme/themeOverride25.xml" ContentType="application/vnd.openxmlformats-officedocument.themeOverride+xml"/>
  <Override PartName="/word/charts/chart26.xml" ContentType="application/vnd.openxmlformats-officedocument.drawingml.chart+xml"/>
  <Override PartName="/word/theme/themeOverride26.xml" ContentType="application/vnd.openxmlformats-officedocument.themeOverride+xml"/>
  <Override PartName="/word/charts/chart27.xml" ContentType="application/vnd.openxmlformats-officedocument.drawingml.chart+xml"/>
  <Override PartName="/word/theme/themeOverride27.xml" ContentType="application/vnd.openxmlformats-officedocument.themeOverride+xml"/>
  <Override PartName="/word/charts/chart28.xml" ContentType="application/vnd.openxmlformats-officedocument.drawingml.chart+xml"/>
  <Override PartName="/word/theme/themeOverride28.xml" ContentType="application/vnd.openxmlformats-officedocument.themeOverride+xml"/>
  <Override PartName="/word/charts/chart29.xml" ContentType="application/vnd.openxmlformats-officedocument.drawingml.chart+xml"/>
  <Override PartName="/word/theme/themeOverride29.xml" ContentType="application/vnd.openxmlformats-officedocument.themeOverride+xml"/>
  <Override PartName="/word/charts/chart30.xml" ContentType="application/vnd.openxmlformats-officedocument.drawingml.chart+xml"/>
  <Override PartName="/word/theme/themeOverride30.xml" ContentType="application/vnd.openxmlformats-officedocument.themeOverride+xml"/>
  <Override PartName="/word/charts/chart31.xml" ContentType="application/vnd.openxmlformats-officedocument.drawingml.chart+xml"/>
  <Override PartName="/word/theme/themeOverride31.xml" ContentType="application/vnd.openxmlformats-officedocument.themeOverride+xml"/>
  <Override PartName="/word/charts/chart32.xml" ContentType="application/vnd.openxmlformats-officedocument.drawingml.chart+xml"/>
  <Override PartName="/word/theme/themeOverride32.xml" ContentType="application/vnd.openxmlformats-officedocument.themeOverride+xml"/>
  <Override PartName="/word/charts/chart33.xml" ContentType="application/vnd.openxmlformats-officedocument.drawingml.chart+xml"/>
  <Override PartName="/word/theme/themeOverride33.xml" ContentType="application/vnd.openxmlformats-officedocument.themeOverride+xml"/>
  <Override PartName="/word/charts/chart34.xml" ContentType="application/vnd.openxmlformats-officedocument.drawingml.chart+xml"/>
  <Override PartName="/word/theme/themeOverride34.xml" ContentType="application/vnd.openxmlformats-officedocument.themeOverride+xml"/>
  <Override PartName="/word/charts/chart35.xml" ContentType="application/vnd.openxmlformats-officedocument.drawingml.chart+xml"/>
  <Override PartName="/word/theme/themeOverride35.xml" ContentType="application/vnd.openxmlformats-officedocument.themeOverride+xml"/>
  <Override PartName="/word/charts/chart36.xml" ContentType="application/vnd.openxmlformats-officedocument.drawingml.chart+xml"/>
  <Override PartName="/word/theme/themeOverride36.xml" ContentType="application/vnd.openxmlformats-officedocument.themeOverride+xml"/>
  <Override PartName="/word/charts/chart37.xml" ContentType="application/vnd.openxmlformats-officedocument.drawingml.chart+xml"/>
  <Override PartName="/word/theme/themeOverride37.xml" ContentType="application/vnd.openxmlformats-officedocument.themeOverride+xml"/>
  <Override PartName="/word/charts/chart38.xml" ContentType="application/vnd.openxmlformats-officedocument.drawingml.chart+xml"/>
  <Override PartName="/word/theme/themeOverride38.xml" ContentType="application/vnd.openxmlformats-officedocument.themeOverride+xml"/>
  <Override PartName="/word/charts/chart39.xml" ContentType="application/vnd.openxmlformats-officedocument.drawingml.chart+xml"/>
  <Override PartName="/word/theme/themeOverride39.xml" ContentType="application/vnd.openxmlformats-officedocument.themeOverride+xml"/>
  <Override PartName="/word/charts/chart40.xml" ContentType="application/vnd.openxmlformats-officedocument.drawingml.chart+xml"/>
  <Override PartName="/word/theme/themeOverride40.xml" ContentType="application/vnd.openxmlformats-officedocument.themeOverride+xml"/>
  <Override PartName="/word/charts/chart41.xml" ContentType="application/vnd.openxmlformats-officedocument.drawingml.chart+xml"/>
  <Override PartName="/word/theme/themeOverride41.xml" ContentType="application/vnd.openxmlformats-officedocument.themeOverride+xml"/>
  <Override PartName="/word/charts/chart42.xml" ContentType="application/vnd.openxmlformats-officedocument.drawingml.chart+xml"/>
  <Override PartName="/word/theme/themeOverride42.xml" ContentType="application/vnd.openxmlformats-officedocument.themeOverride+xml"/>
  <Override PartName="/word/charts/chart43.xml" ContentType="application/vnd.openxmlformats-officedocument.drawingml.chart+xml"/>
  <Override PartName="/word/theme/themeOverride43.xml" ContentType="application/vnd.openxmlformats-officedocument.themeOverride+xml"/>
  <Override PartName="/word/drawings/drawing2.xml" ContentType="application/vnd.openxmlformats-officedocument.drawingml.chartshapes+xml"/>
  <Override PartName="/word/header5.xml" ContentType="application/vnd.openxmlformats-officedocument.wordprocessingml.header+xml"/>
  <Override PartName="/word/charts/chart44.xml" ContentType="application/vnd.openxmlformats-officedocument.drawingml.chart+xml"/>
  <Override PartName="/word/theme/themeOverride44.xml" ContentType="application/vnd.openxmlformats-officedocument.themeOverride+xml"/>
  <Override PartName="/word/charts/chart45.xml" ContentType="application/vnd.openxmlformats-officedocument.drawingml.chart+xml"/>
  <Override PartName="/word/theme/themeOverride45.xml" ContentType="application/vnd.openxmlformats-officedocument.themeOverride+xml"/>
  <Override PartName="/word/charts/chart46.xml" ContentType="application/vnd.openxmlformats-officedocument.drawingml.chart+xml"/>
  <Override PartName="/word/theme/themeOverride46.xml" ContentType="application/vnd.openxmlformats-officedocument.themeOverride+xml"/>
  <Override PartName="/word/charts/chart47.xml" ContentType="application/vnd.openxmlformats-officedocument.drawingml.chart+xml"/>
  <Override PartName="/word/theme/themeOverride47.xml" ContentType="application/vnd.openxmlformats-officedocument.themeOverride+xml"/>
  <Override PartName="/word/charts/chart48.xml" ContentType="application/vnd.openxmlformats-officedocument.drawingml.chart+xml"/>
  <Override PartName="/word/theme/themeOverride48.xml" ContentType="application/vnd.openxmlformats-officedocument.themeOverride+xml"/>
  <Override PartName="/word/charts/chart49.xml" ContentType="application/vnd.openxmlformats-officedocument.drawingml.chart+xml"/>
  <Override PartName="/word/theme/themeOverride49.xml" ContentType="application/vnd.openxmlformats-officedocument.themeOverride+xml"/>
  <Override PartName="/word/charts/chart50.xml" ContentType="application/vnd.openxmlformats-officedocument.drawingml.chart+xml"/>
  <Override PartName="/word/theme/themeOverride50.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FF9E7D5" w14:textId="77777777" w:rsidR="00077CD0" w:rsidRDefault="00077CD0">
      <w:pPr>
        <w:pStyle w:val="ESCiNormalParagraphChar"/>
        <w:jc w:val="center"/>
        <w:rPr>
          <w:rFonts w:cs="Calibri"/>
        </w:rPr>
      </w:pPr>
      <w:bookmarkStart w:id="0" w:name="_Toc181681122"/>
      <w:bookmarkStart w:id="1" w:name="_Toc181681474"/>
      <w:bookmarkStart w:id="2" w:name="_Toc181681892"/>
      <w:bookmarkStart w:id="3" w:name="_Toc181776462"/>
      <w:bookmarkStart w:id="4" w:name="_Toc183918208"/>
      <w:bookmarkStart w:id="5" w:name="_GoBack"/>
      <w:bookmarkEnd w:id="5"/>
    </w:p>
    <w:p w14:paraId="113FB9A9" w14:textId="77777777" w:rsidR="00C91E2D" w:rsidRDefault="00C91E2D">
      <w:pPr>
        <w:pStyle w:val="ESCiNormalParagraphChar"/>
        <w:jc w:val="center"/>
        <w:rPr>
          <w:rFonts w:cs="Calibri"/>
        </w:rPr>
      </w:pPr>
    </w:p>
    <w:p w14:paraId="54C255B8" w14:textId="0538C4A8" w:rsidR="00077CD0" w:rsidRPr="00DE2FAA" w:rsidRDefault="001F54ED" w:rsidP="0094259D">
      <w:pPr>
        <w:pStyle w:val="ESCiNormalParagraphChar"/>
        <w:jc w:val="right"/>
        <w:rPr>
          <w:rFonts w:cs="Calibri"/>
          <w:b/>
          <w:color w:val="244061"/>
          <w:sz w:val="52"/>
          <w:szCs w:val="52"/>
        </w:rPr>
      </w:pPr>
      <w:r>
        <w:rPr>
          <w:rFonts w:cs="Calibri"/>
          <w:b/>
          <w:color w:val="244061"/>
          <w:sz w:val="52"/>
          <w:szCs w:val="52"/>
        </w:rPr>
        <w:t>Pasco Fire Department</w:t>
      </w:r>
    </w:p>
    <w:p w14:paraId="3E5F5F11" w14:textId="77777777" w:rsidR="00077CD0" w:rsidRPr="00E62705" w:rsidRDefault="001F54ED" w:rsidP="0094259D">
      <w:pPr>
        <w:pStyle w:val="ESCiNormalParagraphChar"/>
        <w:jc w:val="right"/>
        <w:rPr>
          <w:rFonts w:cs="Calibri"/>
          <w:i/>
          <w:color w:val="244061"/>
          <w:sz w:val="48"/>
          <w:szCs w:val="52"/>
        </w:rPr>
      </w:pPr>
      <w:r>
        <w:rPr>
          <w:rFonts w:cs="Calibri"/>
          <w:i/>
          <w:color w:val="244061"/>
          <w:sz w:val="48"/>
          <w:szCs w:val="52"/>
        </w:rPr>
        <w:t>Washington</w:t>
      </w:r>
    </w:p>
    <w:p w14:paraId="6BCEE63D" w14:textId="77777777" w:rsidR="00C91E2D" w:rsidRDefault="00C91E2D" w:rsidP="0094259D">
      <w:pPr>
        <w:jc w:val="right"/>
        <w:rPr>
          <w:rFonts w:cs="Calibri"/>
          <w:b/>
          <w:color w:val="943634" w:themeColor="accent2" w:themeShade="BF"/>
          <w:sz w:val="52"/>
        </w:rPr>
      </w:pPr>
      <w:bookmarkStart w:id="6" w:name="_Toc357084133"/>
      <w:bookmarkStart w:id="7" w:name="_Toc357578022"/>
    </w:p>
    <w:p w14:paraId="7B63B4E8" w14:textId="77777777" w:rsidR="00E62705" w:rsidRDefault="00E62705" w:rsidP="0094259D">
      <w:pPr>
        <w:jc w:val="right"/>
        <w:rPr>
          <w:rFonts w:cs="Calibri"/>
          <w:b/>
          <w:color w:val="943634" w:themeColor="accent2" w:themeShade="BF"/>
          <w:sz w:val="52"/>
        </w:rPr>
      </w:pPr>
    </w:p>
    <w:p w14:paraId="3B202723" w14:textId="77777777" w:rsidR="008167C0" w:rsidRPr="00C91E2D" w:rsidRDefault="005B6F83" w:rsidP="0094259D">
      <w:pPr>
        <w:jc w:val="right"/>
        <w:rPr>
          <w:rFonts w:cs="Calibri"/>
          <w:b/>
          <w:color w:val="943634" w:themeColor="accent2" w:themeShade="BF"/>
          <w:sz w:val="52"/>
        </w:rPr>
      </w:pPr>
      <w:r w:rsidRPr="00C91E2D">
        <w:rPr>
          <w:rFonts w:cs="Calibri"/>
          <w:b/>
          <w:color w:val="943634" w:themeColor="accent2" w:themeShade="BF"/>
          <w:sz w:val="52"/>
        </w:rPr>
        <w:t xml:space="preserve">Emergency Services </w:t>
      </w:r>
      <w:r w:rsidR="008167C0" w:rsidRPr="00C91E2D">
        <w:rPr>
          <w:rFonts w:cs="Calibri"/>
          <w:b/>
          <w:color w:val="943634" w:themeColor="accent2" w:themeShade="BF"/>
          <w:sz w:val="52"/>
        </w:rPr>
        <w:t>Master Plan</w:t>
      </w:r>
      <w:bookmarkEnd w:id="6"/>
      <w:bookmarkEnd w:id="7"/>
    </w:p>
    <w:p w14:paraId="5B8A311F" w14:textId="3D9062CD" w:rsidR="00077CD0" w:rsidRPr="00C91E2D" w:rsidRDefault="001259A2" w:rsidP="001524D7">
      <w:pPr>
        <w:pStyle w:val="ESCiNormalParagraphChar"/>
        <w:jc w:val="right"/>
        <w:rPr>
          <w:rFonts w:cs="Calibri"/>
          <w:color w:val="943634" w:themeColor="accent2" w:themeShade="BF"/>
          <w:sz w:val="40"/>
          <w:szCs w:val="36"/>
        </w:rPr>
      </w:pPr>
      <w:r>
        <w:rPr>
          <w:rFonts w:cs="Calibri"/>
          <w:color w:val="943634" w:themeColor="accent2" w:themeShade="BF"/>
          <w:sz w:val="40"/>
          <w:szCs w:val="36"/>
        </w:rPr>
        <w:t>Fall</w:t>
      </w:r>
      <w:r w:rsidR="001524D7">
        <w:rPr>
          <w:rFonts w:cs="Calibri"/>
          <w:color w:val="943634" w:themeColor="accent2" w:themeShade="BF"/>
          <w:sz w:val="40"/>
          <w:szCs w:val="36"/>
        </w:rPr>
        <w:t xml:space="preserve"> </w:t>
      </w:r>
      <w:r w:rsidR="002F30CF" w:rsidRPr="00C91E2D">
        <w:rPr>
          <w:rFonts w:cs="Calibri"/>
          <w:color w:val="943634" w:themeColor="accent2" w:themeShade="BF"/>
          <w:sz w:val="40"/>
          <w:szCs w:val="36"/>
        </w:rPr>
        <w:t>201</w:t>
      </w:r>
      <w:r w:rsidR="003A1B0E">
        <w:rPr>
          <w:rFonts w:cs="Calibri"/>
          <w:color w:val="943634" w:themeColor="accent2" w:themeShade="BF"/>
          <w:sz w:val="40"/>
          <w:szCs w:val="36"/>
        </w:rPr>
        <w:t>6</w:t>
      </w:r>
    </w:p>
    <w:p w14:paraId="5F8B5012" w14:textId="77777777" w:rsidR="00C91E2D" w:rsidRDefault="00C91E2D">
      <w:pPr>
        <w:pStyle w:val="ESCiNormalParagraphChar"/>
        <w:jc w:val="center"/>
        <w:rPr>
          <w:rFonts w:cs="Calibri"/>
        </w:rPr>
      </w:pPr>
    </w:p>
    <w:p w14:paraId="7E8BAC42" w14:textId="77777777" w:rsidR="00C91E2D" w:rsidRPr="00DE2FAA" w:rsidRDefault="00C91E2D">
      <w:pPr>
        <w:pStyle w:val="ESCiNormalParagraphChar"/>
        <w:jc w:val="center"/>
        <w:rPr>
          <w:rFonts w:cs="Calibri"/>
        </w:rPr>
      </w:pPr>
    </w:p>
    <w:p w14:paraId="4F5C6B7E" w14:textId="77777777" w:rsidR="0094259D" w:rsidRPr="00DE2FAA" w:rsidRDefault="0094259D">
      <w:pPr>
        <w:pStyle w:val="ESCiNormalParagraphChar"/>
        <w:jc w:val="right"/>
        <w:rPr>
          <w:rFonts w:cs="Calibri"/>
        </w:rPr>
      </w:pPr>
    </w:p>
    <w:p w14:paraId="2794A302" w14:textId="77777777" w:rsidR="00077CD0" w:rsidRPr="00C91E2D" w:rsidRDefault="00100B1B">
      <w:pPr>
        <w:pStyle w:val="ESCiNormalParagraphChar"/>
        <w:jc w:val="right"/>
        <w:rPr>
          <w:rFonts w:cs="Calibri"/>
          <w:b/>
          <w:sz w:val="28"/>
          <w:szCs w:val="24"/>
        </w:rPr>
      </w:pPr>
      <w:r w:rsidRPr="00C91E2D">
        <w:rPr>
          <w:rFonts w:cs="Calibri"/>
          <w:b/>
          <w:sz w:val="28"/>
          <w:szCs w:val="24"/>
        </w:rPr>
        <w:t>Prepared by:</w:t>
      </w:r>
    </w:p>
    <w:p w14:paraId="0C3E3C3A" w14:textId="77777777" w:rsidR="00FC6AF6" w:rsidRPr="00231C6E" w:rsidRDefault="00FC6AF6" w:rsidP="00334749">
      <w:pPr>
        <w:pStyle w:val="ESCiNormalParagraphChar"/>
        <w:spacing w:after="120"/>
        <w:jc w:val="right"/>
        <w:rPr>
          <w:rFonts w:cs="Calibri"/>
          <w:sz w:val="24"/>
          <w:szCs w:val="24"/>
        </w:rPr>
      </w:pPr>
      <w:r>
        <w:rPr>
          <w:rFonts w:cs="Calibri"/>
          <w:sz w:val="24"/>
          <w:szCs w:val="24"/>
        </w:rPr>
        <w:t>Don Bivins</w:t>
      </w:r>
    </w:p>
    <w:p w14:paraId="4A992EE6" w14:textId="77777777" w:rsidR="003A1B0E" w:rsidRDefault="001F54ED" w:rsidP="00334749">
      <w:pPr>
        <w:pStyle w:val="ESCiNormalParagraphChar"/>
        <w:spacing w:after="120"/>
        <w:jc w:val="right"/>
        <w:rPr>
          <w:rFonts w:cs="Calibri"/>
          <w:sz w:val="24"/>
          <w:szCs w:val="24"/>
        </w:rPr>
      </w:pPr>
      <w:r>
        <w:rPr>
          <w:rFonts w:cs="Calibri"/>
          <w:sz w:val="24"/>
          <w:szCs w:val="24"/>
        </w:rPr>
        <w:t>Jim Mooney</w:t>
      </w:r>
    </w:p>
    <w:p w14:paraId="71A8FF60" w14:textId="77777777" w:rsidR="003A1B0E" w:rsidRDefault="001F54ED" w:rsidP="00334749">
      <w:pPr>
        <w:pStyle w:val="ESCiNormalParagraphChar"/>
        <w:spacing w:after="120"/>
        <w:jc w:val="right"/>
        <w:rPr>
          <w:rFonts w:cs="Calibri"/>
          <w:sz w:val="24"/>
          <w:szCs w:val="24"/>
        </w:rPr>
      </w:pPr>
      <w:r>
        <w:rPr>
          <w:rFonts w:cs="Calibri"/>
          <w:sz w:val="24"/>
          <w:szCs w:val="24"/>
        </w:rPr>
        <w:t>Martin Goughnour</w:t>
      </w:r>
    </w:p>
    <w:p w14:paraId="7B59ED33" w14:textId="77777777" w:rsidR="009623C4" w:rsidRDefault="00D8408A" w:rsidP="001F54ED">
      <w:pPr>
        <w:pStyle w:val="ESCiNormalParagraphChar"/>
        <w:spacing w:after="120"/>
        <w:jc w:val="right"/>
        <w:rPr>
          <w:rFonts w:cs="Calibri"/>
          <w:sz w:val="24"/>
          <w:szCs w:val="24"/>
        </w:rPr>
      </w:pPr>
      <w:r w:rsidRPr="00231C6E">
        <w:rPr>
          <w:rFonts w:cs="Calibri"/>
          <w:sz w:val="24"/>
          <w:szCs w:val="24"/>
        </w:rPr>
        <w:t>Rob Strong</w:t>
      </w:r>
    </w:p>
    <w:p w14:paraId="43EDA9F3" w14:textId="77777777" w:rsidR="003A1B0E" w:rsidRPr="00231C6E" w:rsidRDefault="00C81320" w:rsidP="00334749">
      <w:pPr>
        <w:pStyle w:val="ESCiNormalParagraphChar"/>
        <w:spacing w:after="120"/>
        <w:jc w:val="right"/>
        <w:rPr>
          <w:rFonts w:cs="Calibri"/>
          <w:sz w:val="24"/>
          <w:szCs w:val="24"/>
        </w:rPr>
      </w:pPr>
      <w:r>
        <w:rPr>
          <w:rFonts w:cs="Calibri"/>
          <w:sz w:val="24"/>
          <w:szCs w:val="24"/>
        </w:rPr>
        <w:t>Stuart McElhaney</w:t>
      </w:r>
    </w:p>
    <w:p w14:paraId="0F9DA2D3" w14:textId="77777777" w:rsidR="00077CD0" w:rsidRPr="003A1B0E" w:rsidRDefault="00077CD0" w:rsidP="00334749">
      <w:pPr>
        <w:pStyle w:val="ESCiNormalParagraphChar"/>
        <w:spacing w:after="120"/>
        <w:jc w:val="right"/>
        <w:rPr>
          <w:rFonts w:cs="Calibri"/>
          <w:sz w:val="24"/>
          <w:szCs w:val="24"/>
        </w:rPr>
        <w:sectPr w:rsidR="00077CD0" w:rsidRPr="003A1B0E" w:rsidSect="00BE02CB">
          <w:headerReference w:type="even" r:id="rId9"/>
          <w:footerReference w:type="even" r:id="rId10"/>
          <w:footerReference w:type="default" r:id="rId11"/>
          <w:headerReference w:type="first" r:id="rId12"/>
          <w:pgSz w:w="12240" w:h="15840"/>
          <w:pgMar w:top="1440" w:right="1440" w:bottom="1440" w:left="1440" w:header="720" w:footer="1008" w:gutter="0"/>
          <w:pgBorders w:display="firstPage" w:offsetFrom="page">
            <w:top w:val="single" w:sz="4" w:space="24" w:color="auto" w:shadow="1"/>
            <w:left w:val="single" w:sz="4" w:space="24" w:color="auto" w:shadow="1"/>
            <w:bottom w:val="single" w:sz="4" w:space="24" w:color="auto" w:shadow="1"/>
            <w:right w:val="single" w:sz="4" w:space="24" w:color="auto" w:shadow="1"/>
          </w:pgBorders>
          <w:pgNumType w:fmt="lowerRoman" w:start="1"/>
          <w:cols w:space="720"/>
          <w:docGrid w:linePitch="360"/>
        </w:sectPr>
      </w:pPr>
    </w:p>
    <w:p w14:paraId="2D7C406F" w14:textId="77777777" w:rsidR="00077CD0" w:rsidRPr="00EC3A68" w:rsidRDefault="00100B1B" w:rsidP="00EC3A68">
      <w:pPr>
        <w:pStyle w:val="ESCiNormalParagraphChar"/>
        <w:rPr>
          <w:b/>
          <w:color w:val="808080" w:themeColor="background1" w:themeShade="80"/>
          <w:sz w:val="28"/>
          <w:szCs w:val="28"/>
        </w:rPr>
      </w:pPr>
      <w:bookmarkStart w:id="8" w:name="_Ref185040785"/>
      <w:bookmarkStart w:id="9" w:name="_Ref185041960"/>
      <w:bookmarkStart w:id="10" w:name="_Ref185042432"/>
      <w:bookmarkStart w:id="11" w:name="_Toc357084134"/>
      <w:bookmarkStart w:id="12" w:name="_Toc357578023"/>
      <w:r w:rsidRPr="00EC3A68">
        <w:rPr>
          <w:b/>
          <w:color w:val="808080" w:themeColor="background1" w:themeShade="80"/>
          <w:sz w:val="28"/>
          <w:szCs w:val="28"/>
        </w:rPr>
        <w:lastRenderedPageBreak/>
        <w:t>Table of Contents</w:t>
      </w:r>
      <w:bookmarkEnd w:id="0"/>
      <w:bookmarkEnd w:id="1"/>
      <w:bookmarkEnd w:id="2"/>
      <w:bookmarkEnd w:id="3"/>
      <w:bookmarkEnd w:id="4"/>
      <w:bookmarkEnd w:id="8"/>
      <w:bookmarkEnd w:id="9"/>
      <w:bookmarkEnd w:id="10"/>
      <w:bookmarkEnd w:id="11"/>
      <w:bookmarkEnd w:id="12"/>
    </w:p>
    <w:p w14:paraId="58C6DB54" w14:textId="652CA3ED" w:rsidR="008209A2" w:rsidRDefault="00CB0510">
      <w:pPr>
        <w:pStyle w:val="TOC1"/>
        <w:rPr>
          <w:rFonts w:asciiTheme="minorHAnsi" w:eastAsiaTheme="minorEastAsia" w:hAnsiTheme="minorHAnsi"/>
          <w:b w:val="0"/>
          <w:bCs w:val="0"/>
          <w:iCs w:val="0"/>
          <w:sz w:val="22"/>
          <w:szCs w:val="22"/>
          <w:lang w:eastAsia="en-US"/>
        </w:rPr>
      </w:pPr>
      <w:r>
        <w:rPr>
          <w:rFonts w:cs="Calibri"/>
          <w:b w:val="0"/>
          <w:iCs w:val="0"/>
        </w:rPr>
        <w:fldChar w:fldCharType="begin"/>
      </w:r>
      <w:r>
        <w:rPr>
          <w:rFonts w:cs="Calibri"/>
          <w:b w:val="0"/>
          <w:iCs w:val="0"/>
        </w:rPr>
        <w:instrText xml:space="preserve"> TOC \o "1-3" \h \z \u </w:instrText>
      </w:r>
      <w:r>
        <w:rPr>
          <w:rFonts w:cs="Calibri"/>
          <w:b w:val="0"/>
          <w:iCs w:val="0"/>
        </w:rPr>
        <w:fldChar w:fldCharType="separate"/>
      </w:r>
      <w:hyperlink w:anchor="_Toc464323545" w:history="1">
        <w:r w:rsidR="008209A2" w:rsidRPr="00AA0819">
          <w:rPr>
            <w:rStyle w:val="Hyperlink"/>
            <w:rFonts w:eastAsia="Times New Roman" w:cs="Calibri"/>
            <w:lang w:eastAsia="en-US"/>
          </w:rPr>
          <w:t>Executive Summary</w:t>
        </w:r>
        <w:r w:rsidR="008209A2">
          <w:rPr>
            <w:webHidden/>
          </w:rPr>
          <w:tab/>
        </w:r>
        <w:r w:rsidR="008209A2">
          <w:rPr>
            <w:webHidden/>
          </w:rPr>
          <w:fldChar w:fldCharType="begin"/>
        </w:r>
        <w:r w:rsidR="008209A2">
          <w:rPr>
            <w:webHidden/>
          </w:rPr>
          <w:instrText xml:space="preserve"> PAGEREF _Toc464323545 \h </w:instrText>
        </w:r>
        <w:r w:rsidR="008209A2">
          <w:rPr>
            <w:webHidden/>
          </w:rPr>
        </w:r>
        <w:r w:rsidR="008209A2">
          <w:rPr>
            <w:webHidden/>
          </w:rPr>
          <w:fldChar w:fldCharType="separate"/>
        </w:r>
        <w:r w:rsidR="008209A2">
          <w:rPr>
            <w:webHidden/>
          </w:rPr>
          <w:t>5</w:t>
        </w:r>
        <w:r w:rsidR="008209A2">
          <w:rPr>
            <w:webHidden/>
          </w:rPr>
          <w:fldChar w:fldCharType="end"/>
        </w:r>
      </w:hyperlink>
    </w:p>
    <w:p w14:paraId="5FD8F8FC" w14:textId="39CAD67D" w:rsidR="008209A2" w:rsidRDefault="00432AD4">
      <w:pPr>
        <w:pStyle w:val="TOC1"/>
        <w:rPr>
          <w:rFonts w:asciiTheme="minorHAnsi" w:eastAsiaTheme="minorEastAsia" w:hAnsiTheme="minorHAnsi"/>
          <w:b w:val="0"/>
          <w:bCs w:val="0"/>
          <w:iCs w:val="0"/>
          <w:sz w:val="22"/>
          <w:szCs w:val="22"/>
          <w:lang w:eastAsia="en-US"/>
        </w:rPr>
      </w:pPr>
      <w:hyperlink w:anchor="_Toc464323546" w:history="1">
        <w:r w:rsidR="008209A2" w:rsidRPr="00AA0819">
          <w:rPr>
            <w:rStyle w:val="Hyperlink"/>
            <w:rFonts w:cs="Calibri"/>
          </w:rPr>
          <w:t>Evaluation of Current Conditions</w:t>
        </w:r>
        <w:r w:rsidR="008209A2">
          <w:rPr>
            <w:webHidden/>
          </w:rPr>
          <w:tab/>
        </w:r>
        <w:r w:rsidR="008209A2">
          <w:rPr>
            <w:webHidden/>
          </w:rPr>
          <w:fldChar w:fldCharType="begin"/>
        </w:r>
        <w:r w:rsidR="008209A2">
          <w:rPr>
            <w:webHidden/>
          </w:rPr>
          <w:instrText xml:space="preserve"> PAGEREF _Toc464323546 \h </w:instrText>
        </w:r>
        <w:r w:rsidR="008209A2">
          <w:rPr>
            <w:webHidden/>
          </w:rPr>
        </w:r>
        <w:r w:rsidR="008209A2">
          <w:rPr>
            <w:webHidden/>
          </w:rPr>
          <w:fldChar w:fldCharType="separate"/>
        </w:r>
        <w:r w:rsidR="008209A2">
          <w:rPr>
            <w:webHidden/>
          </w:rPr>
          <w:t>23</w:t>
        </w:r>
        <w:r w:rsidR="008209A2">
          <w:rPr>
            <w:webHidden/>
          </w:rPr>
          <w:fldChar w:fldCharType="end"/>
        </w:r>
      </w:hyperlink>
    </w:p>
    <w:p w14:paraId="21D4C2BA" w14:textId="30FD6F74" w:rsidR="008209A2" w:rsidRDefault="00432AD4">
      <w:pPr>
        <w:pStyle w:val="TOC2"/>
        <w:rPr>
          <w:rFonts w:asciiTheme="minorHAnsi" w:eastAsiaTheme="minorEastAsia" w:hAnsiTheme="minorHAnsi"/>
          <w:bCs w:val="0"/>
          <w:lang w:eastAsia="en-US"/>
        </w:rPr>
      </w:pPr>
      <w:hyperlink w:anchor="_Toc464323547" w:history="1">
        <w:r w:rsidR="008209A2" w:rsidRPr="00AA0819">
          <w:rPr>
            <w:rStyle w:val="Hyperlink"/>
            <w:rFonts w:cs="Calibri"/>
          </w:rPr>
          <w:t>Organizational Overview</w:t>
        </w:r>
        <w:r w:rsidR="008209A2">
          <w:rPr>
            <w:webHidden/>
          </w:rPr>
          <w:tab/>
        </w:r>
        <w:r w:rsidR="008209A2">
          <w:rPr>
            <w:webHidden/>
          </w:rPr>
          <w:fldChar w:fldCharType="begin"/>
        </w:r>
        <w:r w:rsidR="008209A2">
          <w:rPr>
            <w:webHidden/>
          </w:rPr>
          <w:instrText xml:space="preserve"> PAGEREF _Toc464323547 \h </w:instrText>
        </w:r>
        <w:r w:rsidR="008209A2">
          <w:rPr>
            <w:webHidden/>
          </w:rPr>
        </w:r>
        <w:r w:rsidR="008209A2">
          <w:rPr>
            <w:webHidden/>
          </w:rPr>
          <w:fldChar w:fldCharType="separate"/>
        </w:r>
        <w:r w:rsidR="008209A2">
          <w:rPr>
            <w:webHidden/>
          </w:rPr>
          <w:t>23</w:t>
        </w:r>
        <w:r w:rsidR="008209A2">
          <w:rPr>
            <w:webHidden/>
          </w:rPr>
          <w:fldChar w:fldCharType="end"/>
        </w:r>
      </w:hyperlink>
    </w:p>
    <w:p w14:paraId="7A3F119D" w14:textId="2F0FF96B" w:rsidR="008209A2" w:rsidRDefault="00432AD4">
      <w:pPr>
        <w:pStyle w:val="TOC3"/>
        <w:rPr>
          <w:rFonts w:asciiTheme="minorHAnsi" w:eastAsiaTheme="minorEastAsia" w:hAnsiTheme="minorHAnsi"/>
          <w:szCs w:val="22"/>
          <w:lang w:eastAsia="en-US"/>
        </w:rPr>
      </w:pPr>
      <w:hyperlink w:anchor="_Toc464323548" w:history="1">
        <w:r w:rsidR="008209A2" w:rsidRPr="00AA0819">
          <w:rPr>
            <w:rStyle w:val="Hyperlink"/>
            <w:rFonts w:eastAsia="Calibri"/>
          </w:rPr>
          <w:t>City Governance &amp; Structure</w:t>
        </w:r>
        <w:r w:rsidR="008209A2">
          <w:rPr>
            <w:webHidden/>
          </w:rPr>
          <w:tab/>
        </w:r>
        <w:r w:rsidR="008209A2">
          <w:rPr>
            <w:webHidden/>
          </w:rPr>
          <w:fldChar w:fldCharType="begin"/>
        </w:r>
        <w:r w:rsidR="008209A2">
          <w:rPr>
            <w:webHidden/>
          </w:rPr>
          <w:instrText xml:space="preserve"> PAGEREF _Toc464323548 \h </w:instrText>
        </w:r>
        <w:r w:rsidR="008209A2">
          <w:rPr>
            <w:webHidden/>
          </w:rPr>
        </w:r>
        <w:r w:rsidR="008209A2">
          <w:rPr>
            <w:webHidden/>
          </w:rPr>
          <w:fldChar w:fldCharType="separate"/>
        </w:r>
        <w:r w:rsidR="008209A2">
          <w:rPr>
            <w:webHidden/>
          </w:rPr>
          <w:t>23</w:t>
        </w:r>
        <w:r w:rsidR="008209A2">
          <w:rPr>
            <w:webHidden/>
          </w:rPr>
          <w:fldChar w:fldCharType="end"/>
        </w:r>
      </w:hyperlink>
    </w:p>
    <w:p w14:paraId="6093AF24" w14:textId="3F531A94" w:rsidR="008209A2" w:rsidRDefault="00432AD4">
      <w:pPr>
        <w:pStyle w:val="TOC3"/>
        <w:rPr>
          <w:rFonts w:asciiTheme="minorHAnsi" w:eastAsiaTheme="minorEastAsia" w:hAnsiTheme="minorHAnsi"/>
          <w:szCs w:val="22"/>
          <w:lang w:eastAsia="en-US"/>
        </w:rPr>
      </w:pPr>
      <w:hyperlink w:anchor="_Toc464323549" w:history="1">
        <w:r w:rsidR="008209A2" w:rsidRPr="00AA0819">
          <w:rPr>
            <w:rStyle w:val="Hyperlink"/>
            <w:rFonts w:eastAsia="Calibri"/>
          </w:rPr>
          <w:t>Pasco Fire Department Structure</w:t>
        </w:r>
        <w:r w:rsidR="008209A2">
          <w:rPr>
            <w:webHidden/>
          </w:rPr>
          <w:tab/>
        </w:r>
        <w:r w:rsidR="008209A2">
          <w:rPr>
            <w:webHidden/>
          </w:rPr>
          <w:fldChar w:fldCharType="begin"/>
        </w:r>
        <w:r w:rsidR="008209A2">
          <w:rPr>
            <w:webHidden/>
          </w:rPr>
          <w:instrText xml:space="preserve"> PAGEREF _Toc464323549 \h </w:instrText>
        </w:r>
        <w:r w:rsidR="008209A2">
          <w:rPr>
            <w:webHidden/>
          </w:rPr>
        </w:r>
        <w:r w:rsidR="008209A2">
          <w:rPr>
            <w:webHidden/>
          </w:rPr>
          <w:fldChar w:fldCharType="separate"/>
        </w:r>
        <w:r w:rsidR="008209A2">
          <w:rPr>
            <w:webHidden/>
          </w:rPr>
          <w:t>24</w:t>
        </w:r>
        <w:r w:rsidR="008209A2">
          <w:rPr>
            <w:webHidden/>
          </w:rPr>
          <w:fldChar w:fldCharType="end"/>
        </w:r>
      </w:hyperlink>
    </w:p>
    <w:p w14:paraId="1CB2E2B4" w14:textId="169928E3" w:rsidR="008209A2" w:rsidRDefault="00432AD4">
      <w:pPr>
        <w:pStyle w:val="TOC3"/>
        <w:rPr>
          <w:rFonts w:asciiTheme="minorHAnsi" w:eastAsiaTheme="minorEastAsia" w:hAnsiTheme="minorHAnsi"/>
          <w:szCs w:val="22"/>
          <w:lang w:eastAsia="en-US"/>
        </w:rPr>
      </w:pPr>
      <w:hyperlink w:anchor="_Toc464323550" w:history="1">
        <w:r w:rsidR="008209A2" w:rsidRPr="00AA0819">
          <w:rPr>
            <w:rStyle w:val="Hyperlink"/>
            <w:rFonts w:eastAsia="Times New Roman"/>
            <w:lang w:eastAsia="en-US"/>
          </w:rPr>
          <w:t>Washington Surveying &amp; Rating Bureau</w:t>
        </w:r>
        <w:r w:rsidR="008209A2">
          <w:rPr>
            <w:webHidden/>
          </w:rPr>
          <w:tab/>
        </w:r>
        <w:r w:rsidR="008209A2">
          <w:rPr>
            <w:webHidden/>
          </w:rPr>
          <w:fldChar w:fldCharType="begin"/>
        </w:r>
        <w:r w:rsidR="008209A2">
          <w:rPr>
            <w:webHidden/>
          </w:rPr>
          <w:instrText xml:space="preserve"> PAGEREF _Toc464323550 \h </w:instrText>
        </w:r>
        <w:r w:rsidR="008209A2">
          <w:rPr>
            <w:webHidden/>
          </w:rPr>
        </w:r>
        <w:r w:rsidR="008209A2">
          <w:rPr>
            <w:webHidden/>
          </w:rPr>
          <w:fldChar w:fldCharType="separate"/>
        </w:r>
        <w:r w:rsidR="008209A2">
          <w:rPr>
            <w:webHidden/>
          </w:rPr>
          <w:t>26</w:t>
        </w:r>
        <w:r w:rsidR="008209A2">
          <w:rPr>
            <w:webHidden/>
          </w:rPr>
          <w:fldChar w:fldCharType="end"/>
        </w:r>
      </w:hyperlink>
    </w:p>
    <w:p w14:paraId="15AFD914" w14:textId="708BF3D6" w:rsidR="008209A2" w:rsidRDefault="00432AD4">
      <w:pPr>
        <w:pStyle w:val="TOC3"/>
        <w:rPr>
          <w:rFonts w:asciiTheme="minorHAnsi" w:eastAsiaTheme="minorEastAsia" w:hAnsiTheme="minorHAnsi"/>
          <w:szCs w:val="22"/>
          <w:lang w:eastAsia="en-US"/>
        </w:rPr>
      </w:pPr>
      <w:hyperlink w:anchor="_Toc464323551" w:history="1">
        <w:r w:rsidR="008209A2" w:rsidRPr="00AA0819">
          <w:rPr>
            <w:rStyle w:val="Hyperlink"/>
          </w:rPr>
          <w:t>Activity Comparisons</w:t>
        </w:r>
        <w:r w:rsidR="008209A2">
          <w:rPr>
            <w:webHidden/>
          </w:rPr>
          <w:tab/>
        </w:r>
        <w:r w:rsidR="008209A2">
          <w:rPr>
            <w:webHidden/>
          </w:rPr>
          <w:fldChar w:fldCharType="begin"/>
        </w:r>
        <w:r w:rsidR="008209A2">
          <w:rPr>
            <w:webHidden/>
          </w:rPr>
          <w:instrText xml:space="preserve"> PAGEREF _Toc464323551 \h </w:instrText>
        </w:r>
        <w:r w:rsidR="008209A2">
          <w:rPr>
            <w:webHidden/>
          </w:rPr>
        </w:r>
        <w:r w:rsidR="008209A2">
          <w:rPr>
            <w:webHidden/>
          </w:rPr>
          <w:fldChar w:fldCharType="separate"/>
        </w:r>
        <w:r w:rsidR="008209A2">
          <w:rPr>
            <w:webHidden/>
          </w:rPr>
          <w:t>26</w:t>
        </w:r>
        <w:r w:rsidR="008209A2">
          <w:rPr>
            <w:webHidden/>
          </w:rPr>
          <w:fldChar w:fldCharType="end"/>
        </w:r>
      </w:hyperlink>
    </w:p>
    <w:p w14:paraId="162784E6" w14:textId="6732E2C4" w:rsidR="008209A2" w:rsidRDefault="00432AD4">
      <w:pPr>
        <w:pStyle w:val="TOC2"/>
        <w:rPr>
          <w:rFonts w:asciiTheme="minorHAnsi" w:eastAsiaTheme="minorEastAsia" w:hAnsiTheme="minorHAnsi"/>
          <w:bCs w:val="0"/>
          <w:lang w:eastAsia="en-US"/>
        </w:rPr>
      </w:pPr>
      <w:hyperlink w:anchor="_Toc464323552" w:history="1">
        <w:r w:rsidR="008209A2" w:rsidRPr="00AA0819">
          <w:rPr>
            <w:rStyle w:val="Hyperlink"/>
            <w:rFonts w:cs="Calibri"/>
          </w:rPr>
          <w:t>Management Components</w:t>
        </w:r>
        <w:r w:rsidR="008209A2">
          <w:rPr>
            <w:webHidden/>
          </w:rPr>
          <w:tab/>
        </w:r>
        <w:r w:rsidR="008209A2">
          <w:rPr>
            <w:webHidden/>
          </w:rPr>
          <w:fldChar w:fldCharType="begin"/>
        </w:r>
        <w:r w:rsidR="008209A2">
          <w:rPr>
            <w:webHidden/>
          </w:rPr>
          <w:instrText xml:space="preserve"> PAGEREF _Toc464323552 \h </w:instrText>
        </w:r>
        <w:r w:rsidR="008209A2">
          <w:rPr>
            <w:webHidden/>
          </w:rPr>
        </w:r>
        <w:r w:rsidR="008209A2">
          <w:rPr>
            <w:webHidden/>
          </w:rPr>
          <w:fldChar w:fldCharType="separate"/>
        </w:r>
        <w:r w:rsidR="008209A2">
          <w:rPr>
            <w:webHidden/>
          </w:rPr>
          <w:t>30</w:t>
        </w:r>
        <w:r w:rsidR="008209A2">
          <w:rPr>
            <w:webHidden/>
          </w:rPr>
          <w:fldChar w:fldCharType="end"/>
        </w:r>
      </w:hyperlink>
    </w:p>
    <w:p w14:paraId="05221A9D" w14:textId="72A8B1D1" w:rsidR="008209A2" w:rsidRDefault="00432AD4">
      <w:pPr>
        <w:pStyle w:val="TOC3"/>
        <w:rPr>
          <w:rFonts w:asciiTheme="minorHAnsi" w:eastAsiaTheme="minorEastAsia" w:hAnsiTheme="minorHAnsi"/>
          <w:szCs w:val="22"/>
          <w:lang w:eastAsia="en-US"/>
        </w:rPr>
      </w:pPr>
      <w:hyperlink w:anchor="_Toc464323553" w:history="1">
        <w:r w:rsidR="008209A2" w:rsidRPr="00AA0819">
          <w:rPr>
            <w:rStyle w:val="Hyperlink"/>
            <w:rFonts w:eastAsia="Times New Roman"/>
          </w:rPr>
          <w:t>Management Elements</w:t>
        </w:r>
        <w:r w:rsidR="008209A2">
          <w:rPr>
            <w:webHidden/>
          </w:rPr>
          <w:tab/>
        </w:r>
        <w:r w:rsidR="008209A2">
          <w:rPr>
            <w:webHidden/>
          </w:rPr>
          <w:fldChar w:fldCharType="begin"/>
        </w:r>
        <w:r w:rsidR="008209A2">
          <w:rPr>
            <w:webHidden/>
          </w:rPr>
          <w:instrText xml:space="preserve"> PAGEREF _Toc464323553 \h </w:instrText>
        </w:r>
        <w:r w:rsidR="008209A2">
          <w:rPr>
            <w:webHidden/>
          </w:rPr>
        </w:r>
        <w:r w:rsidR="008209A2">
          <w:rPr>
            <w:webHidden/>
          </w:rPr>
          <w:fldChar w:fldCharType="separate"/>
        </w:r>
        <w:r w:rsidR="008209A2">
          <w:rPr>
            <w:webHidden/>
          </w:rPr>
          <w:t>30</w:t>
        </w:r>
        <w:r w:rsidR="008209A2">
          <w:rPr>
            <w:webHidden/>
          </w:rPr>
          <w:fldChar w:fldCharType="end"/>
        </w:r>
      </w:hyperlink>
    </w:p>
    <w:p w14:paraId="0863AF36" w14:textId="585F8252" w:rsidR="008209A2" w:rsidRDefault="00432AD4">
      <w:pPr>
        <w:pStyle w:val="TOC3"/>
        <w:rPr>
          <w:rFonts w:asciiTheme="minorHAnsi" w:eastAsiaTheme="minorEastAsia" w:hAnsiTheme="minorHAnsi"/>
          <w:szCs w:val="22"/>
          <w:lang w:eastAsia="en-US"/>
        </w:rPr>
      </w:pPr>
      <w:hyperlink w:anchor="_Toc464323554" w:history="1">
        <w:r w:rsidR="008209A2" w:rsidRPr="00AA0819">
          <w:rPr>
            <w:rStyle w:val="Hyperlink"/>
            <w:rFonts w:eastAsia="Times New Roman"/>
          </w:rPr>
          <w:t>Management Documents and Processes</w:t>
        </w:r>
        <w:r w:rsidR="008209A2">
          <w:rPr>
            <w:webHidden/>
          </w:rPr>
          <w:tab/>
        </w:r>
        <w:r w:rsidR="008209A2">
          <w:rPr>
            <w:webHidden/>
          </w:rPr>
          <w:fldChar w:fldCharType="begin"/>
        </w:r>
        <w:r w:rsidR="008209A2">
          <w:rPr>
            <w:webHidden/>
          </w:rPr>
          <w:instrText xml:space="preserve"> PAGEREF _Toc464323554 \h </w:instrText>
        </w:r>
        <w:r w:rsidR="008209A2">
          <w:rPr>
            <w:webHidden/>
          </w:rPr>
        </w:r>
        <w:r w:rsidR="008209A2">
          <w:rPr>
            <w:webHidden/>
          </w:rPr>
          <w:fldChar w:fldCharType="separate"/>
        </w:r>
        <w:r w:rsidR="008209A2">
          <w:rPr>
            <w:webHidden/>
          </w:rPr>
          <w:t>31</w:t>
        </w:r>
        <w:r w:rsidR="008209A2">
          <w:rPr>
            <w:webHidden/>
          </w:rPr>
          <w:fldChar w:fldCharType="end"/>
        </w:r>
      </w:hyperlink>
    </w:p>
    <w:p w14:paraId="73456A9A" w14:textId="5F919F8D" w:rsidR="008209A2" w:rsidRDefault="00432AD4">
      <w:pPr>
        <w:pStyle w:val="TOC3"/>
        <w:rPr>
          <w:rFonts w:asciiTheme="minorHAnsi" w:eastAsiaTheme="minorEastAsia" w:hAnsiTheme="minorHAnsi"/>
          <w:szCs w:val="22"/>
          <w:lang w:eastAsia="en-US"/>
        </w:rPr>
      </w:pPr>
      <w:hyperlink w:anchor="_Toc464323555" w:history="1">
        <w:r w:rsidR="008209A2" w:rsidRPr="00AA0819">
          <w:rPr>
            <w:rStyle w:val="Hyperlink"/>
            <w:rFonts w:eastAsia="Times New Roman"/>
          </w:rPr>
          <w:t>Critical Issues</w:t>
        </w:r>
        <w:r w:rsidR="008209A2">
          <w:rPr>
            <w:webHidden/>
          </w:rPr>
          <w:tab/>
        </w:r>
        <w:r w:rsidR="008209A2">
          <w:rPr>
            <w:webHidden/>
          </w:rPr>
          <w:fldChar w:fldCharType="begin"/>
        </w:r>
        <w:r w:rsidR="008209A2">
          <w:rPr>
            <w:webHidden/>
          </w:rPr>
          <w:instrText xml:space="preserve"> PAGEREF _Toc464323555 \h </w:instrText>
        </w:r>
        <w:r w:rsidR="008209A2">
          <w:rPr>
            <w:webHidden/>
          </w:rPr>
        </w:r>
        <w:r w:rsidR="008209A2">
          <w:rPr>
            <w:webHidden/>
          </w:rPr>
          <w:fldChar w:fldCharType="separate"/>
        </w:r>
        <w:r w:rsidR="008209A2">
          <w:rPr>
            <w:webHidden/>
          </w:rPr>
          <w:t>31</w:t>
        </w:r>
        <w:r w:rsidR="008209A2">
          <w:rPr>
            <w:webHidden/>
          </w:rPr>
          <w:fldChar w:fldCharType="end"/>
        </w:r>
      </w:hyperlink>
    </w:p>
    <w:p w14:paraId="49179ACB" w14:textId="70BAEBAF" w:rsidR="008209A2" w:rsidRDefault="00432AD4">
      <w:pPr>
        <w:pStyle w:val="TOC3"/>
        <w:rPr>
          <w:rFonts w:asciiTheme="minorHAnsi" w:eastAsiaTheme="minorEastAsia" w:hAnsiTheme="minorHAnsi"/>
          <w:szCs w:val="22"/>
          <w:lang w:eastAsia="en-US"/>
        </w:rPr>
      </w:pPr>
      <w:hyperlink w:anchor="_Toc464323556" w:history="1">
        <w:r w:rsidR="008209A2" w:rsidRPr="00AA0819">
          <w:rPr>
            <w:rStyle w:val="Hyperlink"/>
            <w:rFonts w:eastAsia="Times New Roman"/>
          </w:rPr>
          <w:t>Communications</w:t>
        </w:r>
        <w:r w:rsidR="008209A2">
          <w:rPr>
            <w:webHidden/>
          </w:rPr>
          <w:tab/>
        </w:r>
        <w:r w:rsidR="008209A2">
          <w:rPr>
            <w:webHidden/>
          </w:rPr>
          <w:fldChar w:fldCharType="begin"/>
        </w:r>
        <w:r w:rsidR="008209A2">
          <w:rPr>
            <w:webHidden/>
          </w:rPr>
          <w:instrText xml:space="preserve"> PAGEREF _Toc464323556 \h </w:instrText>
        </w:r>
        <w:r w:rsidR="008209A2">
          <w:rPr>
            <w:webHidden/>
          </w:rPr>
        </w:r>
        <w:r w:rsidR="008209A2">
          <w:rPr>
            <w:webHidden/>
          </w:rPr>
          <w:fldChar w:fldCharType="separate"/>
        </w:r>
        <w:r w:rsidR="008209A2">
          <w:rPr>
            <w:webHidden/>
          </w:rPr>
          <w:t>32</w:t>
        </w:r>
        <w:r w:rsidR="008209A2">
          <w:rPr>
            <w:webHidden/>
          </w:rPr>
          <w:fldChar w:fldCharType="end"/>
        </w:r>
      </w:hyperlink>
    </w:p>
    <w:p w14:paraId="299A3989" w14:textId="45D430B8" w:rsidR="008209A2" w:rsidRDefault="00432AD4">
      <w:pPr>
        <w:pStyle w:val="TOC3"/>
        <w:rPr>
          <w:rFonts w:asciiTheme="minorHAnsi" w:eastAsiaTheme="minorEastAsia" w:hAnsiTheme="minorHAnsi"/>
          <w:szCs w:val="22"/>
          <w:lang w:eastAsia="en-US"/>
        </w:rPr>
      </w:pPr>
      <w:hyperlink w:anchor="_Toc464323557" w:history="1">
        <w:r w:rsidR="008209A2" w:rsidRPr="00AA0819">
          <w:rPr>
            <w:rStyle w:val="Hyperlink"/>
            <w:rFonts w:eastAsia="Times New Roman"/>
          </w:rPr>
          <w:t>Record Keeping and Documentation</w:t>
        </w:r>
        <w:r w:rsidR="008209A2">
          <w:rPr>
            <w:webHidden/>
          </w:rPr>
          <w:tab/>
        </w:r>
        <w:r w:rsidR="008209A2">
          <w:rPr>
            <w:webHidden/>
          </w:rPr>
          <w:fldChar w:fldCharType="begin"/>
        </w:r>
        <w:r w:rsidR="008209A2">
          <w:rPr>
            <w:webHidden/>
          </w:rPr>
          <w:instrText xml:space="preserve"> PAGEREF _Toc464323557 \h </w:instrText>
        </w:r>
        <w:r w:rsidR="008209A2">
          <w:rPr>
            <w:webHidden/>
          </w:rPr>
        </w:r>
        <w:r w:rsidR="008209A2">
          <w:rPr>
            <w:webHidden/>
          </w:rPr>
          <w:fldChar w:fldCharType="separate"/>
        </w:r>
        <w:r w:rsidR="008209A2">
          <w:rPr>
            <w:webHidden/>
          </w:rPr>
          <w:t>32</w:t>
        </w:r>
        <w:r w:rsidR="008209A2">
          <w:rPr>
            <w:webHidden/>
          </w:rPr>
          <w:fldChar w:fldCharType="end"/>
        </w:r>
      </w:hyperlink>
    </w:p>
    <w:p w14:paraId="1C9E03CE" w14:textId="2A36CEC8" w:rsidR="008209A2" w:rsidRDefault="00432AD4">
      <w:pPr>
        <w:pStyle w:val="TOC2"/>
        <w:rPr>
          <w:rFonts w:asciiTheme="minorHAnsi" w:eastAsiaTheme="minorEastAsia" w:hAnsiTheme="minorHAnsi"/>
          <w:bCs w:val="0"/>
          <w:lang w:eastAsia="en-US"/>
        </w:rPr>
      </w:pPr>
      <w:hyperlink w:anchor="_Toc464323558" w:history="1">
        <w:r w:rsidR="008209A2" w:rsidRPr="00AA0819">
          <w:rPr>
            <w:rStyle w:val="Hyperlink"/>
            <w:rFonts w:eastAsia="Calibri"/>
          </w:rPr>
          <w:t>Fiscal Analysis of Current Conditions</w:t>
        </w:r>
        <w:r w:rsidR="008209A2">
          <w:rPr>
            <w:webHidden/>
          </w:rPr>
          <w:tab/>
        </w:r>
        <w:r w:rsidR="008209A2">
          <w:rPr>
            <w:webHidden/>
          </w:rPr>
          <w:fldChar w:fldCharType="begin"/>
        </w:r>
        <w:r w:rsidR="008209A2">
          <w:rPr>
            <w:webHidden/>
          </w:rPr>
          <w:instrText xml:space="preserve"> PAGEREF _Toc464323558 \h </w:instrText>
        </w:r>
        <w:r w:rsidR="008209A2">
          <w:rPr>
            <w:webHidden/>
          </w:rPr>
        </w:r>
        <w:r w:rsidR="008209A2">
          <w:rPr>
            <w:webHidden/>
          </w:rPr>
          <w:fldChar w:fldCharType="separate"/>
        </w:r>
        <w:r w:rsidR="008209A2">
          <w:rPr>
            <w:webHidden/>
          </w:rPr>
          <w:t>33</w:t>
        </w:r>
        <w:r w:rsidR="008209A2">
          <w:rPr>
            <w:webHidden/>
          </w:rPr>
          <w:fldChar w:fldCharType="end"/>
        </w:r>
      </w:hyperlink>
    </w:p>
    <w:p w14:paraId="7504B0CD" w14:textId="692CEDAD" w:rsidR="008209A2" w:rsidRDefault="00432AD4">
      <w:pPr>
        <w:pStyle w:val="TOC3"/>
        <w:rPr>
          <w:rFonts w:asciiTheme="minorHAnsi" w:eastAsiaTheme="minorEastAsia" w:hAnsiTheme="minorHAnsi"/>
          <w:szCs w:val="22"/>
          <w:lang w:eastAsia="en-US"/>
        </w:rPr>
      </w:pPr>
      <w:hyperlink w:anchor="_Toc464323559" w:history="1">
        <w:r w:rsidR="008209A2" w:rsidRPr="00AA0819">
          <w:rPr>
            <w:rStyle w:val="Hyperlink"/>
            <w:rFonts w:eastAsia="Times New Roman"/>
          </w:rPr>
          <w:t>Economic Context</w:t>
        </w:r>
        <w:r w:rsidR="008209A2">
          <w:rPr>
            <w:webHidden/>
          </w:rPr>
          <w:tab/>
        </w:r>
        <w:r w:rsidR="008209A2">
          <w:rPr>
            <w:webHidden/>
          </w:rPr>
          <w:fldChar w:fldCharType="begin"/>
        </w:r>
        <w:r w:rsidR="008209A2">
          <w:rPr>
            <w:webHidden/>
          </w:rPr>
          <w:instrText xml:space="preserve"> PAGEREF _Toc464323559 \h </w:instrText>
        </w:r>
        <w:r w:rsidR="008209A2">
          <w:rPr>
            <w:webHidden/>
          </w:rPr>
        </w:r>
        <w:r w:rsidR="008209A2">
          <w:rPr>
            <w:webHidden/>
          </w:rPr>
          <w:fldChar w:fldCharType="separate"/>
        </w:r>
        <w:r w:rsidR="008209A2">
          <w:rPr>
            <w:webHidden/>
          </w:rPr>
          <w:t>33</w:t>
        </w:r>
        <w:r w:rsidR="008209A2">
          <w:rPr>
            <w:webHidden/>
          </w:rPr>
          <w:fldChar w:fldCharType="end"/>
        </w:r>
      </w:hyperlink>
    </w:p>
    <w:p w14:paraId="4FFFA6CD" w14:textId="2045F2E1" w:rsidR="008209A2" w:rsidRDefault="00432AD4">
      <w:pPr>
        <w:pStyle w:val="TOC3"/>
        <w:rPr>
          <w:rFonts w:asciiTheme="minorHAnsi" w:eastAsiaTheme="minorEastAsia" w:hAnsiTheme="minorHAnsi"/>
          <w:szCs w:val="22"/>
          <w:lang w:eastAsia="en-US"/>
        </w:rPr>
      </w:pPr>
      <w:hyperlink w:anchor="_Toc464323560" w:history="1">
        <w:r w:rsidR="008209A2" w:rsidRPr="00AA0819">
          <w:rPr>
            <w:rStyle w:val="Hyperlink"/>
            <w:rFonts w:eastAsia="Times New Roman"/>
          </w:rPr>
          <w:t>Historical &amp; Current Revenues and Expenses of PFD</w:t>
        </w:r>
        <w:r w:rsidR="008209A2">
          <w:rPr>
            <w:webHidden/>
          </w:rPr>
          <w:tab/>
        </w:r>
        <w:r w:rsidR="008209A2">
          <w:rPr>
            <w:webHidden/>
          </w:rPr>
          <w:fldChar w:fldCharType="begin"/>
        </w:r>
        <w:r w:rsidR="008209A2">
          <w:rPr>
            <w:webHidden/>
          </w:rPr>
          <w:instrText xml:space="preserve"> PAGEREF _Toc464323560 \h </w:instrText>
        </w:r>
        <w:r w:rsidR="008209A2">
          <w:rPr>
            <w:webHidden/>
          </w:rPr>
        </w:r>
        <w:r w:rsidR="008209A2">
          <w:rPr>
            <w:webHidden/>
          </w:rPr>
          <w:fldChar w:fldCharType="separate"/>
        </w:r>
        <w:r w:rsidR="008209A2">
          <w:rPr>
            <w:webHidden/>
          </w:rPr>
          <w:t>48</w:t>
        </w:r>
        <w:r w:rsidR="008209A2">
          <w:rPr>
            <w:webHidden/>
          </w:rPr>
          <w:fldChar w:fldCharType="end"/>
        </w:r>
      </w:hyperlink>
    </w:p>
    <w:p w14:paraId="1DAEE9E8" w14:textId="03557E06" w:rsidR="008209A2" w:rsidRDefault="00432AD4">
      <w:pPr>
        <w:pStyle w:val="TOC2"/>
        <w:rPr>
          <w:rFonts w:asciiTheme="minorHAnsi" w:eastAsiaTheme="minorEastAsia" w:hAnsiTheme="minorHAnsi"/>
          <w:bCs w:val="0"/>
          <w:lang w:eastAsia="en-US"/>
        </w:rPr>
      </w:pPr>
      <w:hyperlink w:anchor="_Toc464323561" w:history="1">
        <w:r w:rsidR="008209A2" w:rsidRPr="00AA0819">
          <w:rPr>
            <w:rStyle w:val="Hyperlink"/>
            <w:rFonts w:cs="Calibri"/>
          </w:rPr>
          <w:t>Staffing</w:t>
        </w:r>
        <w:r w:rsidR="008209A2">
          <w:rPr>
            <w:webHidden/>
          </w:rPr>
          <w:tab/>
        </w:r>
        <w:r w:rsidR="008209A2">
          <w:rPr>
            <w:webHidden/>
          </w:rPr>
          <w:fldChar w:fldCharType="begin"/>
        </w:r>
        <w:r w:rsidR="008209A2">
          <w:rPr>
            <w:webHidden/>
          </w:rPr>
          <w:instrText xml:space="preserve"> PAGEREF _Toc464323561 \h </w:instrText>
        </w:r>
        <w:r w:rsidR="008209A2">
          <w:rPr>
            <w:webHidden/>
          </w:rPr>
        </w:r>
        <w:r w:rsidR="008209A2">
          <w:rPr>
            <w:webHidden/>
          </w:rPr>
          <w:fldChar w:fldCharType="separate"/>
        </w:r>
        <w:r w:rsidR="008209A2">
          <w:rPr>
            <w:webHidden/>
          </w:rPr>
          <w:t>67</w:t>
        </w:r>
        <w:r w:rsidR="008209A2">
          <w:rPr>
            <w:webHidden/>
          </w:rPr>
          <w:fldChar w:fldCharType="end"/>
        </w:r>
      </w:hyperlink>
    </w:p>
    <w:p w14:paraId="5A501E2E" w14:textId="769232AB" w:rsidR="008209A2" w:rsidRDefault="00432AD4">
      <w:pPr>
        <w:pStyle w:val="TOC3"/>
        <w:rPr>
          <w:rFonts w:asciiTheme="minorHAnsi" w:eastAsiaTheme="minorEastAsia" w:hAnsiTheme="minorHAnsi"/>
          <w:szCs w:val="22"/>
          <w:lang w:eastAsia="en-US"/>
        </w:rPr>
      </w:pPr>
      <w:hyperlink w:anchor="_Toc464323562" w:history="1">
        <w:r w:rsidR="008209A2" w:rsidRPr="00AA0819">
          <w:rPr>
            <w:rStyle w:val="Hyperlink"/>
            <w:rFonts w:eastAsia="Times New Roman"/>
            <w:lang w:eastAsia="en-US"/>
          </w:rPr>
          <w:t>Administrative and Support Staffing</w:t>
        </w:r>
        <w:r w:rsidR="008209A2">
          <w:rPr>
            <w:webHidden/>
          </w:rPr>
          <w:tab/>
        </w:r>
        <w:r w:rsidR="008209A2">
          <w:rPr>
            <w:webHidden/>
          </w:rPr>
          <w:fldChar w:fldCharType="begin"/>
        </w:r>
        <w:r w:rsidR="008209A2">
          <w:rPr>
            <w:webHidden/>
          </w:rPr>
          <w:instrText xml:space="preserve"> PAGEREF _Toc464323562 \h </w:instrText>
        </w:r>
        <w:r w:rsidR="008209A2">
          <w:rPr>
            <w:webHidden/>
          </w:rPr>
        </w:r>
        <w:r w:rsidR="008209A2">
          <w:rPr>
            <w:webHidden/>
          </w:rPr>
          <w:fldChar w:fldCharType="separate"/>
        </w:r>
        <w:r w:rsidR="008209A2">
          <w:rPr>
            <w:webHidden/>
          </w:rPr>
          <w:t>67</w:t>
        </w:r>
        <w:r w:rsidR="008209A2">
          <w:rPr>
            <w:webHidden/>
          </w:rPr>
          <w:fldChar w:fldCharType="end"/>
        </w:r>
      </w:hyperlink>
    </w:p>
    <w:p w14:paraId="4EA2ADB1" w14:textId="333683BD" w:rsidR="008209A2" w:rsidRDefault="00432AD4">
      <w:pPr>
        <w:pStyle w:val="TOC3"/>
        <w:rPr>
          <w:rFonts w:asciiTheme="minorHAnsi" w:eastAsiaTheme="minorEastAsia" w:hAnsiTheme="minorHAnsi"/>
          <w:szCs w:val="22"/>
          <w:lang w:eastAsia="en-US"/>
        </w:rPr>
      </w:pPr>
      <w:hyperlink w:anchor="_Toc464323563" w:history="1">
        <w:r w:rsidR="008209A2" w:rsidRPr="00AA0819">
          <w:rPr>
            <w:rStyle w:val="Hyperlink"/>
            <w:rFonts w:eastAsia="Times New Roman"/>
            <w:lang w:eastAsia="en-US"/>
          </w:rPr>
          <w:t>Emergency Response Staffing</w:t>
        </w:r>
        <w:r w:rsidR="008209A2">
          <w:rPr>
            <w:webHidden/>
          </w:rPr>
          <w:tab/>
        </w:r>
        <w:r w:rsidR="008209A2">
          <w:rPr>
            <w:webHidden/>
          </w:rPr>
          <w:fldChar w:fldCharType="begin"/>
        </w:r>
        <w:r w:rsidR="008209A2">
          <w:rPr>
            <w:webHidden/>
          </w:rPr>
          <w:instrText xml:space="preserve"> PAGEREF _Toc464323563 \h </w:instrText>
        </w:r>
        <w:r w:rsidR="008209A2">
          <w:rPr>
            <w:webHidden/>
          </w:rPr>
        </w:r>
        <w:r w:rsidR="008209A2">
          <w:rPr>
            <w:webHidden/>
          </w:rPr>
          <w:fldChar w:fldCharType="separate"/>
        </w:r>
        <w:r w:rsidR="008209A2">
          <w:rPr>
            <w:webHidden/>
          </w:rPr>
          <w:t>68</w:t>
        </w:r>
        <w:r w:rsidR="008209A2">
          <w:rPr>
            <w:webHidden/>
          </w:rPr>
          <w:fldChar w:fldCharType="end"/>
        </w:r>
      </w:hyperlink>
    </w:p>
    <w:p w14:paraId="51EE371E" w14:textId="30E2E35A" w:rsidR="008209A2" w:rsidRDefault="00432AD4">
      <w:pPr>
        <w:pStyle w:val="TOC3"/>
        <w:rPr>
          <w:rFonts w:asciiTheme="minorHAnsi" w:eastAsiaTheme="minorEastAsia" w:hAnsiTheme="minorHAnsi"/>
          <w:szCs w:val="22"/>
          <w:lang w:eastAsia="en-US"/>
        </w:rPr>
      </w:pPr>
      <w:hyperlink w:anchor="_Toc464323564" w:history="1">
        <w:r w:rsidR="008209A2" w:rsidRPr="00AA0819">
          <w:rPr>
            <w:rStyle w:val="Hyperlink"/>
            <w:rFonts w:eastAsia="Times New Roman"/>
            <w:lang w:eastAsia="en-US"/>
          </w:rPr>
          <w:t>Personnel Management</w:t>
        </w:r>
        <w:r w:rsidR="008209A2">
          <w:rPr>
            <w:webHidden/>
          </w:rPr>
          <w:tab/>
        </w:r>
        <w:r w:rsidR="008209A2">
          <w:rPr>
            <w:webHidden/>
          </w:rPr>
          <w:fldChar w:fldCharType="begin"/>
        </w:r>
        <w:r w:rsidR="008209A2">
          <w:rPr>
            <w:webHidden/>
          </w:rPr>
          <w:instrText xml:space="preserve"> PAGEREF _Toc464323564 \h </w:instrText>
        </w:r>
        <w:r w:rsidR="008209A2">
          <w:rPr>
            <w:webHidden/>
          </w:rPr>
        </w:r>
        <w:r w:rsidR="008209A2">
          <w:rPr>
            <w:webHidden/>
          </w:rPr>
          <w:fldChar w:fldCharType="separate"/>
        </w:r>
        <w:r w:rsidR="008209A2">
          <w:rPr>
            <w:webHidden/>
          </w:rPr>
          <w:t>70</w:t>
        </w:r>
        <w:r w:rsidR="008209A2">
          <w:rPr>
            <w:webHidden/>
          </w:rPr>
          <w:fldChar w:fldCharType="end"/>
        </w:r>
      </w:hyperlink>
    </w:p>
    <w:p w14:paraId="3AC54F3E" w14:textId="50006EF9" w:rsidR="008209A2" w:rsidRDefault="00432AD4">
      <w:pPr>
        <w:pStyle w:val="TOC2"/>
        <w:rPr>
          <w:rFonts w:asciiTheme="minorHAnsi" w:eastAsiaTheme="minorEastAsia" w:hAnsiTheme="minorHAnsi"/>
          <w:bCs w:val="0"/>
          <w:lang w:eastAsia="en-US"/>
        </w:rPr>
      </w:pPr>
      <w:hyperlink w:anchor="_Toc464323565" w:history="1">
        <w:r w:rsidR="008209A2" w:rsidRPr="00AA0819">
          <w:rPr>
            <w:rStyle w:val="Hyperlink"/>
            <w:rFonts w:cs="Calibri"/>
          </w:rPr>
          <w:t>Emergency Medical Services</w:t>
        </w:r>
        <w:r w:rsidR="008209A2">
          <w:rPr>
            <w:webHidden/>
          </w:rPr>
          <w:tab/>
        </w:r>
        <w:r w:rsidR="008209A2">
          <w:rPr>
            <w:webHidden/>
          </w:rPr>
          <w:fldChar w:fldCharType="begin"/>
        </w:r>
        <w:r w:rsidR="008209A2">
          <w:rPr>
            <w:webHidden/>
          </w:rPr>
          <w:instrText xml:space="preserve"> PAGEREF _Toc464323565 \h </w:instrText>
        </w:r>
        <w:r w:rsidR="008209A2">
          <w:rPr>
            <w:webHidden/>
          </w:rPr>
        </w:r>
        <w:r w:rsidR="008209A2">
          <w:rPr>
            <w:webHidden/>
          </w:rPr>
          <w:fldChar w:fldCharType="separate"/>
        </w:r>
        <w:r w:rsidR="008209A2">
          <w:rPr>
            <w:webHidden/>
          </w:rPr>
          <w:t>72</w:t>
        </w:r>
        <w:r w:rsidR="008209A2">
          <w:rPr>
            <w:webHidden/>
          </w:rPr>
          <w:fldChar w:fldCharType="end"/>
        </w:r>
      </w:hyperlink>
    </w:p>
    <w:p w14:paraId="3E7DD318" w14:textId="3509A5F4" w:rsidR="008209A2" w:rsidRDefault="00432AD4">
      <w:pPr>
        <w:pStyle w:val="TOC3"/>
        <w:rPr>
          <w:rFonts w:asciiTheme="minorHAnsi" w:eastAsiaTheme="minorEastAsia" w:hAnsiTheme="minorHAnsi"/>
          <w:szCs w:val="22"/>
          <w:lang w:eastAsia="en-US"/>
        </w:rPr>
      </w:pPr>
      <w:hyperlink w:anchor="_Toc464323566" w:history="1">
        <w:r w:rsidR="008209A2" w:rsidRPr="00AA0819">
          <w:rPr>
            <w:rStyle w:val="Hyperlink"/>
            <w:rFonts w:eastAsia="Times New Roman"/>
            <w:lang w:eastAsia="en-US"/>
          </w:rPr>
          <w:t>EMS Service Delivery System and Logistical Support Services</w:t>
        </w:r>
        <w:r w:rsidR="008209A2">
          <w:rPr>
            <w:webHidden/>
          </w:rPr>
          <w:tab/>
        </w:r>
        <w:r w:rsidR="008209A2">
          <w:rPr>
            <w:webHidden/>
          </w:rPr>
          <w:fldChar w:fldCharType="begin"/>
        </w:r>
        <w:r w:rsidR="008209A2">
          <w:rPr>
            <w:webHidden/>
          </w:rPr>
          <w:instrText xml:space="preserve"> PAGEREF _Toc464323566 \h </w:instrText>
        </w:r>
        <w:r w:rsidR="008209A2">
          <w:rPr>
            <w:webHidden/>
          </w:rPr>
        </w:r>
        <w:r w:rsidR="008209A2">
          <w:rPr>
            <w:webHidden/>
          </w:rPr>
          <w:fldChar w:fldCharType="separate"/>
        </w:r>
        <w:r w:rsidR="008209A2">
          <w:rPr>
            <w:webHidden/>
          </w:rPr>
          <w:t>72</w:t>
        </w:r>
        <w:r w:rsidR="008209A2">
          <w:rPr>
            <w:webHidden/>
          </w:rPr>
          <w:fldChar w:fldCharType="end"/>
        </w:r>
      </w:hyperlink>
    </w:p>
    <w:p w14:paraId="7C1803D3" w14:textId="348E6E69" w:rsidR="008209A2" w:rsidRDefault="00432AD4">
      <w:pPr>
        <w:pStyle w:val="TOC3"/>
        <w:rPr>
          <w:rFonts w:asciiTheme="minorHAnsi" w:eastAsiaTheme="minorEastAsia" w:hAnsiTheme="minorHAnsi"/>
          <w:szCs w:val="22"/>
          <w:lang w:eastAsia="en-US"/>
        </w:rPr>
      </w:pPr>
      <w:hyperlink w:anchor="_Toc464323567" w:history="1">
        <w:r w:rsidR="008209A2" w:rsidRPr="00AA0819">
          <w:rPr>
            <w:rStyle w:val="Hyperlink"/>
            <w:rFonts w:eastAsia="Times New Roman"/>
            <w:lang w:eastAsia="en-US"/>
          </w:rPr>
          <w:t>Current Medical Control and Oversight</w:t>
        </w:r>
        <w:r w:rsidR="008209A2">
          <w:rPr>
            <w:webHidden/>
          </w:rPr>
          <w:tab/>
        </w:r>
        <w:r w:rsidR="008209A2">
          <w:rPr>
            <w:webHidden/>
          </w:rPr>
          <w:fldChar w:fldCharType="begin"/>
        </w:r>
        <w:r w:rsidR="008209A2">
          <w:rPr>
            <w:webHidden/>
          </w:rPr>
          <w:instrText xml:space="preserve"> PAGEREF _Toc464323567 \h </w:instrText>
        </w:r>
        <w:r w:rsidR="008209A2">
          <w:rPr>
            <w:webHidden/>
          </w:rPr>
        </w:r>
        <w:r w:rsidR="008209A2">
          <w:rPr>
            <w:webHidden/>
          </w:rPr>
          <w:fldChar w:fldCharType="separate"/>
        </w:r>
        <w:r w:rsidR="008209A2">
          <w:rPr>
            <w:webHidden/>
          </w:rPr>
          <w:t>77</w:t>
        </w:r>
        <w:r w:rsidR="008209A2">
          <w:rPr>
            <w:webHidden/>
          </w:rPr>
          <w:fldChar w:fldCharType="end"/>
        </w:r>
      </w:hyperlink>
    </w:p>
    <w:p w14:paraId="4057BA20" w14:textId="023F990F" w:rsidR="008209A2" w:rsidRDefault="00432AD4">
      <w:pPr>
        <w:pStyle w:val="TOC3"/>
        <w:rPr>
          <w:rFonts w:asciiTheme="minorHAnsi" w:eastAsiaTheme="minorEastAsia" w:hAnsiTheme="minorHAnsi"/>
          <w:szCs w:val="22"/>
          <w:lang w:eastAsia="en-US"/>
        </w:rPr>
      </w:pPr>
      <w:hyperlink w:anchor="_Toc464323568" w:history="1">
        <w:r w:rsidR="008209A2" w:rsidRPr="00AA0819">
          <w:rPr>
            <w:rStyle w:val="Hyperlink"/>
            <w:rFonts w:eastAsia="Times New Roman"/>
            <w:lang w:eastAsia="en-US"/>
          </w:rPr>
          <w:t>Quality Assurance/Quality Improvement Mechanisms</w:t>
        </w:r>
        <w:r w:rsidR="008209A2">
          <w:rPr>
            <w:webHidden/>
          </w:rPr>
          <w:tab/>
        </w:r>
        <w:r w:rsidR="008209A2">
          <w:rPr>
            <w:webHidden/>
          </w:rPr>
          <w:fldChar w:fldCharType="begin"/>
        </w:r>
        <w:r w:rsidR="008209A2">
          <w:rPr>
            <w:webHidden/>
          </w:rPr>
          <w:instrText xml:space="preserve"> PAGEREF _Toc464323568 \h </w:instrText>
        </w:r>
        <w:r w:rsidR="008209A2">
          <w:rPr>
            <w:webHidden/>
          </w:rPr>
        </w:r>
        <w:r w:rsidR="008209A2">
          <w:rPr>
            <w:webHidden/>
          </w:rPr>
          <w:fldChar w:fldCharType="separate"/>
        </w:r>
        <w:r w:rsidR="008209A2">
          <w:rPr>
            <w:webHidden/>
          </w:rPr>
          <w:t>77</w:t>
        </w:r>
        <w:r w:rsidR="008209A2">
          <w:rPr>
            <w:webHidden/>
          </w:rPr>
          <w:fldChar w:fldCharType="end"/>
        </w:r>
      </w:hyperlink>
    </w:p>
    <w:p w14:paraId="008C3CDD" w14:textId="54254164" w:rsidR="008209A2" w:rsidRDefault="00432AD4">
      <w:pPr>
        <w:pStyle w:val="TOC3"/>
        <w:rPr>
          <w:rFonts w:asciiTheme="minorHAnsi" w:eastAsiaTheme="minorEastAsia" w:hAnsiTheme="minorHAnsi"/>
          <w:szCs w:val="22"/>
          <w:lang w:eastAsia="en-US"/>
        </w:rPr>
      </w:pPr>
      <w:hyperlink w:anchor="_Toc464323569" w:history="1">
        <w:r w:rsidR="008209A2" w:rsidRPr="00AA0819">
          <w:rPr>
            <w:rStyle w:val="Hyperlink"/>
            <w:rFonts w:eastAsia="Times New Roman"/>
            <w:lang w:eastAsia="en-US"/>
          </w:rPr>
          <w:t>EMS System Integrity and Required Credentialing</w:t>
        </w:r>
        <w:r w:rsidR="008209A2">
          <w:rPr>
            <w:webHidden/>
          </w:rPr>
          <w:tab/>
        </w:r>
        <w:r w:rsidR="008209A2">
          <w:rPr>
            <w:webHidden/>
          </w:rPr>
          <w:fldChar w:fldCharType="begin"/>
        </w:r>
        <w:r w:rsidR="008209A2">
          <w:rPr>
            <w:webHidden/>
          </w:rPr>
          <w:instrText xml:space="preserve"> PAGEREF _Toc464323569 \h </w:instrText>
        </w:r>
        <w:r w:rsidR="008209A2">
          <w:rPr>
            <w:webHidden/>
          </w:rPr>
        </w:r>
        <w:r w:rsidR="008209A2">
          <w:rPr>
            <w:webHidden/>
          </w:rPr>
          <w:fldChar w:fldCharType="separate"/>
        </w:r>
        <w:r w:rsidR="008209A2">
          <w:rPr>
            <w:webHidden/>
          </w:rPr>
          <w:t>78</w:t>
        </w:r>
        <w:r w:rsidR="008209A2">
          <w:rPr>
            <w:webHidden/>
          </w:rPr>
          <w:fldChar w:fldCharType="end"/>
        </w:r>
      </w:hyperlink>
    </w:p>
    <w:p w14:paraId="1F079898" w14:textId="155BEAEB" w:rsidR="008209A2" w:rsidRDefault="00432AD4">
      <w:pPr>
        <w:pStyle w:val="TOC2"/>
        <w:rPr>
          <w:rFonts w:asciiTheme="minorHAnsi" w:eastAsiaTheme="minorEastAsia" w:hAnsiTheme="minorHAnsi"/>
          <w:bCs w:val="0"/>
          <w:lang w:eastAsia="en-US"/>
        </w:rPr>
      </w:pPr>
      <w:hyperlink w:anchor="_Toc464323570" w:history="1">
        <w:r w:rsidR="008209A2" w:rsidRPr="00AA0819">
          <w:rPr>
            <w:rStyle w:val="Hyperlink"/>
            <w:rFonts w:eastAsia="Times New Roman"/>
          </w:rPr>
          <w:t>Hazardous Materials</w:t>
        </w:r>
        <w:r w:rsidR="008209A2">
          <w:rPr>
            <w:webHidden/>
          </w:rPr>
          <w:tab/>
        </w:r>
        <w:r w:rsidR="008209A2">
          <w:rPr>
            <w:webHidden/>
          </w:rPr>
          <w:fldChar w:fldCharType="begin"/>
        </w:r>
        <w:r w:rsidR="008209A2">
          <w:rPr>
            <w:webHidden/>
          </w:rPr>
          <w:instrText xml:space="preserve"> PAGEREF _Toc464323570 \h </w:instrText>
        </w:r>
        <w:r w:rsidR="008209A2">
          <w:rPr>
            <w:webHidden/>
          </w:rPr>
        </w:r>
        <w:r w:rsidR="008209A2">
          <w:rPr>
            <w:webHidden/>
          </w:rPr>
          <w:fldChar w:fldCharType="separate"/>
        </w:r>
        <w:r w:rsidR="008209A2">
          <w:rPr>
            <w:webHidden/>
          </w:rPr>
          <w:t>80</w:t>
        </w:r>
        <w:r w:rsidR="008209A2">
          <w:rPr>
            <w:webHidden/>
          </w:rPr>
          <w:fldChar w:fldCharType="end"/>
        </w:r>
      </w:hyperlink>
    </w:p>
    <w:p w14:paraId="0175BC71" w14:textId="549D430A" w:rsidR="008209A2" w:rsidRDefault="00432AD4">
      <w:pPr>
        <w:pStyle w:val="TOC3"/>
        <w:rPr>
          <w:rFonts w:asciiTheme="minorHAnsi" w:eastAsiaTheme="minorEastAsia" w:hAnsiTheme="minorHAnsi"/>
          <w:szCs w:val="22"/>
          <w:lang w:eastAsia="en-US"/>
        </w:rPr>
      </w:pPr>
      <w:hyperlink w:anchor="_Toc464323571" w:history="1">
        <w:r w:rsidR="008209A2" w:rsidRPr="00AA0819">
          <w:rPr>
            <w:rStyle w:val="Hyperlink"/>
            <w:rFonts w:eastAsia="Times New Roman"/>
            <w:lang w:eastAsia="en-US"/>
          </w:rPr>
          <w:t>PFD Infrastructure</w:t>
        </w:r>
        <w:r w:rsidR="008209A2">
          <w:rPr>
            <w:webHidden/>
          </w:rPr>
          <w:tab/>
        </w:r>
        <w:r w:rsidR="008209A2">
          <w:rPr>
            <w:webHidden/>
          </w:rPr>
          <w:fldChar w:fldCharType="begin"/>
        </w:r>
        <w:r w:rsidR="008209A2">
          <w:rPr>
            <w:webHidden/>
          </w:rPr>
          <w:instrText xml:space="preserve"> PAGEREF _Toc464323571 \h </w:instrText>
        </w:r>
        <w:r w:rsidR="008209A2">
          <w:rPr>
            <w:webHidden/>
          </w:rPr>
        </w:r>
        <w:r w:rsidR="008209A2">
          <w:rPr>
            <w:webHidden/>
          </w:rPr>
          <w:fldChar w:fldCharType="separate"/>
        </w:r>
        <w:r w:rsidR="008209A2">
          <w:rPr>
            <w:webHidden/>
          </w:rPr>
          <w:t>80</w:t>
        </w:r>
        <w:r w:rsidR="008209A2">
          <w:rPr>
            <w:webHidden/>
          </w:rPr>
          <w:fldChar w:fldCharType="end"/>
        </w:r>
      </w:hyperlink>
    </w:p>
    <w:p w14:paraId="1CCAE307" w14:textId="1B660C7F" w:rsidR="008209A2" w:rsidRDefault="00432AD4">
      <w:pPr>
        <w:pStyle w:val="TOC3"/>
        <w:rPr>
          <w:rFonts w:asciiTheme="minorHAnsi" w:eastAsiaTheme="minorEastAsia" w:hAnsiTheme="minorHAnsi"/>
          <w:szCs w:val="22"/>
          <w:lang w:eastAsia="en-US"/>
        </w:rPr>
      </w:pPr>
      <w:hyperlink w:anchor="_Toc464323572" w:history="1">
        <w:r w:rsidR="008209A2" w:rsidRPr="00AA0819">
          <w:rPr>
            <w:rStyle w:val="Hyperlink"/>
            <w:rFonts w:eastAsia="Times New Roman"/>
            <w:lang w:eastAsia="en-US"/>
          </w:rPr>
          <w:t>Regional Team Make-up</w:t>
        </w:r>
        <w:r w:rsidR="008209A2">
          <w:rPr>
            <w:webHidden/>
          </w:rPr>
          <w:tab/>
        </w:r>
        <w:r w:rsidR="008209A2">
          <w:rPr>
            <w:webHidden/>
          </w:rPr>
          <w:fldChar w:fldCharType="begin"/>
        </w:r>
        <w:r w:rsidR="008209A2">
          <w:rPr>
            <w:webHidden/>
          </w:rPr>
          <w:instrText xml:space="preserve"> PAGEREF _Toc464323572 \h </w:instrText>
        </w:r>
        <w:r w:rsidR="008209A2">
          <w:rPr>
            <w:webHidden/>
          </w:rPr>
        </w:r>
        <w:r w:rsidR="008209A2">
          <w:rPr>
            <w:webHidden/>
          </w:rPr>
          <w:fldChar w:fldCharType="separate"/>
        </w:r>
        <w:r w:rsidR="008209A2">
          <w:rPr>
            <w:webHidden/>
          </w:rPr>
          <w:t>81</w:t>
        </w:r>
        <w:r w:rsidR="008209A2">
          <w:rPr>
            <w:webHidden/>
          </w:rPr>
          <w:fldChar w:fldCharType="end"/>
        </w:r>
      </w:hyperlink>
    </w:p>
    <w:p w14:paraId="2E744692" w14:textId="46E11366" w:rsidR="008209A2" w:rsidRDefault="00432AD4">
      <w:pPr>
        <w:pStyle w:val="TOC2"/>
        <w:rPr>
          <w:rFonts w:asciiTheme="minorHAnsi" w:eastAsiaTheme="minorEastAsia" w:hAnsiTheme="minorHAnsi"/>
          <w:bCs w:val="0"/>
          <w:lang w:eastAsia="en-US"/>
        </w:rPr>
      </w:pPr>
      <w:hyperlink w:anchor="_Toc464323573" w:history="1">
        <w:r w:rsidR="008209A2" w:rsidRPr="00AA0819">
          <w:rPr>
            <w:rStyle w:val="Hyperlink"/>
            <w:rFonts w:cs="Calibri"/>
          </w:rPr>
          <w:t>Technical Rescue</w:t>
        </w:r>
        <w:r w:rsidR="008209A2">
          <w:rPr>
            <w:webHidden/>
          </w:rPr>
          <w:tab/>
        </w:r>
        <w:r w:rsidR="008209A2">
          <w:rPr>
            <w:webHidden/>
          </w:rPr>
          <w:fldChar w:fldCharType="begin"/>
        </w:r>
        <w:r w:rsidR="008209A2">
          <w:rPr>
            <w:webHidden/>
          </w:rPr>
          <w:instrText xml:space="preserve"> PAGEREF _Toc464323573 \h </w:instrText>
        </w:r>
        <w:r w:rsidR="008209A2">
          <w:rPr>
            <w:webHidden/>
          </w:rPr>
        </w:r>
        <w:r w:rsidR="008209A2">
          <w:rPr>
            <w:webHidden/>
          </w:rPr>
          <w:fldChar w:fldCharType="separate"/>
        </w:r>
        <w:r w:rsidR="008209A2">
          <w:rPr>
            <w:webHidden/>
          </w:rPr>
          <w:t>82</w:t>
        </w:r>
        <w:r w:rsidR="008209A2">
          <w:rPr>
            <w:webHidden/>
          </w:rPr>
          <w:fldChar w:fldCharType="end"/>
        </w:r>
      </w:hyperlink>
    </w:p>
    <w:p w14:paraId="3DC40D28" w14:textId="1427BEFC" w:rsidR="008209A2" w:rsidRDefault="00432AD4">
      <w:pPr>
        <w:pStyle w:val="TOC3"/>
        <w:rPr>
          <w:rFonts w:asciiTheme="minorHAnsi" w:eastAsiaTheme="minorEastAsia" w:hAnsiTheme="minorHAnsi"/>
          <w:szCs w:val="22"/>
          <w:lang w:eastAsia="en-US"/>
        </w:rPr>
      </w:pPr>
      <w:hyperlink w:anchor="_Toc464323574" w:history="1">
        <w:r w:rsidR="008209A2" w:rsidRPr="00AA0819">
          <w:rPr>
            <w:rStyle w:val="Hyperlink"/>
            <w:rFonts w:eastAsia="Calibri"/>
          </w:rPr>
          <w:t>Types of Technical Rescue</w:t>
        </w:r>
        <w:r w:rsidR="008209A2">
          <w:rPr>
            <w:webHidden/>
          </w:rPr>
          <w:tab/>
        </w:r>
        <w:r w:rsidR="008209A2">
          <w:rPr>
            <w:webHidden/>
          </w:rPr>
          <w:fldChar w:fldCharType="begin"/>
        </w:r>
        <w:r w:rsidR="008209A2">
          <w:rPr>
            <w:webHidden/>
          </w:rPr>
          <w:instrText xml:space="preserve"> PAGEREF _Toc464323574 \h </w:instrText>
        </w:r>
        <w:r w:rsidR="008209A2">
          <w:rPr>
            <w:webHidden/>
          </w:rPr>
        </w:r>
        <w:r w:rsidR="008209A2">
          <w:rPr>
            <w:webHidden/>
          </w:rPr>
          <w:fldChar w:fldCharType="separate"/>
        </w:r>
        <w:r w:rsidR="008209A2">
          <w:rPr>
            <w:webHidden/>
          </w:rPr>
          <w:t>82</w:t>
        </w:r>
        <w:r w:rsidR="008209A2">
          <w:rPr>
            <w:webHidden/>
          </w:rPr>
          <w:fldChar w:fldCharType="end"/>
        </w:r>
      </w:hyperlink>
    </w:p>
    <w:p w14:paraId="25398143" w14:textId="77AD96BC" w:rsidR="008209A2" w:rsidRDefault="00432AD4">
      <w:pPr>
        <w:pStyle w:val="TOC3"/>
        <w:rPr>
          <w:rFonts w:asciiTheme="minorHAnsi" w:eastAsiaTheme="minorEastAsia" w:hAnsiTheme="minorHAnsi"/>
          <w:szCs w:val="22"/>
          <w:lang w:eastAsia="en-US"/>
        </w:rPr>
      </w:pPr>
      <w:hyperlink w:anchor="_Toc464323575" w:history="1">
        <w:r w:rsidR="008209A2" w:rsidRPr="00AA0819">
          <w:rPr>
            <w:rStyle w:val="Hyperlink"/>
            <w:rFonts w:eastAsia="Calibri"/>
          </w:rPr>
          <w:t>Technical Rescue Team Configuration</w:t>
        </w:r>
        <w:r w:rsidR="008209A2">
          <w:rPr>
            <w:webHidden/>
          </w:rPr>
          <w:tab/>
        </w:r>
        <w:r w:rsidR="008209A2">
          <w:rPr>
            <w:webHidden/>
          </w:rPr>
          <w:fldChar w:fldCharType="begin"/>
        </w:r>
        <w:r w:rsidR="008209A2">
          <w:rPr>
            <w:webHidden/>
          </w:rPr>
          <w:instrText xml:space="preserve"> PAGEREF _Toc464323575 \h </w:instrText>
        </w:r>
        <w:r w:rsidR="008209A2">
          <w:rPr>
            <w:webHidden/>
          </w:rPr>
        </w:r>
        <w:r w:rsidR="008209A2">
          <w:rPr>
            <w:webHidden/>
          </w:rPr>
          <w:fldChar w:fldCharType="separate"/>
        </w:r>
        <w:r w:rsidR="008209A2">
          <w:rPr>
            <w:webHidden/>
          </w:rPr>
          <w:t>82</w:t>
        </w:r>
        <w:r w:rsidR="008209A2">
          <w:rPr>
            <w:webHidden/>
          </w:rPr>
          <w:fldChar w:fldCharType="end"/>
        </w:r>
      </w:hyperlink>
    </w:p>
    <w:p w14:paraId="2A20B6FE" w14:textId="0E358A3D" w:rsidR="008209A2" w:rsidRDefault="00432AD4">
      <w:pPr>
        <w:pStyle w:val="TOC2"/>
        <w:rPr>
          <w:rFonts w:asciiTheme="minorHAnsi" w:eastAsiaTheme="minorEastAsia" w:hAnsiTheme="minorHAnsi"/>
          <w:bCs w:val="0"/>
          <w:lang w:eastAsia="en-US"/>
        </w:rPr>
      </w:pPr>
      <w:hyperlink w:anchor="_Toc464323576" w:history="1">
        <w:r w:rsidR="008209A2" w:rsidRPr="00AA0819">
          <w:rPr>
            <w:rStyle w:val="Hyperlink"/>
          </w:rPr>
          <w:t>Airport Impacts</w:t>
        </w:r>
        <w:r w:rsidR="008209A2">
          <w:rPr>
            <w:webHidden/>
          </w:rPr>
          <w:tab/>
        </w:r>
        <w:r w:rsidR="008209A2">
          <w:rPr>
            <w:webHidden/>
          </w:rPr>
          <w:fldChar w:fldCharType="begin"/>
        </w:r>
        <w:r w:rsidR="008209A2">
          <w:rPr>
            <w:webHidden/>
          </w:rPr>
          <w:instrText xml:space="preserve"> PAGEREF _Toc464323576 \h </w:instrText>
        </w:r>
        <w:r w:rsidR="008209A2">
          <w:rPr>
            <w:webHidden/>
          </w:rPr>
        </w:r>
        <w:r w:rsidR="008209A2">
          <w:rPr>
            <w:webHidden/>
          </w:rPr>
          <w:fldChar w:fldCharType="separate"/>
        </w:r>
        <w:r w:rsidR="008209A2">
          <w:rPr>
            <w:webHidden/>
          </w:rPr>
          <w:t>84</w:t>
        </w:r>
        <w:r w:rsidR="008209A2">
          <w:rPr>
            <w:webHidden/>
          </w:rPr>
          <w:fldChar w:fldCharType="end"/>
        </w:r>
      </w:hyperlink>
    </w:p>
    <w:p w14:paraId="4418E4F9" w14:textId="3B114C52" w:rsidR="008209A2" w:rsidRDefault="00432AD4">
      <w:pPr>
        <w:pStyle w:val="TOC3"/>
        <w:rPr>
          <w:rFonts w:asciiTheme="minorHAnsi" w:eastAsiaTheme="minorEastAsia" w:hAnsiTheme="minorHAnsi"/>
          <w:szCs w:val="22"/>
          <w:lang w:eastAsia="en-US"/>
        </w:rPr>
      </w:pPr>
      <w:hyperlink w:anchor="_Toc464323577" w:history="1">
        <w:r w:rsidR="008209A2" w:rsidRPr="00AA0819">
          <w:rPr>
            <w:rStyle w:val="Hyperlink"/>
          </w:rPr>
          <w:t>Adequacy of the Current ARFF Response Capability at the Tri-Cities Airport</w:t>
        </w:r>
        <w:r w:rsidR="008209A2">
          <w:rPr>
            <w:webHidden/>
          </w:rPr>
          <w:tab/>
        </w:r>
        <w:r w:rsidR="008209A2">
          <w:rPr>
            <w:webHidden/>
          </w:rPr>
          <w:fldChar w:fldCharType="begin"/>
        </w:r>
        <w:r w:rsidR="008209A2">
          <w:rPr>
            <w:webHidden/>
          </w:rPr>
          <w:instrText xml:space="preserve"> PAGEREF _Toc464323577 \h </w:instrText>
        </w:r>
        <w:r w:rsidR="008209A2">
          <w:rPr>
            <w:webHidden/>
          </w:rPr>
        </w:r>
        <w:r w:rsidR="008209A2">
          <w:rPr>
            <w:webHidden/>
          </w:rPr>
          <w:fldChar w:fldCharType="separate"/>
        </w:r>
        <w:r w:rsidR="008209A2">
          <w:rPr>
            <w:webHidden/>
          </w:rPr>
          <w:t>85</w:t>
        </w:r>
        <w:r w:rsidR="008209A2">
          <w:rPr>
            <w:webHidden/>
          </w:rPr>
          <w:fldChar w:fldCharType="end"/>
        </w:r>
      </w:hyperlink>
    </w:p>
    <w:p w14:paraId="0A14EEDD" w14:textId="0237296F" w:rsidR="008209A2" w:rsidRDefault="00432AD4">
      <w:pPr>
        <w:pStyle w:val="TOC3"/>
        <w:rPr>
          <w:rFonts w:asciiTheme="minorHAnsi" w:eastAsiaTheme="minorEastAsia" w:hAnsiTheme="minorHAnsi"/>
          <w:szCs w:val="22"/>
          <w:lang w:eastAsia="en-US"/>
        </w:rPr>
      </w:pPr>
      <w:hyperlink w:anchor="_Toc464323578" w:history="1">
        <w:r w:rsidR="008209A2" w:rsidRPr="00AA0819">
          <w:rPr>
            <w:rStyle w:val="Hyperlink"/>
          </w:rPr>
          <w:t>Potential Impact to Growth in Pasco Based on the Planned Growth of the Airport</w:t>
        </w:r>
        <w:r w:rsidR="008209A2">
          <w:rPr>
            <w:webHidden/>
          </w:rPr>
          <w:tab/>
        </w:r>
        <w:r w:rsidR="008209A2">
          <w:rPr>
            <w:webHidden/>
          </w:rPr>
          <w:fldChar w:fldCharType="begin"/>
        </w:r>
        <w:r w:rsidR="008209A2">
          <w:rPr>
            <w:webHidden/>
          </w:rPr>
          <w:instrText xml:space="preserve"> PAGEREF _Toc464323578 \h </w:instrText>
        </w:r>
        <w:r w:rsidR="008209A2">
          <w:rPr>
            <w:webHidden/>
          </w:rPr>
        </w:r>
        <w:r w:rsidR="008209A2">
          <w:rPr>
            <w:webHidden/>
          </w:rPr>
          <w:fldChar w:fldCharType="separate"/>
        </w:r>
        <w:r w:rsidR="008209A2">
          <w:rPr>
            <w:webHidden/>
          </w:rPr>
          <w:t>86</w:t>
        </w:r>
        <w:r w:rsidR="008209A2">
          <w:rPr>
            <w:webHidden/>
          </w:rPr>
          <w:fldChar w:fldCharType="end"/>
        </w:r>
      </w:hyperlink>
    </w:p>
    <w:p w14:paraId="601C55EC" w14:textId="4500AF11" w:rsidR="008209A2" w:rsidRDefault="00432AD4">
      <w:pPr>
        <w:pStyle w:val="TOC3"/>
        <w:rPr>
          <w:rFonts w:asciiTheme="minorHAnsi" w:eastAsiaTheme="minorEastAsia" w:hAnsiTheme="minorHAnsi"/>
          <w:szCs w:val="22"/>
          <w:lang w:eastAsia="en-US"/>
        </w:rPr>
      </w:pPr>
      <w:hyperlink w:anchor="_Toc464323579" w:history="1">
        <w:r w:rsidR="008209A2" w:rsidRPr="00AA0819">
          <w:rPr>
            <w:rStyle w:val="Hyperlink"/>
          </w:rPr>
          <w:t>Recommendations Relative to Future Deployment Decisions and Response Demand</w:t>
        </w:r>
        <w:r w:rsidR="008209A2">
          <w:rPr>
            <w:webHidden/>
          </w:rPr>
          <w:tab/>
        </w:r>
        <w:r w:rsidR="008209A2">
          <w:rPr>
            <w:webHidden/>
          </w:rPr>
          <w:fldChar w:fldCharType="begin"/>
        </w:r>
        <w:r w:rsidR="008209A2">
          <w:rPr>
            <w:webHidden/>
          </w:rPr>
          <w:instrText xml:space="preserve"> PAGEREF _Toc464323579 \h </w:instrText>
        </w:r>
        <w:r w:rsidR="008209A2">
          <w:rPr>
            <w:webHidden/>
          </w:rPr>
        </w:r>
        <w:r w:rsidR="008209A2">
          <w:rPr>
            <w:webHidden/>
          </w:rPr>
          <w:fldChar w:fldCharType="separate"/>
        </w:r>
        <w:r w:rsidR="008209A2">
          <w:rPr>
            <w:webHidden/>
          </w:rPr>
          <w:t>87</w:t>
        </w:r>
        <w:r w:rsidR="008209A2">
          <w:rPr>
            <w:webHidden/>
          </w:rPr>
          <w:fldChar w:fldCharType="end"/>
        </w:r>
      </w:hyperlink>
    </w:p>
    <w:p w14:paraId="3A191D12" w14:textId="76FE6C54" w:rsidR="008209A2" w:rsidRDefault="00432AD4">
      <w:pPr>
        <w:pStyle w:val="TOC2"/>
        <w:rPr>
          <w:rFonts w:asciiTheme="minorHAnsi" w:eastAsiaTheme="minorEastAsia" w:hAnsiTheme="minorHAnsi"/>
          <w:bCs w:val="0"/>
          <w:lang w:eastAsia="en-US"/>
        </w:rPr>
      </w:pPr>
      <w:hyperlink w:anchor="_Toc464323580" w:history="1">
        <w:r w:rsidR="008209A2" w:rsidRPr="00AA0819">
          <w:rPr>
            <w:rStyle w:val="Hyperlink"/>
            <w:rFonts w:cs="Calibri"/>
          </w:rPr>
          <w:t>Training</w:t>
        </w:r>
        <w:r w:rsidR="008209A2">
          <w:rPr>
            <w:webHidden/>
          </w:rPr>
          <w:tab/>
        </w:r>
        <w:r w:rsidR="008209A2">
          <w:rPr>
            <w:webHidden/>
          </w:rPr>
          <w:fldChar w:fldCharType="begin"/>
        </w:r>
        <w:r w:rsidR="008209A2">
          <w:rPr>
            <w:webHidden/>
          </w:rPr>
          <w:instrText xml:space="preserve"> PAGEREF _Toc464323580 \h </w:instrText>
        </w:r>
        <w:r w:rsidR="008209A2">
          <w:rPr>
            <w:webHidden/>
          </w:rPr>
        </w:r>
        <w:r w:rsidR="008209A2">
          <w:rPr>
            <w:webHidden/>
          </w:rPr>
          <w:fldChar w:fldCharType="separate"/>
        </w:r>
        <w:r w:rsidR="008209A2">
          <w:rPr>
            <w:webHidden/>
          </w:rPr>
          <w:t>88</w:t>
        </w:r>
        <w:r w:rsidR="008209A2">
          <w:rPr>
            <w:webHidden/>
          </w:rPr>
          <w:fldChar w:fldCharType="end"/>
        </w:r>
      </w:hyperlink>
    </w:p>
    <w:p w14:paraId="707D0950" w14:textId="0E36E7F5" w:rsidR="008209A2" w:rsidRDefault="00432AD4">
      <w:pPr>
        <w:pStyle w:val="TOC3"/>
        <w:rPr>
          <w:rFonts w:asciiTheme="minorHAnsi" w:eastAsiaTheme="minorEastAsia" w:hAnsiTheme="minorHAnsi"/>
          <w:szCs w:val="22"/>
          <w:lang w:eastAsia="en-US"/>
        </w:rPr>
      </w:pPr>
      <w:hyperlink w:anchor="_Toc464323581" w:history="1">
        <w:r w:rsidR="008209A2" w:rsidRPr="00AA0819">
          <w:rPr>
            <w:rStyle w:val="Hyperlink"/>
            <w:rFonts w:eastAsia="Times New Roman"/>
            <w:lang w:eastAsia="en-US"/>
          </w:rPr>
          <w:t>General Training Competencies</w:t>
        </w:r>
        <w:r w:rsidR="008209A2">
          <w:rPr>
            <w:webHidden/>
          </w:rPr>
          <w:tab/>
        </w:r>
        <w:r w:rsidR="008209A2">
          <w:rPr>
            <w:webHidden/>
          </w:rPr>
          <w:fldChar w:fldCharType="begin"/>
        </w:r>
        <w:r w:rsidR="008209A2">
          <w:rPr>
            <w:webHidden/>
          </w:rPr>
          <w:instrText xml:space="preserve"> PAGEREF _Toc464323581 \h </w:instrText>
        </w:r>
        <w:r w:rsidR="008209A2">
          <w:rPr>
            <w:webHidden/>
          </w:rPr>
        </w:r>
        <w:r w:rsidR="008209A2">
          <w:rPr>
            <w:webHidden/>
          </w:rPr>
          <w:fldChar w:fldCharType="separate"/>
        </w:r>
        <w:r w:rsidR="008209A2">
          <w:rPr>
            <w:webHidden/>
          </w:rPr>
          <w:t>88</w:t>
        </w:r>
        <w:r w:rsidR="008209A2">
          <w:rPr>
            <w:webHidden/>
          </w:rPr>
          <w:fldChar w:fldCharType="end"/>
        </w:r>
      </w:hyperlink>
    </w:p>
    <w:p w14:paraId="07DB30BC" w14:textId="1206B22F" w:rsidR="008209A2" w:rsidRDefault="00432AD4">
      <w:pPr>
        <w:pStyle w:val="TOC3"/>
        <w:rPr>
          <w:rFonts w:asciiTheme="minorHAnsi" w:eastAsiaTheme="minorEastAsia" w:hAnsiTheme="minorHAnsi"/>
          <w:szCs w:val="22"/>
          <w:lang w:eastAsia="en-US"/>
        </w:rPr>
      </w:pPr>
      <w:hyperlink w:anchor="_Toc464323582" w:history="1">
        <w:r w:rsidR="008209A2" w:rsidRPr="00AA0819">
          <w:rPr>
            <w:rStyle w:val="Hyperlink"/>
            <w:rFonts w:eastAsia="Times New Roman"/>
            <w:lang w:eastAsia="en-US"/>
          </w:rPr>
          <w:t>Training Administration</w:t>
        </w:r>
        <w:r w:rsidR="008209A2">
          <w:rPr>
            <w:webHidden/>
          </w:rPr>
          <w:tab/>
        </w:r>
        <w:r w:rsidR="008209A2">
          <w:rPr>
            <w:webHidden/>
          </w:rPr>
          <w:fldChar w:fldCharType="begin"/>
        </w:r>
        <w:r w:rsidR="008209A2">
          <w:rPr>
            <w:webHidden/>
          </w:rPr>
          <w:instrText xml:space="preserve"> PAGEREF _Toc464323582 \h </w:instrText>
        </w:r>
        <w:r w:rsidR="008209A2">
          <w:rPr>
            <w:webHidden/>
          </w:rPr>
        </w:r>
        <w:r w:rsidR="008209A2">
          <w:rPr>
            <w:webHidden/>
          </w:rPr>
          <w:fldChar w:fldCharType="separate"/>
        </w:r>
        <w:r w:rsidR="008209A2">
          <w:rPr>
            <w:webHidden/>
          </w:rPr>
          <w:t>90</w:t>
        </w:r>
        <w:r w:rsidR="008209A2">
          <w:rPr>
            <w:webHidden/>
          </w:rPr>
          <w:fldChar w:fldCharType="end"/>
        </w:r>
      </w:hyperlink>
    </w:p>
    <w:p w14:paraId="7EE95AB5" w14:textId="59D334C5" w:rsidR="008209A2" w:rsidRDefault="00432AD4">
      <w:pPr>
        <w:pStyle w:val="TOC3"/>
        <w:rPr>
          <w:rFonts w:asciiTheme="minorHAnsi" w:eastAsiaTheme="minorEastAsia" w:hAnsiTheme="minorHAnsi"/>
          <w:szCs w:val="22"/>
          <w:lang w:eastAsia="en-US"/>
        </w:rPr>
      </w:pPr>
      <w:hyperlink w:anchor="_Toc464323583" w:history="1">
        <w:r w:rsidR="008209A2" w:rsidRPr="00AA0819">
          <w:rPr>
            <w:rStyle w:val="Hyperlink"/>
            <w:rFonts w:eastAsia="Times New Roman"/>
            <w:lang w:eastAsia="en-US"/>
          </w:rPr>
          <w:t>Training Schedules</w:t>
        </w:r>
        <w:r w:rsidR="008209A2">
          <w:rPr>
            <w:webHidden/>
          </w:rPr>
          <w:tab/>
        </w:r>
        <w:r w:rsidR="008209A2">
          <w:rPr>
            <w:webHidden/>
          </w:rPr>
          <w:fldChar w:fldCharType="begin"/>
        </w:r>
        <w:r w:rsidR="008209A2">
          <w:rPr>
            <w:webHidden/>
          </w:rPr>
          <w:instrText xml:space="preserve"> PAGEREF _Toc464323583 \h </w:instrText>
        </w:r>
        <w:r w:rsidR="008209A2">
          <w:rPr>
            <w:webHidden/>
          </w:rPr>
        </w:r>
        <w:r w:rsidR="008209A2">
          <w:rPr>
            <w:webHidden/>
          </w:rPr>
          <w:fldChar w:fldCharType="separate"/>
        </w:r>
        <w:r w:rsidR="008209A2">
          <w:rPr>
            <w:webHidden/>
          </w:rPr>
          <w:t>90</w:t>
        </w:r>
        <w:r w:rsidR="008209A2">
          <w:rPr>
            <w:webHidden/>
          </w:rPr>
          <w:fldChar w:fldCharType="end"/>
        </w:r>
      </w:hyperlink>
    </w:p>
    <w:p w14:paraId="5949DDB8" w14:textId="737B26DF" w:rsidR="008209A2" w:rsidRDefault="00432AD4">
      <w:pPr>
        <w:pStyle w:val="TOC3"/>
        <w:rPr>
          <w:rFonts w:asciiTheme="minorHAnsi" w:eastAsiaTheme="minorEastAsia" w:hAnsiTheme="minorHAnsi"/>
          <w:szCs w:val="22"/>
          <w:lang w:eastAsia="en-US"/>
        </w:rPr>
      </w:pPr>
      <w:hyperlink w:anchor="_Toc464323584" w:history="1">
        <w:r w:rsidR="008209A2" w:rsidRPr="00AA0819">
          <w:rPr>
            <w:rStyle w:val="Hyperlink"/>
            <w:rFonts w:eastAsia="Times New Roman"/>
            <w:lang w:eastAsia="en-US"/>
          </w:rPr>
          <w:t>Training Facilities</w:t>
        </w:r>
        <w:r w:rsidR="008209A2">
          <w:rPr>
            <w:webHidden/>
          </w:rPr>
          <w:tab/>
        </w:r>
        <w:r w:rsidR="008209A2">
          <w:rPr>
            <w:webHidden/>
          </w:rPr>
          <w:fldChar w:fldCharType="begin"/>
        </w:r>
        <w:r w:rsidR="008209A2">
          <w:rPr>
            <w:webHidden/>
          </w:rPr>
          <w:instrText xml:space="preserve"> PAGEREF _Toc464323584 \h </w:instrText>
        </w:r>
        <w:r w:rsidR="008209A2">
          <w:rPr>
            <w:webHidden/>
          </w:rPr>
        </w:r>
        <w:r w:rsidR="008209A2">
          <w:rPr>
            <w:webHidden/>
          </w:rPr>
          <w:fldChar w:fldCharType="separate"/>
        </w:r>
        <w:r w:rsidR="008209A2">
          <w:rPr>
            <w:webHidden/>
          </w:rPr>
          <w:t>91</w:t>
        </w:r>
        <w:r w:rsidR="008209A2">
          <w:rPr>
            <w:webHidden/>
          </w:rPr>
          <w:fldChar w:fldCharType="end"/>
        </w:r>
      </w:hyperlink>
    </w:p>
    <w:p w14:paraId="01CBC160" w14:textId="44ECFAAD" w:rsidR="008209A2" w:rsidRDefault="00432AD4">
      <w:pPr>
        <w:pStyle w:val="TOC3"/>
        <w:rPr>
          <w:rFonts w:asciiTheme="minorHAnsi" w:eastAsiaTheme="minorEastAsia" w:hAnsiTheme="minorHAnsi"/>
          <w:szCs w:val="22"/>
          <w:lang w:eastAsia="en-US"/>
        </w:rPr>
      </w:pPr>
      <w:hyperlink w:anchor="_Toc464323585" w:history="1">
        <w:r w:rsidR="008209A2" w:rsidRPr="00AA0819">
          <w:rPr>
            <w:rStyle w:val="Hyperlink"/>
            <w:rFonts w:eastAsia="Times New Roman"/>
            <w:lang w:eastAsia="en-US"/>
          </w:rPr>
          <w:t>Training Procedures, Manuals, and Protocols</w:t>
        </w:r>
        <w:r w:rsidR="008209A2">
          <w:rPr>
            <w:webHidden/>
          </w:rPr>
          <w:tab/>
        </w:r>
        <w:r w:rsidR="008209A2">
          <w:rPr>
            <w:webHidden/>
          </w:rPr>
          <w:fldChar w:fldCharType="begin"/>
        </w:r>
        <w:r w:rsidR="008209A2">
          <w:rPr>
            <w:webHidden/>
          </w:rPr>
          <w:instrText xml:space="preserve"> PAGEREF _Toc464323585 \h </w:instrText>
        </w:r>
        <w:r w:rsidR="008209A2">
          <w:rPr>
            <w:webHidden/>
          </w:rPr>
        </w:r>
        <w:r w:rsidR="008209A2">
          <w:rPr>
            <w:webHidden/>
          </w:rPr>
          <w:fldChar w:fldCharType="separate"/>
        </w:r>
        <w:r w:rsidR="008209A2">
          <w:rPr>
            <w:webHidden/>
          </w:rPr>
          <w:t>92</w:t>
        </w:r>
        <w:r w:rsidR="008209A2">
          <w:rPr>
            <w:webHidden/>
          </w:rPr>
          <w:fldChar w:fldCharType="end"/>
        </w:r>
      </w:hyperlink>
    </w:p>
    <w:p w14:paraId="00C63813" w14:textId="7E1E9DFF" w:rsidR="008209A2" w:rsidRDefault="00432AD4">
      <w:pPr>
        <w:pStyle w:val="TOC3"/>
        <w:rPr>
          <w:rFonts w:asciiTheme="minorHAnsi" w:eastAsiaTheme="minorEastAsia" w:hAnsiTheme="minorHAnsi"/>
          <w:szCs w:val="22"/>
          <w:lang w:eastAsia="en-US"/>
        </w:rPr>
      </w:pPr>
      <w:hyperlink w:anchor="_Toc464323586" w:history="1">
        <w:r w:rsidR="008209A2" w:rsidRPr="00AA0819">
          <w:rPr>
            <w:rStyle w:val="Hyperlink"/>
            <w:rFonts w:eastAsia="Times New Roman"/>
            <w:lang w:eastAsia="en-US"/>
          </w:rPr>
          <w:t>Training Record Keeping</w:t>
        </w:r>
        <w:r w:rsidR="008209A2">
          <w:rPr>
            <w:webHidden/>
          </w:rPr>
          <w:tab/>
        </w:r>
        <w:r w:rsidR="008209A2">
          <w:rPr>
            <w:webHidden/>
          </w:rPr>
          <w:fldChar w:fldCharType="begin"/>
        </w:r>
        <w:r w:rsidR="008209A2">
          <w:rPr>
            <w:webHidden/>
          </w:rPr>
          <w:instrText xml:space="preserve"> PAGEREF _Toc464323586 \h </w:instrText>
        </w:r>
        <w:r w:rsidR="008209A2">
          <w:rPr>
            <w:webHidden/>
          </w:rPr>
        </w:r>
        <w:r w:rsidR="008209A2">
          <w:rPr>
            <w:webHidden/>
          </w:rPr>
          <w:fldChar w:fldCharType="separate"/>
        </w:r>
        <w:r w:rsidR="008209A2">
          <w:rPr>
            <w:webHidden/>
          </w:rPr>
          <w:t>92</w:t>
        </w:r>
        <w:r w:rsidR="008209A2">
          <w:rPr>
            <w:webHidden/>
          </w:rPr>
          <w:fldChar w:fldCharType="end"/>
        </w:r>
      </w:hyperlink>
    </w:p>
    <w:p w14:paraId="4F61ED39" w14:textId="45E88B56" w:rsidR="008209A2" w:rsidRDefault="00432AD4">
      <w:pPr>
        <w:pStyle w:val="TOC2"/>
        <w:rPr>
          <w:rFonts w:asciiTheme="minorHAnsi" w:eastAsiaTheme="minorEastAsia" w:hAnsiTheme="minorHAnsi"/>
          <w:bCs w:val="0"/>
          <w:lang w:eastAsia="en-US"/>
        </w:rPr>
      </w:pPr>
      <w:hyperlink w:anchor="_Toc464323587" w:history="1">
        <w:r w:rsidR="008209A2" w:rsidRPr="00AA0819">
          <w:rPr>
            <w:rStyle w:val="Hyperlink"/>
            <w:rFonts w:cs="Calibri"/>
          </w:rPr>
          <w:t>Fire Prevention</w:t>
        </w:r>
        <w:r w:rsidR="008209A2">
          <w:rPr>
            <w:webHidden/>
          </w:rPr>
          <w:tab/>
        </w:r>
        <w:r w:rsidR="008209A2">
          <w:rPr>
            <w:webHidden/>
          </w:rPr>
          <w:fldChar w:fldCharType="begin"/>
        </w:r>
        <w:r w:rsidR="008209A2">
          <w:rPr>
            <w:webHidden/>
          </w:rPr>
          <w:instrText xml:space="preserve"> PAGEREF _Toc464323587 \h </w:instrText>
        </w:r>
        <w:r w:rsidR="008209A2">
          <w:rPr>
            <w:webHidden/>
          </w:rPr>
        </w:r>
        <w:r w:rsidR="008209A2">
          <w:rPr>
            <w:webHidden/>
          </w:rPr>
          <w:fldChar w:fldCharType="separate"/>
        </w:r>
        <w:r w:rsidR="008209A2">
          <w:rPr>
            <w:webHidden/>
          </w:rPr>
          <w:t>93</w:t>
        </w:r>
        <w:r w:rsidR="008209A2">
          <w:rPr>
            <w:webHidden/>
          </w:rPr>
          <w:fldChar w:fldCharType="end"/>
        </w:r>
      </w:hyperlink>
    </w:p>
    <w:p w14:paraId="7AD676A5" w14:textId="2074755C" w:rsidR="008209A2" w:rsidRDefault="00432AD4">
      <w:pPr>
        <w:pStyle w:val="TOC3"/>
        <w:rPr>
          <w:rFonts w:asciiTheme="minorHAnsi" w:eastAsiaTheme="minorEastAsia" w:hAnsiTheme="minorHAnsi"/>
          <w:szCs w:val="22"/>
          <w:lang w:eastAsia="en-US"/>
        </w:rPr>
      </w:pPr>
      <w:hyperlink w:anchor="_Toc464323588" w:history="1">
        <w:r w:rsidR="008209A2" w:rsidRPr="00AA0819">
          <w:rPr>
            <w:rStyle w:val="Hyperlink"/>
            <w:rFonts w:eastAsia="Calibri"/>
            <w:lang w:val="en-CA"/>
          </w:rPr>
          <w:t>New Construction Plan Review and Inspection</w:t>
        </w:r>
        <w:r w:rsidR="008209A2">
          <w:rPr>
            <w:webHidden/>
          </w:rPr>
          <w:tab/>
        </w:r>
        <w:r w:rsidR="008209A2">
          <w:rPr>
            <w:webHidden/>
          </w:rPr>
          <w:fldChar w:fldCharType="begin"/>
        </w:r>
        <w:r w:rsidR="008209A2">
          <w:rPr>
            <w:webHidden/>
          </w:rPr>
          <w:instrText xml:space="preserve"> PAGEREF _Toc464323588 \h </w:instrText>
        </w:r>
        <w:r w:rsidR="008209A2">
          <w:rPr>
            <w:webHidden/>
          </w:rPr>
        </w:r>
        <w:r w:rsidR="008209A2">
          <w:rPr>
            <w:webHidden/>
          </w:rPr>
          <w:fldChar w:fldCharType="separate"/>
        </w:r>
        <w:r w:rsidR="008209A2">
          <w:rPr>
            <w:webHidden/>
          </w:rPr>
          <w:t>93</w:t>
        </w:r>
        <w:r w:rsidR="008209A2">
          <w:rPr>
            <w:webHidden/>
          </w:rPr>
          <w:fldChar w:fldCharType="end"/>
        </w:r>
      </w:hyperlink>
    </w:p>
    <w:p w14:paraId="109287F6" w14:textId="062DC400" w:rsidR="008209A2" w:rsidRDefault="00432AD4">
      <w:pPr>
        <w:pStyle w:val="TOC3"/>
        <w:rPr>
          <w:rFonts w:asciiTheme="minorHAnsi" w:eastAsiaTheme="minorEastAsia" w:hAnsiTheme="minorHAnsi"/>
          <w:szCs w:val="22"/>
          <w:lang w:eastAsia="en-US"/>
        </w:rPr>
      </w:pPr>
      <w:hyperlink w:anchor="_Toc464323589" w:history="1">
        <w:r w:rsidR="008209A2" w:rsidRPr="00AA0819">
          <w:rPr>
            <w:rStyle w:val="Hyperlink"/>
            <w:rFonts w:eastAsia="Times New Roman"/>
            <w:lang w:eastAsia="en-US"/>
          </w:rPr>
          <w:t>Code Enforcement</w:t>
        </w:r>
        <w:r w:rsidR="008209A2">
          <w:rPr>
            <w:webHidden/>
          </w:rPr>
          <w:tab/>
        </w:r>
        <w:r w:rsidR="008209A2">
          <w:rPr>
            <w:webHidden/>
          </w:rPr>
          <w:fldChar w:fldCharType="begin"/>
        </w:r>
        <w:r w:rsidR="008209A2">
          <w:rPr>
            <w:webHidden/>
          </w:rPr>
          <w:instrText xml:space="preserve"> PAGEREF _Toc464323589 \h </w:instrText>
        </w:r>
        <w:r w:rsidR="008209A2">
          <w:rPr>
            <w:webHidden/>
          </w:rPr>
        </w:r>
        <w:r w:rsidR="008209A2">
          <w:rPr>
            <w:webHidden/>
          </w:rPr>
          <w:fldChar w:fldCharType="separate"/>
        </w:r>
        <w:r w:rsidR="008209A2">
          <w:rPr>
            <w:webHidden/>
          </w:rPr>
          <w:t>95</w:t>
        </w:r>
        <w:r w:rsidR="008209A2">
          <w:rPr>
            <w:webHidden/>
          </w:rPr>
          <w:fldChar w:fldCharType="end"/>
        </w:r>
      </w:hyperlink>
    </w:p>
    <w:p w14:paraId="6076B11F" w14:textId="27FBAC15" w:rsidR="008209A2" w:rsidRDefault="00432AD4">
      <w:pPr>
        <w:pStyle w:val="TOC3"/>
        <w:rPr>
          <w:rFonts w:asciiTheme="minorHAnsi" w:eastAsiaTheme="minorEastAsia" w:hAnsiTheme="minorHAnsi"/>
          <w:szCs w:val="22"/>
          <w:lang w:eastAsia="en-US"/>
        </w:rPr>
      </w:pPr>
      <w:hyperlink w:anchor="_Toc464323590" w:history="1">
        <w:r w:rsidR="008209A2" w:rsidRPr="00AA0819">
          <w:rPr>
            <w:rStyle w:val="Hyperlink"/>
            <w:rFonts w:eastAsia="Times New Roman"/>
            <w:lang w:eastAsia="en-US"/>
          </w:rPr>
          <w:t>Fire and Life-Safety Public Education Program</w:t>
        </w:r>
        <w:r w:rsidR="008209A2">
          <w:rPr>
            <w:webHidden/>
          </w:rPr>
          <w:tab/>
        </w:r>
        <w:r w:rsidR="008209A2">
          <w:rPr>
            <w:webHidden/>
          </w:rPr>
          <w:fldChar w:fldCharType="begin"/>
        </w:r>
        <w:r w:rsidR="008209A2">
          <w:rPr>
            <w:webHidden/>
          </w:rPr>
          <w:instrText xml:space="preserve"> PAGEREF _Toc464323590 \h </w:instrText>
        </w:r>
        <w:r w:rsidR="008209A2">
          <w:rPr>
            <w:webHidden/>
          </w:rPr>
        </w:r>
        <w:r w:rsidR="008209A2">
          <w:rPr>
            <w:webHidden/>
          </w:rPr>
          <w:fldChar w:fldCharType="separate"/>
        </w:r>
        <w:r w:rsidR="008209A2">
          <w:rPr>
            <w:webHidden/>
          </w:rPr>
          <w:t>96</w:t>
        </w:r>
        <w:r w:rsidR="008209A2">
          <w:rPr>
            <w:webHidden/>
          </w:rPr>
          <w:fldChar w:fldCharType="end"/>
        </w:r>
      </w:hyperlink>
    </w:p>
    <w:p w14:paraId="4475DA69" w14:textId="68AA3DF2" w:rsidR="008209A2" w:rsidRDefault="00432AD4">
      <w:pPr>
        <w:pStyle w:val="TOC3"/>
        <w:rPr>
          <w:rFonts w:asciiTheme="minorHAnsi" w:eastAsiaTheme="minorEastAsia" w:hAnsiTheme="minorHAnsi"/>
          <w:szCs w:val="22"/>
          <w:lang w:eastAsia="en-US"/>
        </w:rPr>
      </w:pPr>
      <w:hyperlink w:anchor="_Toc464323591" w:history="1">
        <w:r w:rsidR="008209A2" w:rsidRPr="00AA0819">
          <w:rPr>
            <w:rStyle w:val="Hyperlink"/>
            <w:rFonts w:eastAsia="Times New Roman"/>
            <w:lang w:eastAsia="en-US"/>
          </w:rPr>
          <w:t>Community Risk Reduction</w:t>
        </w:r>
        <w:r w:rsidR="008209A2">
          <w:rPr>
            <w:webHidden/>
          </w:rPr>
          <w:tab/>
        </w:r>
        <w:r w:rsidR="008209A2">
          <w:rPr>
            <w:webHidden/>
          </w:rPr>
          <w:fldChar w:fldCharType="begin"/>
        </w:r>
        <w:r w:rsidR="008209A2">
          <w:rPr>
            <w:webHidden/>
          </w:rPr>
          <w:instrText xml:space="preserve"> PAGEREF _Toc464323591 \h </w:instrText>
        </w:r>
        <w:r w:rsidR="008209A2">
          <w:rPr>
            <w:webHidden/>
          </w:rPr>
        </w:r>
        <w:r w:rsidR="008209A2">
          <w:rPr>
            <w:webHidden/>
          </w:rPr>
          <w:fldChar w:fldCharType="separate"/>
        </w:r>
        <w:r w:rsidR="008209A2">
          <w:rPr>
            <w:webHidden/>
          </w:rPr>
          <w:t>97</w:t>
        </w:r>
        <w:r w:rsidR="008209A2">
          <w:rPr>
            <w:webHidden/>
          </w:rPr>
          <w:fldChar w:fldCharType="end"/>
        </w:r>
      </w:hyperlink>
    </w:p>
    <w:p w14:paraId="7848DA6A" w14:textId="6C35F258" w:rsidR="008209A2" w:rsidRDefault="00432AD4">
      <w:pPr>
        <w:pStyle w:val="TOC3"/>
        <w:rPr>
          <w:rFonts w:asciiTheme="minorHAnsi" w:eastAsiaTheme="minorEastAsia" w:hAnsiTheme="minorHAnsi"/>
          <w:szCs w:val="22"/>
          <w:lang w:eastAsia="en-US"/>
        </w:rPr>
      </w:pPr>
      <w:hyperlink w:anchor="_Toc464323592" w:history="1">
        <w:r w:rsidR="008209A2" w:rsidRPr="00AA0819">
          <w:rPr>
            <w:rStyle w:val="Hyperlink"/>
            <w:rFonts w:eastAsia="Times New Roman"/>
            <w:lang w:eastAsia="en-US"/>
          </w:rPr>
          <w:t>Fire Investigation Program</w:t>
        </w:r>
        <w:r w:rsidR="008209A2">
          <w:rPr>
            <w:webHidden/>
          </w:rPr>
          <w:tab/>
        </w:r>
        <w:r w:rsidR="008209A2">
          <w:rPr>
            <w:webHidden/>
          </w:rPr>
          <w:fldChar w:fldCharType="begin"/>
        </w:r>
        <w:r w:rsidR="008209A2">
          <w:rPr>
            <w:webHidden/>
          </w:rPr>
          <w:instrText xml:space="preserve"> PAGEREF _Toc464323592 \h </w:instrText>
        </w:r>
        <w:r w:rsidR="008209A2">
          <w:rPr>
            <w:webHidden/>
          </w:rPr>
        </w:r>
        <w:r w:rsidR="008209A2">
          <w:rPr>
            <w:webHidden/>
          </w:rPr>
          <w:fldChar w:fldCharType="separate"/>
        </w:r>
        <w:r w:rsidR="008209A2">
          <w:rPr>
            <w:webHidden/>
          </w:rPr>
          <w:t>98</w:t>
        </w:r>
        <w:r w:rsidR="008209A2">
          <w:rPr>
            <w:webHidden/>
          </w:rPr>
          <w:fldChar w:fldCharType="end"/>
        </w:r>
      </w:hyperlink>
    </w:p>
    <w:p w14:paraId="1DF00068" w14:textId="2D66345A" w:rsidR="008209A2" w:rsidRDefault="00432AD4">
      <w:pPr>
        <w:pStyle w:val="TOC3"/>
        <w:rPr>
          <w:rFonts w:asciiTheme="minorHAnsi" w:eastAsiaTheme="minorEastAsia" w:hAnsiTheme="minorHAnsi"/>
          <w:szCs w:val="22"/>
          <w:lang w:eastAsia="en-US"/>
        </w:rPr>
      </w:pPr>
      <w:hyperlink w:anchor="_Toc464323593" w:history="1">
        <w:r w:rsidR="008209A2" w:rsidRPr="00AA0819">
          <w:rPr>
            <w:rStyle w:val="Hyperlink"/>
            <w:rFonts w:eastAsia="Times New Roman"/>
            <w:lang w:eastAsia="en-US"/>
          </w:rPr>
          <w:t>Pre-incident Planning</w:t>
        </w:r>
        <w:r w:rsidR="008209A2">
          <w:rPr>
            <w:webHidden/>
          </w:rPr>
          <w:tab/>
        </w:r>
        <w:r w:rsidR="008209A2">
          <w:rPr>
            <w:webHidden/>
          </w:rPr>
          <w:fldChar w:fldCharType="begin"/>
        </w:r>
        <w:r w:rsidR="008209A2">
          <w:rPr>
            <w:webHidden/>
          </w:rPr>
          <w:instrText xml:space="preserve"> PAGEREF _Toc464323593 \h </w:instrText>
        </w:r>
        <w:r w:rsidR="008209A2">
          <w:rPr>
            <w:webHidden/>
          </w:rPr>
        </w:r>
        <w:r w:rsidR="008209A2">
          <w:rPr>
            <w:webHidden/>
          </w:rPr>
          <w:fldChar w:fldCharType="separate"/>
        </w:r>
        <w:r w:rsidR="008209A2">
          <w:rPr>
            <w:webHidden/>
          </w:rPr>
          <w:t>99</w:t>
        </w:r>
        <w:r w:rsidR="008209A2">
          <w:rPr>
            <w:webHidden/>
          </w:rPr>
          <w:fldChar w:fldCharType="end"/>
        </w:r>
      </w:hyperlink>
    </w:p>
    <w:p w14:paraId="1B4C5ED7" w14:textId="7FE98792" w:rsidR="008209A2" w:rsidRDefault="00432AD4">
      <w:pPr>
        <w:pStyle w:val="TOC3"/>
        <w:rPr>
          <w:rFonts w:asciiTheme="minorHAnsi" w:eastAsiaTheme="minorEastAsia" w:hAnsiTheme="minorHAnsi"/>
          <w:szCs w:val="22"/>
          <w:lang w:eastAsia="en-US"/>
        </w:rPr>
      </w:pPr>
      <w:hyperlink w:anchor="_Toc464323594" w:history="1">
        <w:r w:rsidR="008209A2" w:rsidRPr="00AA0819">
          <w:rPr>
            <w:rStyle w:val="Hyperlink"/>
            <w:rFonts w:eastAsia="Times New Roman"/>
            <w:lang w:eastAsia="en-US"/>
          </w:rPr>
          <w:t>Statistical Collection and Analysis</w:t>
        </w:r>
        <w:r w:rsidR="008209A2">
          <w:rPr>
            <w:webHidden/>
          </w:rPr>
          <w:tab/>
        </w:r>
        <w:r w:rsidR="008209A2">
          <w:rPr>
            <w:webHidden/>
          </w:rPr>
          <w:fldChar w:fldCharType="begin"/>
        </w:r>
        <w:r w:rsidR="008209A2">
          <w:rPr>
            <w:webHidden/>
          </w:rPr>
          <w:instrText xml:space="preserve"> PAGEREF _Toc464323594 \h </w:instrText>
        </w:r>
        <w:r w:rsidR="008209A2">
          <w:rPr>
            <w:webHidden/>
          </w:rPr>
        </w:r>
        <w:r w:rsidR="008209A2">
          <w:rPr>
            <w:webHidden/>
          </w:rPr>
          <w:fldChar w:fldCharType="separate"/>
        </w:r>
        <w:r w:rsidR="008209A2">
          <w:rPr>
            <w:webHidden/>
          </w:rPr>
          <w:t>100</w:t>
        </w:r>
        <w:r w:rsidR="008209A2">
          <w:rPr>
            <w:webHidden/>
          </w:rPr>
          <w:fldChar w:fldCharType="end"/>
        </w:r>
      </w:hyperlink>
    </w:p>
    <w:p w14:paraId="5BDF1567" w14:textId="4B665F11" w:rsidR="008209A2" w:rsidRDefault="00432AD4">
      <w:pPr>
        <w:pStyle w:val="TOC2"/>
        <w:rPr>
          <w:rFonts w:asciiTheme="minorHAnsi" w:eastAsiaTheme="minorEastAsia" w:hAnsiTheme="minorHAnsi"/>
          <w:bCs w:val="0"/>
          <w:lang w:eastAsia="en-US"/>
        </w:rPr>
      </w:pPr>
      <w:hyperlink w:anchor="_Toc464323595" w:history="1">
        <w:r w:rsidR="008209A2" w:rsidRPr="00AA0819">
          <w:rPr>
            <w:rStyle w:val="Hyperlink"/>
            <w:rFonts w:cs="Calibri"/>
          </w:rPr>
          <w:t>Fire Department Planning</w:t>
        </w:r>
        <w:r w:rsidR="008209A2">
          <w:rPr>
            <w:webHidden/>
          </w:rPr>
          <w:tab/>
        </w:r>
        <w:r w:rsidR="008209A2">
          <w:rPr>
            <w:webHidden/>
          </w:rPr>
          <w:fldChar w:fldCharType="begin"/>
        </w:r>
        <w:r w:rsidR="008209A2">
          <w:rPr>
            <w:webHidden/>
          </w:rPr>
          <w:instrText xml:space="preserve"> PAGEREF _Toc464323595 \h </w:instrText>
        </w:r>
        <w:r w:rsidR="008209A2">
          <w:rPr>
            <w:webHidden/>
          </w:rPr>
        </w:r>
        <w:r w:rsidR="008209A2">
          <w:rPr>
            <w:webHidden/>
          </w:rPr>
          <w:fldChar w:fldCharType="separate"/>
        </w:r>
        <w:r w:rsidR="008209A2">
          <w:rPr>
            <w:webHidden/>
          </w:rPr>
          <w:t>102</w:t>
        </w:r>
        <w:r w:rsidR="008209A2">
          <w:rPr>
            <w:webHidden/>
          </w:rPr>
          <w:fldChar w:fldCharType="end"/>
        </w:r>
      </w:hyperlink>
    </w:p>
    <w:p w14:paraId="1844EC35" w14:textId="6F6974F9" w:rsidR="008209A2" w:rsidRDefault="00432AD4">
      <w:pPr>
        <w:pStyle w:val="TOC3"/>
        <w:rPr>
          <w:rFonts w:asciiTheme="minorHAnsi" w:eastAsiaTheme="minorEastAsia" w:hAnsiTheme="minorHAnsi"/>
          <w:szCs w:val="22"/>
          <w:lang w:eastAsia="en-US"/>
        </w:rPr>
      </w:pPr>
      <w:hyperlink w:anchor="_Toc464323596" w:history="1">
        <w:r w:rsidR="008209A2" w:rsidRPr="00AA0819">
          <w:rPr>
            <w:rStyle w:val="Hyperlink"/>
            <w:lang w:eastAsia="en-US"/>
          </w:rPr>
          <w:t>Emergency Preparedness &amp; Response Planning</w:t>
        </w:r>
        <w:r w:rsidR="008209A2">
          <w:rPr>
            <w:webHidden/>
          </w:rPr>
          <w:tab/>
        </w:r>
        <w:r w:rsidR="008209A2">
          <w:rPr>
            <w:webHidden/>
          </w:rPr>
          <w:fldChar w:fldCharType="begin"/>
        </w:r>
        <w:r w:rsidR="008209A2">
          <w:rPr>
            <w:webHidden/>
          </w:rPr>
          <w:instrText xml:space="preserve"> PAGEREF _Toc464323596 \h </w:instrText>
        </w:r>
        <w:r w:rsidR="008209A2">
          <w:rPr>
            <w:webHidden/>
          </w:rPr>
        </w:r>
        <w:r w:rsidR="008209A2">
          <w:rPr>
            <w:webHidden/>
          </w:rPr>
          <w:fldChar w:fldCharType="separate"/>
        </w:r>
        <w:r w:rsidR="008209A2">
          <w:rPr>
            <w:webHidden/>
          </w:rPr>
          <w:t>102</w:t>
        </w:r>
        <w:r w:rsidR="008209A2">
          <w:rPr>
            <w:webHidden/>
          </w:rPr>
          <w:fldChar w:fldCharType="end"/>
        </w:r>
      </w:hyperlink>
    </w:p>
    <w:p w14:paraId="2726744A" w14:textId="38572D23" w:rsidR="008209A2" w:rsidRDefault="00432AD4">
      <w:pPr>
        <w:pStyle w:val="TOC3"/>
        <w:rPr>
          <w:rFonts w:asciiTheme="minorHAnsi" w:eastAsiaTheme="minorEastAsia" w:hAnsiTheme="minorHAnsi"/>
          <w:szCs w:val="22"/>
          <w:lang w:eastAsia="en-US"/>
        </w:rPr>
      </w:pPr>
      <w:hyperlink w:anchor="_Toc464323597" w:history="1">
        <w:r w:rsidR="008209A2" w:rsidRPr="00AA0819">
          <w:rPr>
            <w:rStyle w:val="Hyperlink"/>
            <w:lang w:eastAsia="en-US"/>
          </w:rPr>
          <w:t>Administrative Planning</w:t>
        </w:r>
        <w:r w:rsidR="008209A2">
          <w:rPr>
            <w:webHidden/>
          </w:rPr>
          <w:tab/>
        </w:r>
        <w:r w:rsidR="008209A2">
          <w:rPr>
            <w:webHidden/>
          </w:rPr>
          <w:fldChar w:fldCharType="begin"/>
        </w:r>
        <w:r w:rsidR="008209A2">
          <w:rPr>
            <w:webHidden/>
          </w:rPr>
          <w:instrText xml:space="preserve"> PAGEREF _Toc464323597 \h </w:instrText>
        </w:r>
        <w:r w:rsidR="008209A2">
          <w:rPr>
            <w:webHidden/>
          </w:rPr>
        </w:r>
        <w:r w:rsidR="008209A2">
          <w:rPr>
            <w:webHidden/>
          </w:rPr>
          <w:fldChar w:fldCharType="separate"/>
        </w:r>
        <w:r w:rsidR="008209A2">
          <w:rPr>
            <w:webHidden/>
          </w:rPr>
          <w:t>104</w:t>
        </w:r>
        <w:r w:rsidR="008209A2">
          <w:rPr>
            <w:webHidden/>
          </w:rPr>
          <w:fldChar w:fldCharType="end"/>
        </w:r>
      </w:hyperlink>
    </w:p>
    <w:p w14:paraId="0947F5DB" w14:textId="6898F00A" w:rsidR="008209A2" w:rsidRDefault="00432AD4">
      <w:pPr>
        <w:pStyle w:val="TOC2"/>
        <w:rPr>
          <w:rFonts w:asciiTheme="minorHAnsi" w:eastAsiaTheme="minorEastAsia" w:hAnsiTheme="minorHAnsi"/>
          <w:bCs w:val="0"/>
          <w:lang w:eastAsia="en-US"/>
        </w:rPr>
      </w:pPr>
      <w:hyperlink w:anchor="_Toc464323598" w:history="1">
        <w:r w:rsidR="008209A2" w:rsidRPr="00AA0819">
          <w:rPr>
            <w:rStyle w:val="Hyperlink"/>
            <w:rFonts w:cs="Calibri"/>
          </w:rPr>
          <w:t>Capital Assets and Assessment of Current Infrastructure</w:t>
        </w:r>
        <w:r w:rsidR="008209A2">
          <w:rPr>
            <w:webHidden/>
          </w:rPr>
          <w:tab/>
        </w:r>
        <w:r w:rsidR="008209A2">
          <w:rPr>
            <w:webHidden/>
          </w:rPr>
          <w:fldChar w:fldCharType="begin"/>
        </w:r>
        <w:r w:rsidR="008209A2">
          <w:rPr>
            <w:webHidden/>
          </w:rPr>
          <w:instrText xml:space="preserve"> PAGEREF _Toc464323598 \h </w:instrText>
        </w:r>
        <w:r w:rsidR="008209A2">
          <w:rPr>
            <w:webHidden/>
          </w:rPr>
        </w:r>
        <w:r w:rsidR="008209A2">
          <w:rPr>
            <w:webHidden/>
          </w:rPr>
          <w:fldChar w:fldCharType="separate"/>
        </w:r>
        <w:r w:rsidR="008209A2">
          <w:rPr>
            <w:webHidden/>
          </w:rPr>
          <w:t>106</w:t>
        </w:r>
        <w:r w:rsidR="008209A2">
          <w:rPr>
            <w:webHidden/>
          </w:rPr>
          <w:fldChar w:fldCharType="end"/>
        </w:r>
      </w:hyperlink>
    </w:p>
    <w:p w14:paraId="28AF842A" w14:textId="220A22DC" w:rsidR="008209A2" w:rsidRDefault="00432AD4">
      <w:pPr>
        <w:pStyle w:val="TOC3"/>
        <w:rPr>
          <w:rFonts w:asciiTheme="minorHAnsi" w:eastAsiaTheme="minorEastAsia" w:hAnsiTheme="minorHAnsi"/>
          <w:szCs w:val="22"/>
          <w:lang w:eastAsia="en-US"/>
        </w:rPr>
      </w:pPr>
      <w:hyperlink w:anchor="_Toc464323599" w:history="1">
        <w:r w:rsidR="008209A2" w:rsidRPr="00AA0819">
          <w:rPr>
            <w:rStyle w:val="Hyperlink"/>
            <w:lang w:eastAsia="en-US"/>
          </w:rPr>
          <w:t>Facilities</w:t>
        </w:r>
        <w:r w:rsidR="008209A2">
          <w:rPr>
            <w:webHidden/>
          </w:rPr>
          <w:tab/>
        </w:r>
        <w:r w:rsidR="008209A2">
          <w:rPr>
            <w:webHidden/>
          </w:rPr>
          <w:fldChar w:fldCharType="begin"/>
        </w:r>
        <w:r w:rsidR="008209A2">
          <w:rPr>
            <w:webHidden/>
          </w:rPr>
          <w:instrText xml:space="preserve"> PAGEREF _Toc464323599 \h </w:instrText>
        </w:r>
        <w:r w:rsidR="008209A2">
          <w:rPr>
            <w:webHidden/>
          </w:rPr>
        </w:r>
        <w:r w:rsidR="008209A2">
          <w:rPr>
            <w:webHidden/>
          </w:rPr>
          <w:fldChar w:fldCharType="separate"/>
        </w:r>
        <w:r w:rsidR="008209A2">
          <w:rPr>
            <w:webHidden/>
          </w:rPr>
          <w:t>106</w:t>
        </w:r>
        <w:r w:rsidR="008209A2">
          <w:rPr>
            <w:webHidden/>
          </w:rPr>
          <w:fldChar w:fldCharType="end"/>
        </w:r>
      </w:hyperlink>
    </w:p>
    <w:p w14:paraId="706DFC2C" w14:textId="461A0EFC" w:rsidR="008209A2" w:rsidRDefault="00432AD4">
      <w:pPr>
        <w:pStyle w:val="TOC3"/>
        <w:rPr>
          <w:rFonts w:asciiTheme="minorHAnsi" w:eastAsiaTheme="minorEastAsia" w:hAnsiTheme="minorHAnsi"/>
          <w:szCs w:val="22"/>
          <w:lang w:eastAsia="en-US"/>
        </w:rPr>
      </w:pPr>
      <w:hyperlink w:anchor="_Toc464323600" w:history="1">
        <w:r w:rsidR="008209A2" w:rsidRPr="00AA0819">
          <w:rPr>
            <w:rStyle w:val="Hyperlink"/>
          </w:rPr>
          <w:t>Apparatus</w:t>
        </w:r>
        <w:r w:rsidR="008209A2">
          <w:rPr>
            <w:webHidden/>
          </w:rPr>
          <w:tab/>
        </w:r>
        <w:r w:rsidR="008209A2">
          <w:rPr>
            <w:webHidden/>
          </w:rPr>
          <w:fldChar w:fldCharType="begin"/>
        </w:r>
        <w:r w:rsidR="008209A2">
          <w:rPr>
            <w:webHidden/>
          </w:rPr>
          <w:instrText xml:space="preserve"> PAGEREF _Toc464323600 \h </w:instrText>
        </w:r>
        <w:r w:rsidR="008209A2">
          <w:rPr>
            <w:webHidden/>
          </w:rPr>
        </w:r>
        <w:r w:rsidR="008209A2">
          <w:rPr>
            <w:webHidden/>
          </w:rPr>
          <w:fldChar w:fldCharType="separate"/>
        </w:r>
        <w:r w:rsidR="008209A2">
          <w:rPr>
            <w:webHidden/>
          </w:rPr>
          <w:t>111</w:t>
        </w:r>
        <w:r w:rsidR="008209A2">
          <w:rPr>
            <w:webHidden/>
          </w:rPr>
          <w:fldChar w:fldCharType="end"/>
        </w:r>
      </w:hyperlink>
    </w:p>
    <w:p w14:paraId="467017AC" w14:textId="3EA47B4E" w:rsidR="008209A2" w:rsidRDefault="00432AD4">
      <w:pPr>
        <w:pStyle w:val="TOC2"/>
        <w:rPr>
          <w:rFonts w:asciiTheme="minorHAnsi" w:eastAsiaTheme="minorEastAsia" w:hAnsiTheme="minorHAnsi"/>
          <w:bCs w:val="0"/>
          <w:lang w:eastAsia="en-US"/>
        </w:rPr>
      </w:pPr>
      <w:hyperlink w:anchor="_Toc464323601" w:history="1">
        <w:r w:rsidR="008209A2" w:rsidRPr="00AA0819">
          <w:rPr>
            <w:rStyle w:val="Hyperlink"/>
            <w:rFonts w:eastAsia="Times New Roman" w:cs="Calibri"/>
          </w:rPr>
          <w:t>Service Delivery and Performance</w:t>
        </w:r>
        <w:r w:rsidR="008209A2">
          <w:rPr>
            <w:webHidden/>
          </w:rPr>
          <w:tab/>
        </w:r>
        <w:r w:rsidR="008209A2">
          <w:rPr>
            <w:webHidden/>
          </w:rPr>
          <w:fldChar w:fldCharType="begin"/>
        </w:r>
        <w:r w:rsidR="008209A2">
          <w:rPr>
            <w:webHidden/>
          </w:rPr>
          <w:instrText xml:space="preserve"> PAGEREF _Toc464323601 \h </w:instrText>
        </w:r>
        <w:r w:rsidR="008209A2">
          <w:rPr>
            <w:webHidden/>
          </w:rPr>
        </w:r>
        <w:r w:rsidR="008209A2">
          <w:rPr>
            <w:webHidden/>
          </w:rPr>
          <w:fldChar w:fldCharType="separate"/>
        </w:r>
        <w:r w:rsidR="008209A2">
          <w:rPr>
            <w:webHidden/>
          </w:rPr>
          <w:t>113</w:t>
        </w:r>
        <w:r w:rsidR="008209A2">
          <w:rPr>
            <w:webHidden/>
          </w:rPr>
          <w:fldChar w:fldCharType="end"/>
        </w:r>
      </w:hyperlink>
    </w:p>
    <w:p w14:paraId="55490CB5" w14:textId="0744BB42" w:rsidR="008209A2" w:rsidRDefault="00432AD4">
      <w:pPr>
        <w:pStyle w:val="TOC3"/>
        <w:rPr>
          <w:rFonts w:asciiTheme="minorHAnsi" w:eastAsiaTheme="minorEastAsia" w:hAnsiTheme="minorHAnsi"/>
          <w:szCs w:val="22"/>
          <w:lang w:eastAsia="en-US"/>
        </w:rPr>
      </w:pPr>
      <w:hyperlink w:anchor="_Toc464323602" w:history="1">
        <w:r w:rsidR="008209A2" w:rsidRPr="00AA0819">
          <w:rPr>
            <w:rStyle w:val="Hyperlink"/>
            <w:rFonts w:eastAsia="Times New Roman"/>
            <w:lang w:eastAsia="en-US"/>
          </w:rPr>
          <w:t>Service Demand Study</w:t>
        </w:r>
        <w:r w:rsidR="008209A2">
          <w:rPr>
            <w:webHidden/>
          </w:rPr>
          <w:tab/>
        </w:r>
        <w:r w:rsidR="008209A2">
          <w:rPr>
            <w:webHidden/>
          </w:rPr>
          <w:fldChar w:fldCharType="begin"/>
        </w:r>
        <w:r w:rsidR="008209A2">
          <w:rPr>
            <w:webHidden/>
          </w:rPr>
          <w:instrText xml:space="preserve"> PAGEREF _Toc464323602 \h </w:instrText>
        </w:r>
        <w:r w:rsidR="008209A2">
          <w:rPr>
            <w:webHidden/>
          </w:rPr>
        </w:r>
        <w:r w:rsidR="008209A2">
          <w:rPr>
            <w:webHidden/>
          </w:rPr>
          <w:fldChar w:fldCharType="separate"/>
        </w:r>
        <w:r w:rsidR="008209A2">
          <w:rPr>
            <w:webHidden/>
          </w:rPr>
          <w:t>113</w:t>
        </w:r>
        <w:r w:rsidR="008209A2">
          <w:rPr>
            <w:webHidden/>
          </w:rPr>
          <w:fldChar w:fldCharType="end"/>
        </w:r>
      </w:hyperlink>
    </w:p>
    <w:p w14:paraId="6E7952D1" w14:textId="6D3435B4" w:rsidR="008209A2" w:rsidRDefault="00432AD4">
      <w:pPr>
        <w:pStyle w:val="TOC3"/>
        <w:rPr>
          <w:rFonts w:asciiTheme="minorHAnsi" w:eastAsiaTheme="minorEastAsia" w:hAnsiTheme="minorHAnsi"/>
          <w:szCs w:val="22"/>
          <w:lang w:eastAsia="en-US"/>
        </w:rPr>
      </w:pPr>
      <w:hyperlink w:anchor="_Toc464323603" w:history="1">
        <w:r w:rsidR="008209A2" w:rsidRPr="00AA0819">
          <w:rPr>
            <w:rStyle w:val="Hyperlink"/>
            <w:rFonts w:eastAsia="Times New Roman"/>
            <w:lang w:eastAsia="en-US"/>
          </w:rPr>
          <w:t>Distribution Study</w:t>
        </w:r>
        <w:r w:rsidR="008209A2">
          <w:rPr>
            <w:webHidden/>
          </w:rPr>
          <w:tab/>
        </w:r>
        <w:r w:rsidR="008209A2">
          <w:rPr>
            <w:webHidden/>
          </w:rPr>
          <w:fldChar w:fldCharType="begin"/>
        </w:r>
        <w:r w:rsidR="008209A2">
          <w:rPr>
            <w:webHidden/>
          </w:rPr>
          <w:instrText xml:space="preserve"> PAGEREF _Toc464323603 \h </w:instrText>
        </w:r>
        <w:r w:rsidR="008209A2">
          <w:rPr>
            <w:webHidden/>
          </w:rPr>
        </w:r>
        <w:r w:rsidR="008209A2">
          <w:rPr>
            <w:webHidden/>
          </w:rPr>
          <w:fldChar w:fldCharType="separate"/>
        </w:r>
        <w:r w:rsidR="008209A2">
          <w:rPr>
            <w:webHidden/>
          </w:rPr>
          <w:t>118</w:t>
        </w:r>
        <w:r w:rsidR="008209A2">
          <w:rPr>
            <w:webHidden/>
          </w:rPr>
          <w:fldChar w:fldCharType="end"/>
        </w:r>
      </w:hyperlink>
    </w:p>
    <w:p w14:paraId="3F6B1EAD" w14:textId="06710344" w:rsidR="008209A2" w:rsidRDefault="00432AD4">
      <w:pPr>
        <w:pStyle w:val="TOC3"/>
        <w:rPr>
          <w:rFonts w:asciiTheme="minorHAnsi" w:eastAsiaTheme="minorEastAsia" w:hAnsiTheme="minorHAnsi"/>
          <w:szCs w:val="22"/>
          <w:lang w:eastAsia="en-US"/>
        </w:rPr>
      </w:pPr>
      <w:hyperlink w:anchor="_Toc464323604" w:history="1">
        <w:r w:rsidR="008209A2" w:rsidRPr="00AA0819">
          <w:rPr>
            <w:rStyle w:val="Hyperlink"/>
            <w:lang w:eastAsia="en-US"/>
          </w:rPr>
          <w:t>Concentration Study</w:t>
        </w:r>
        <w:r w:rsidR="008209A2">
          <w:rPr>
            <w:webHidden/>
          </w:rPr>
          <w:tab/>
        </w:r>
        <w:r w:rsidR="008209A2">
          <w:rPr>
            <w:webHidden/>
          </w:rPr>
          <w:fldChar w:fldCharType="begin"/>
        </w:r>
        <w:r w:rsidR="008209A2">
          <w:rPr>
            <w:webHidden/>
          </w:rPr>
          <w:instrText xml:space="preserve"> PAGEREF _Toc464323604 \h </w:instrText>
        </w:r>
        <w:r w:rsidR="008209A2">
          <w:rPr>
            <w:webHidden/>
          </w:rPr>
        </w:r>
        <w:r w:rsidR="008209A2">
          <w:rPr>
            <w:webHidden/>
          </w:rPr>
          <w:fldChar w:fldCharType="separate"/>
        </w:r>
        <w:r w:rsidR="008209A2">
          <w:rPr>
            <w:webHidden/>
          </w:rPr>
          <w:t>127</w:t>
        </w:r>
        <w:r w:rsidR="008209A2">
          <w:rPr>
            <w:webHidden/>
          </w:rPr>
          <w:fldChar w:fldCharType="end"/>
        </w:r>
      </w:hyperlink>
    </w:p>
    <w:p w14:paraId="0B84AB57" w14:textId="63161DD4" w:rsidR="008209A2" w:rsidRDefault="00432AD4">
      <w:pPr>
        <w:pStyle w:val="TOC3"/>
        <w:rPr>
          <w:rFonts w:asciiTheme="minorHAnsi" w:eastAsiaTheme="minorEastAsia" w:hAnsiTheme="minorHAnsi"/>
          <w:szCs w:val="22"/>
          <w:lang w:eastAsia="en-US"/>
        </w:rPr>
      </w:pPr>
      <w:hyperlink w:anchor="_Toc464323605" w:history="1">
        <w:r w:rsidR="008209A2" w:rsidRPr="00AA0819">
          <w:rPr>
            <w:rStyle w:val="Hyperlink"/>
            <w:lang w:eastAsia="en-US"/>
          </w:rPr>
          <w:t>Reliability Study</w:t>
        </w:r>
        <w:r w:rsidR="008209A2">
          <w:rPr>
            <w:webHidden/>
          </w:rPr>
          <w:tab/>
        </w:r>
        <w:r w:rsidR="008209A2">
          <w:rPr>
            <w:webHidden/>
          </w:rPr>
          <w:fldChar w:fldCharType="begin"/>
        </w:r>
        <w:r w:rsidR="008209A2">
          <w:rPr>
            <w:webHidden/>
          </w:rPr>
          <w:instrText xml:space="preserve"> PAGEREF _Toc464323605 \h </w:instrText>
        </w:r>
        <w:r w:rsidR="008209A2">
          <w:rPr>
            <w:webHidden/>
          </w:rPr>
        </w:r>
        <w:r w:rsidR="008209A2">
          <w:rPr>
            <w:webHidden/>
          </w:rPr>
          <w:fldChar w:fldCharType="separate"/>
        </w:r>
        <w:r w:rsidR="008209A2">
          <w:rPr>
            <w:webHidden/>
          </w:rPr>
          <w:t>129</w:t>
        </w:r>
        <w:r w:rsidR="008209A2">
          <w:rPr>
            <w:webHidden/>
          </w:rPr>
          <w:fldChar w:fldCharType="end"/>
        </w:r>
      </w:hyperlink>
    </w:p>
    <w:p w14:paraId="7BADEFEF" w14:textId="6E079C7F" w:rsidR="008209A2" w:rsidRDefault="00432AD4">
      <w:pPr>
        <w:pStyle w:val="TOC3"/>
        <w:rPr>
          <w:rFonts w:asciiTheme="minorHAnsi" w:eastAsiaTheme="minorEastAsia" w:hAnsiTheme="minorHAnsi"/>
          <w:szCs w:val="22"/>
          <w:lang w:eastAsia="en-US"/>
        </w:rPr>
      </w:pPr>
      <w:hyperlink w:anchor="_Toc464323606" w:history="1">
        <w:r w:rsidR="008209A2" w:rsidRPr="00AA0819">
          <w:rPr>
            <w:rStyle w:val="Hyperlink"/>
          </w:rPr>
          <w:t>Response Performance Summary</w:t>
        </w:r>
        <w:r w:rsidR="008209A2">
          <w:rPr>
            <w:webHidden/>
          </w:rPr>
          <w:tab/>
        </w:r>
        <w:r w:rsidR="008209A2">
          <w:rPr>
            <w:webHidden/>
          </w:rPr>
          <w:fldChar w:fldCharType="begin"/>
        </w:r>
        <w:r w:rsidR="008209A2">
          <w:rPr>
            <w:webHidden/>
          </w:rPr>
          <w:instrText xml:space="preserve"> PAGEREF _Toc464323606 \h </w:instrText>
        </w:r>
        <w:r w:rsidR="008209A2">
          <w:rPr>
            <w:webHidden/>
          </w:rPr>
        </w:r>
        <w:r w:rsidR="008209A2">
          <w:rPr>
            <w:webHidden/>
          </w:rPr>
          <w:fldChar w:fldCharType="separate"/>
        </w:r>
        <w:r w:rsidR="008209A2">
          <w:rPr>
            <w:webHidden/>
          </w:rPr>
          <w:t>131</w:t>
        </w:r>
        <w:r w:rsidR="008209A2">
          <w:rPr>
            <w:webHidden/>
          </w:rPr>
          <w:fldChar w:fldCharType="end"/>
        </w:r>
      </w:hyperlink>
    </w:p>
    <w:p w14:paraId="5ADAA107" w14:textId="763767C7" w:rsidR="008209A2" w:rsidRDefault="00432AD4">
      <w:pPr>
        <w:pStyle w:val="TOC3"/>
        <w:rPr>
          <w:rFonts w:asciiTheme="minorHAnsi" w:eastAsiaTheme="minorEastAsia" w:hAnsiTheme="minorHAnsi"/>
          <w:szCs w:val="22"/>
          <w:lang w:eastAsia="en-US"/>
        </w:rPr>
      </w:pPr>
      <w:hyperlink w:anchor="_Toc464323607" w:history="1">
        <w:r w:rsidR="008209A2" w:rsidRPr="00AA0819">
          <w:rPr>
            <w:rStyle w:val="Hyperlink"/>
            <w:rFonts w:eastAsia="Calibri"/>
          </w:rPr>
          <w:t>Mutual and Automatic Aid Systems</w:t>
        </w:r>
        <w:r w:rsidR="008209A2">
          <w:rPr>
            <w:webHidden/>
          </w:rPr>
          <w:tab/>
        </w:r>
        <w:r w:rsidR="008209A2">
          <w:rPr>
            <w:webHidden/>
          </w:rPr>
          <w:fldChar w:fldCharType="begin"/>
        </w:r>
        <w:r w:rsidR="008209A2">
          <w:rPr>
            <w:webHidden/>
          </w:rPr>
          <w:instrText xml:space="preserve"> PAGEREF _Toc464323607 \h </w:instrText>
        </w:r>
        <w:r w:rsidR="008209A2">
          <w:rPr>
            <w:webHidden/>
          </w:rPr>
        </w:r>
        <w:r w:rsidR="008209A2">
          <w:rPr>
            <w:webHidden/>
          </w:rPr>
          <w:fldChar w:fldCharType="separate"/>
        </w:r>
        <w:r w:rsidR="008209A2">
          <w:rPr>
            <w:webHidden/>
          </w:rPr>
          <w:t>136</w:t>
        </w:r>
        <w:r w:rsidR="008209A2">
          <w:rPr>
            <w:webHidden/>
          </w:rPr>
          <w:fldChar w:fldCharType="end"/>
        </w:r>
      </w:hyperlink>
    </w:p>
    <w:p w14:paraId="10607777" w14:textId="7D0DB2C3" w:rsidR="008209A2" w:rsidRDefault="00432AD4">
      <w:pPr>
        <w:pStyle w:val="TOC3"/>
        <w:rPr>
          <w:rFonts w:asciiTheme="minorHAnsi" w:eastAsiaTheme="minorEastAsia" w:hAnsiTheme="minorHAnsi"/>
          <w:szCs w:val="22"/>
          <w:lang w:eastAsia="en-US"/>
        </w:rPr>
      </w:pPr>
      <w:hyperlink w:anchor="_Toc464323608" w:history="1">
        <w:r w:rsidR="008209A2" w:rsidRPr="00AA0819">
          <w:rPr>
            <w:rStyle w:val="Hyperlink"/>
            <w:rFonts w:eastAsia="Calibri"/>
          </w:rPr>
          <w:t>Incident Control and Management</w:t>
        </w:r>
        <w:r w:rsidR="008209A2">
          <w:rPr>
            <w:webHidden/>
          </w:rPr>
          <w:tab/>
        </w:r>
        <w:r w:rsidR="008209A2">
          <w:rPr>
            <w:webHidden/>
          </w:rPr>
          <w:fldChar w:fldCharType="begin"/>
        </w:r>
        <w:r w:rsidR="008209A2">
          <w:rPr>
            <w:webHidden/>
          </w:rPr>
          <w:instrText xml:space="preserve"> PAGEREF _Toc464323608 \h </w:instrText>
        </w:r>
        <w:r w:rsidR="008209A2">
          <w:rPr>
            <w:webHidden/>
          </w:rPr>
        </w:r>
        <w:r w:rsidR="008209A2">
          <w:rPr>
            <w:webHidden/>
          </w:rPr>
          <w:fldChar w:fldCharType="separate"/>
        </w:r>
        <w:r w:rsidR="008209A2">
          <w:rPr>
            <w:webHidden/>
          </w:rPr>
          <w:t>137</w:t>
        </w:r>
        <w:r w:rsidR="008209A2">
          <w:rPr>
            <w:webHidden/>
          </w:rPr>
          <w:fldChar w:fldCharType="end"/>
        </w:r>
      </w:hyperlink>
    </w:p>
    <w:p w14:paraId="5FD3D59D" w14:textId="1186E09E" w:rsidR="008209A2" w:rsidRDefault="00432AD4">
      <w:pPr>
        <w:pStyle w:val="TOC1"/>
        <w:rPr>
          <w:rFonts w:asciiTheme="minorHAnsi" w:eastAsiaTheme="minorEastAsia" w:hAnsiTheme="minorHAnsi"/>
          <w:b w:val="0"/>
          <w:bCs w:val="0"/>
          <w:iCs w:val="0"/>
          <w:sz w:val="22"/>
          <w:szCs w:val="22"/>
          <w:lang w:eastAsia="en-US"/>
        </w:rPr>
      </w:pPr>
      <w:hyperlink w:anchor="_Toc464323609" w:history="1">
        <w:r w:rsidR="008209A2" w:rsidRPr="00AA0819">
          <w:rPr>
            <w:rStyle w:val="Hyperlink"/>
          </w:rPr>
          <w:t>Future System Demand Projections</w:t>
        </w:r>
        <w:r w:rsidR="008209A2">
          <w:rPr>
            <w:webHidden/>
          </w:rPr>
          <w:tab/>
        </w:r>
        <w:r w:rsidR="008209A2">
          <w:rPr>
            <w:webHidden/>
          </w:rPr>
          <w:fldChar w:fldCharType="begin"/>
        </w:r>
        <w:r w:rsidR="008209A2">
          <w:rPr>
            <w:webHidden/>
          </w:rPr>
          <w:instrText xml:space="preserve"> PAGEREF _Toc464323609 \h </w:instrText>
        </w:r>
        <w:r w:rsidR="008209A2">
          <w:rPr>
            <w:webHidden/>
          </w:rPr>
        </w:r>
        <w:r w:rsidR="008209A2">
          <w:rPr>
            <w:webHidden/>
          </w:rPr>
          <w:fldChar w:fldCharType="separate"/>
        </w:r>
        <w:r w:rsidR="008209A2">
          <w:rPr>
            <w:webHidden/>
          </w:rPr>
          <w:t>139</w:t>
        </w:r>
        <w:r w:rsidR="008209A2">
          <w:rPr>
            <w:webHidden/>
          </w:rPr>
          <w:fldChar w:fldCharType="end"/>
        </w:r>
      </w:hyperlink>
    </w:p>
    <w:p w14:paraId="5CB6C984" w14:textId="70E94C75" w:rsidR="008209A2" w:rsidRDefault="00432AD4">
      <w:pPr>
        <w:pStyle w:val="TOC2"/>
        <w:rPr>
          <w:rFonts w:asciiTheme="minorHAnsi" w:eastAsiaTheme="minorEastAsia" w:hAnsiTheme="minorHAnsi"/>
          <w:bCs w:val="0"/>
          <w:lang w:eastAsia="en-US"/>
        </w:rPr>
      </w:pPr>
      <w:hyperlink w:anchor="_Toc464323610" w:history="1">
        <w:r w:rsidR="008209A2" w:rsidRPr="00AA0819">
          <w:rPr>
            <w:rStyle w:val="Hyperlink"/>
          </w:rPr>
          <w:t>Population Growth Projection</w:t>
        </w:r>
        <w:r w:rsidR="008209A2">
          <w:rPr>
            <w:webHidden/>
          </w:rPr>
          <w:tab/>
        </w:r>
        <w:r w:rsidR="008209A2">
          <w:rPr>
            <w:webHidden/>
          </w:rPr>
          <w:fldChar w:fldCharType="begin"/>
        </w:r>
        <w:r w:rsidR="008209A2">
          <w:rPr>
            <w:webHidden/>
          </w:rPr>
          <w:instrText xml:space="preserve"> PAGEREF _Toc464323610 \h </w:instrText>
        </w:r>
        <w:r w:rsidR="008209A2">
          <w:rPr>
            <w:webHidden/>
          </w:rPr>
        </w:r>
        <w:r w:rsidR="008209A2">
          <w:rPr>
            <w:webHidden/>
          </w:rPr>
          <w:fldChar w:fldCharType="separate"/>
        </w:r>
        <w:r w:rsidR="008209A2">
          <w:rPr>
            <w:webHidden/>
          </w:rPr>
          <w:t>139</w:t>
        </w:r>
        <w:r w:rsidR="008209A2">
          <w:rPr>
            <w:webHidden/>
          </w:rPr>
          <w:fldChar w:fldCharType="end"/>
        </w:r>
      </w:hyperlink>
    </w:p>
    <w:p w14:paraId="6B5DB2DA" w14:textId="384E4437" w:rsidR="008209A2" w:rsidRDefault="00432AD4">
      <w:pPr>
        <w:pStyle w:val="TOC3"/>
        <w:rPr>
          <w:rFonts w:asciiTheme="minorHAnsi" w:eastAsiaTheme="minorEastAsia" w:hAnsiTheme="minorHAnsi"/>
          <w:szCs w:val="22"/>
          <w:lang w:eastAsia="en-US"/>
        </w:rPr>
      </w:pPr>
      <w:hyperlink w:anchor="_Toc464323611" w:history="1">
        <w:r w:rsidR="008209A2" w:rsidRPr="00AA0819">
          <w:rPr>
            <w:rStyle w:val="Hyperlink"/>
          </w:rPr>
          <w:t>Population History</w:t>
        </w:r>
        <w:r w:rsidR="008209A2">
          <w:rPr>
            <w:webHidden/>
          </w:rPr>
          <w:tab/>
        </w:r>
        <w:r w:rsidR="008209A2">
          <w:rPr>
            <w:webHidden/>
          </w:rPr>
          <w:fldChar w:fldCharType="begin"/>
        </w:r>
        <w:r w:rsidR="008209A2">
          <w:rPr>
            <w:webHidden/>
          </w:rPr>
          <w:instrText xml:space="preserve"> PAGEREF _Toc464323611 \h </w:instrText>
        </w:r>
        <w:r w:rsidR="008209A2">
          <w:rPr>
            <w:webHidden/>
          </w:rPr>
        </w:r>
        <w:r w:rsidR="008209A2">
          <w:rPr>
            <w:webHidden/>
          </w:rPr>
          <w:fldChar w:fldCharType="separate"/>
        </w:r>
        <w:r w:rsidR="008209A2">
          <w:rPr>
            <w:webHidden/>
          </w:rPr>
          <w:t>139</w:t>
        </w:r>
        <w:r w:rsidR="008209A2">
          <w:rPr>
            <w:webHidden/>
          </w:rPr>
          <w:fldChar w:fldCharType="end"/>
        </w:r>
      </w:hyperlink>
    </w:p>
    <w:p w14:paraId="04A3569A" w14:textId="6AA20EFE" w:rsidR="008209A2" w:rsidRDefault="00432AD4">
      <w:pPr>
        <w:pStyle w:val="TOC3"/>
        <w:rPr>
          <w:rFonts w:asciiTheme="minorHAnsi" w:eastAsiaTheme="minorEastAsia" w:hAnsiTheme="minorHAnsi"/>
          <w:szCs w:val="22"/>
          <w:lang w:eastAsia="en-US"/>
        </w:rPr>
      </w:pPr>
      <w:hyperlink w:anchor="_Toc464323612" w:history="1">
        <w:r w:rsidR="008209A2" w:rsidRPr="00AA0819">
          <w:rPr>
            <w:rStyle w:val="Hyperlink"/>
          </w:rPr>
          <w:t>Population Projections</w:t>
        </w:r>
        <w:r w:rsidR="008209A2">
          <w:rPr>
            <w:webHidden/>
          </w:rPr>
          <w:tab/>
        </w:r>
        <w:r w:rsidR="008209A2">
          <w:rPr>
            <w:webHidden/>
          </w:rPr>
          <w:fldChar w:fldCharType="begin"/>
        </w:r>
        <w:r w:rsidR="008209A2">
          <w:rPr>
            <w:webHidden/>
          </w:rPr>
          <w:instrText xml:space="preserve"> PAGEREF _Toc464323612 \h </w:instrText>
        </w:r>
        <w:r w:rsidR="008209A2">
          <w:rPr>
            <w:webHidden/>
          </w:rPr>
        </w:r>
        <w:r w:rsidR="008209A2">
          <w:rPr>
            <w:webHidden/>
          </w:rPr>
          <w:fldChar w:fldCharType="separate"/>
        </w:r>
        <w:r w:rsidR="008209A2">
          <w:rPr>
            <w:webHidden/>
          </w:rPr>
          <w:t>140</w:t>
        </w:r>
        <w:r w:rsidR="008209A2">
          <w:rPr>
            <w:webHidden/>
          </w:rPr>
          <w:fldChar w:fldCharType="end"/>
        </w:r>
      </w:hyperlink>
    </w:p>
    <w:p w14:paraId="093DF9BC" w14:textId="7675CD8E" w:rsidR="008209A2" w:rsidRDefault="00432AD4">
      <w:pPr>
        <w:pStyle w:val="TOC2"/>
        <w:rPr>
          <w:rFonts w:asciiTheme="minorHAnsi" w:eastAsiaTheme="minorEastAsia" w:hAnsiTheme="minorHAnsi"/>
          <w:bCs w:val="0"/>
          <w:lang w:eastAsia="en-US"/>
        </w:rPr>
      </w:pPr>
      <w:hyperlink w:anchor="_Toc464323613" w:history="1">
        <w:r w:rsidR="008209A2" w:rsidRPr="00AA0819">
          <w:rPr>
            <w:rStyle w:val="Hyperlink"/>
          </w:rPr>
          <w:t>Service Demand Projection</w:t>
        </w:r>
        <w:r w:rsidR="008209A2">
          <w:rPr>
            <w:webHidden/>
          </w:rPr>
          <w:tab/>
        </w:r>
        <w:r w:rsidR="008209A2">
          <w:rPr>
            <w:webHidden/>
          </w:rPr>
          <w:fldChar w:fldCharType="begin"/>
        </w:r>
        <w:r w:rsidR="008209A2">
          <w:rPr>
            <w:webHidden/>
          </w:rPr>
          <w:instrText xml:space="preserve"> PAGEREF _Toc464323613 \h </w:instrText>
        </w:r>
        <w:r w:rsidR="008209A2">
          <w:rPr>
            <w:webHidden/>
          </w:rPr>
        </w:r>
        <w:r w:rsidR="008209A2">
          <w:rPr>
            <w:webHidden/>
          </w:rPr>
          <w:fldChar w:fldCharType="separate"/>
        </w:r>
        <w:r w:rsidR="008209A2">
          <w:rPr>
            <w:webHidden/>
          </w:rPr>
          <w:t>141</w:t>
        </w:r>
        <w:r w:rsidR="008209A2">
          <w:rPr>
            <w:webHidden/>
          </w:rPr>
          <w:fldChar w:fldCharType="end"/>
        </w:r>
      </w:hyperlink>
    </w:p>
    <w:p w14:paraId="29A26615" w14:textId="6C5BE898" w:rsidR="008209A2" w:rsidRDefault="00432AD4">
      <w:pPr>
        <w:pStyle w:val="TOC2"/>
        <w:rPr>
          <w:rFonts w:asciiTheme="minorHAnsi" w:eastAsiaTheme="minorEastAsia" w:hAnsiTheme="minorHAnsi"/>
          <w:bCs w:val="0"/>
          <w:lang w:eastAsia="en-US"/>
        </w:rPr>
      </w:pPr>
      <w:hyperlink w:anchor="_Toc464323614" w:history="1">
        <w:r w:rsidR="008209A2" w:rsidRPr="00AA0819">
          <w:rPr>
            <w:rStyle w:val="Hyperlink"/>
            <w:rFonts w:eastAsia="Calibri"/>
          </w:rPr>
          <w:t>Community Risk Analysis</w:t>
        </w:r>
        <w:r w:rsidR="008209A2">
          <w:rPr>
            <w:webHidden/>
          </w:rPr>
          <w:tab/>
        </w:r>
        <w:r w:rsidR="008209A2">
          <w:rPr>
            <w:webHidden/>
          </w:rPr>
          <w:fldChar w:fldCharType="begin"/>
        </w:r>
        <w:r w:rsidR="008209A2">
          <w:rPr>
            <w:webHidden/>
          </w:rPr>
          <w:instrText xml:space="preserve"> PAGEREF _Toc464323614 \h </w:instrText>
        </w:r>
        <w:r w:rsidR="008209A2">
          <w:rPr>
            <w:webHidden/>
          </w:rPr>
        </w:r>
        <w:r w:rsidR="008209A2">
          <w:rPr>
            <w:webHidden/>
          </w:rPr>
          <w:fldChar w:fldCharType="separate"/>
        </w:r>
        <w:r w:rsidR="008209A2">
          <w:rPr>
            <w:webHidden/>
          </w:rPr>
          <w:t>143</w:t>
        </w:r>
        <w:r w:rsidR="008209A2">
          <w:rPr>
            <w:webHidden/>
          </w:rPr>
          <w:fldChar w:fldCharType="end"/>
        </w:r>
      </w:hyperlink>
    </w:p>
    <w:p w14:paraId="563303BA" w14:textId="65749921" w:rsidR="008209A2" w:rsidRDefault="00432AD4">
      <w:pPr>
        <w:pStyle w:val="TOC1"/>
        <w:rPr>
          <w:rFonts w:asciiTheme="minorHAnsi" w:eastAsiaTheme="minorEastAsia" w:hAnsiTheme="minorHAnsi"/>
          <w:b w:val="0"/>
          <w:bCs w:val="0"/>
          <w:iCs w:val="0"/>
          <w:sz w:val="22"/>
          <w:szCs w:val="22"/>
          <w:lang w:eastAsia="en-US"/>
        </w:rPr>
      </w:pPr>
      <w:hyperlink w:anchor="_Toc464323615" w:history="1">
        <w:r w:rsidR="008209A2" w:rsidRPr="00AA0819">
          <w:rPr>
            <w:rStyle w:val="Hyperlink"/>
          </w:rPr>
          <w:t>Future Delivery System Models</w:t>
        </w:r>
        <w:r w:rsidR="008209A2">
          <w:rPr>
            <w:webHidden/>
          </w:rPr>
          <w:tab/>
        </w:r>
        <w:r w:rsidR="008209A2">
          <w:rPr>
            <w:webHidden/>
          </w:rPr>
          <w:fldChar w:fldCharType="begin"/>
        </w:r>
        <w:r w:rsidR="008209A2">
          <w:rPr>
            <w:webHidden/>
          </w:rPr>
          <w:instrText xml:space="preserve"> PAGEREF _Toc464323615 \h </w:instrText>
        </w:r>
        <w:r w:rsidR="008209A2">
          <w:rPr>
            <w:webHidden/>
          </w:rPr>
        </w:r>
        <w:r w:rsidR="008209A2">
          <w:rPr>
            <w:webHidden/>
          </w:rPr>
          <w:fldChar w:fldCharType="separate"/>
        </w:r>
        <w:r w:rsidR="008209A2">
          <w:rPr>
            <w:webHidden/>
          </w:rPr>
          <w:t>151</w:t>
        </w:r>
        <w:r w:rsidR="008209A2">
          <w:rPr>
            <w:webHidden/>
          </w:rPr>
          <w:fldChar w:fldCharType="end"/>
        </w:r>
      </w:hyperlink>
    </w:p>
    <w:p w14:paraId="7E22D713" w14:textId="3BD02E68" w:rsidR="008209A2" w:rsidRDefault="00432AD4">
      <w:pPr>
        <w:pStyle w:val="TOC2"/>
        <w:rPr>
          <w:rFonts w:asciiTheme="minorHAnsi" w:eastAsiaTheme="minorEastAsia" w:hAnsiTheme="minorHAnsi"/>
          <w:bCs w:val="0"/>
          <w:lang w:eastAsia="en-US"/>
        </w:rPr>
      </w:pPr>
      <w:hyperlink w:anchor="_Toc464323616" w:history="1">
        <w:r w:rsidR="008209A2" w:rsidRPr="00AA0819">
          <w:rPr>
            <w:rStyle w:val="Hyperlink"/>
            <w:rFonts w:asciiTheme="majorHAnsi" w:hAnsiTheme="majorHAnsi" w:cs="Calibri"/>
          </w:rPr>
          <w:t>Development of Response Standards and Targets</w:t>
        </w:r>
        <w:r w:rsidR="008209A2">
          <w:rPr>
            <w:webHidden/>
          </w:rPr>
          <w:tab/>
        </w:r>
        <w:r w:rsidR="008209A2">
          <w:rPr>
            <w:webHidden/>
          </w:rPr>
          <w:fldChar w:fldCharType="begin"/>
        </w:r>
        <w:r w:rsidR="008209A2">
          <w:rPr>
            <w:webHidden/>
          </w:rPr>
          <w:instrText xml:space="preserve"> PAGEREF _Toc464323616 \h </w:instrText>
        </w:r>
        <w:r w:rsidR="008209A2">
          <w:rPr>
            <w:webHidden/>
          </w:rPr>
        </w:r>
        <w:r w:rsidR="008209A2">
          <w:rPr>
            <w:webHidden/>
          </w:rPr>
          <w:fldChar w:fldCharType="separate"/>
        </w:r>
        <w:r w:rsidR="008209A2">
          <w:rPr>
            <w:webHidden/>
          </w:rPr>
          <w:t>151</w:t>
        </w:r>
        <w:r w:rsidR="008209A2">
          <w:rPr>
            <w:webHidden/>
          </w:rPr>
          <w:fldChar w:fldCharType="end"/>
        </w:r>
      </w:hyperlink>
    </w:p>
    <w:p w14:paraId="19A1F24F" w14:textId="036B2F5E" w:rsidR="008209A2" w:rsidRDefault="00432AD4">
      <w:pPr>
        <w:pStyle w:val="TOC3"/>
        <w:rPr>
          <w:rFonts w:asciiTheme="minorHAnsi" w:eastAsiaTheme="minorEastAsia" w:hAnsiTheme="minorHAnsi"/>
          <w:szCs w:val="22"/>
          <w:lang w:eastAsia="en-US"/>
        </w:rPr>
      </w:pPr>
      <w:hyperlink w:anchor="_Toc464323617" w:history="1">
        <w:r w:rsidR="008209A2" w:rsidRPr="00AA0819">
          <w:rPr>
            <w:rStyle w:val="Hyperlink"/>
          </w:rPr>
          <w:t>Critical Tasks, Risk, and Staffing Performance</w:t>
        </w:r>
        <w:r w:rsidR="008209A2">
          <w:rPr>
            <w:webHidden/>
          </w:rPr>
          <w:tab/>
        </w:r>
        <w:r w:rsidR="008209A2">
          <w:rPr>
            <w:webHidden/>
          </w:rPr>
          <w:fldChar w:fldCharType="begin"/>
        </w:r>
        <w:r w:rsidR="008209A2">
          <w:rPr>
            <w:webHidden/>
          </w:rPr>
          <w:instrText xml:space="preserve"> PAGEREF _Toc464323617 \h </w:instrText>
        </w:r>
        <w:r w:rsidR="008209A2">
          <w:rPr>
            <w:webHidden/>
          </w:rPr>
        </w:r>
        <w:r w:rsidR="008209A2">
          <w:rPr>
            <w:webHidden/>
          </w:rPr>
          <w:fldChar w:fldCharType="separate"/>
        </w:r>
        <w:r w:rsidR="008209A2">
          <w:rPr>
            <w:webHidden/>
          </w:rPr>
          <w:t>151</w:t>
        </w:r>
        <w:r w:rsidR="008209A2">
          <w:rPr>
            <w:webHidden/>
          </w:rPr>
          <w:fldChar w:fldCharType="end"/>
        </w:r>
      </w:hyperlink>
    </w:p>
    <w:p w14:paraId="74D984A8" w14:textId="080446CD" w:rsidR="008209A2" w:rsidRDefault="00432AD4">
      <w:pPr>
        <w:pStyle w:val="TOC3"/>
        <w:rPr>
          <w:rFonts w:asciiTheme="minorHAnsi" w:eastAsiaTheme="minorEastAsia" w:hAnsiTheme="minorHAnsi"/>
          <w:szCs w:val="22"/>
          <w:lang w:eastAsia="en-US"/>
        </w:rPr>
      </w:pPr>
      <w:hyperlink w:anchor="_Toc464323618" w:history="1">
        <w:r w:rsidR="008209A2" w:rsidRPr="00AA0819">
          <w:rPr>
            <w:rStyle w:val="Hyperlink"/>
          </w:rPr>
          <w:t>PFD Response Time Performance Objectives</w:t>
        </w:r>
        <w:r w:rsidR="008209A2">
          <w:rPr>
            <w:webHidden/>
          </w:rPr>
          <w:tab/>
        </w:r>
        <w:r w:rsidR="008209A2">
          <w:rPr>
            <w:webHidden/>
          </w:rPr>
          <w:fldChar w:fldCharType="begin"/>
        </w:r>
        <w:r w:rsidR="008209A2">
          <w:rPr>
            <w:webHidden/>
          </w:rPr>
          <w:instrText xml:space="preserve"> PAGEREF _Toc464323618 \h </w:instrText>
        </w:r>
        <w:r w:rsidR="008209A2">
          <w:rPr>
            <w:webHidden/>
          </w:rPr>
        </w:r>
        <w:r w:rsidR="008209A2">
          <w:rPr>
            <w:webHidden/>
          </w:rPr>
          <w:fldChar w:fldCharType="separate"/>
        </w:r>
        <w:r w:rsidR="008209A2">
          <w:rPr>
            <w:webHidden/>
          </w:rPr>
          <w:t>154</w:t>
        </w:r>
        <w:r w:rsidR="008209A2">
          <w:rPr>
            <w:webHidden/>
          </w:rPr>
          <w:fldChar w:fldCharType="end"/>
        </w:r>
      </w:hyperlink>
    </w:p>
    <w:p w14:paraId="57C31791" w14:textId="17014862" w:rsidR="008209A2" w:rsidRDefault="00432AD4">
      <w:pPr>
        <w:pStyle w:val="TOC1"/>
        <w:rPr>
          <w:rFonts w:asciiTheme="minorHAnsi" w:eastAsiaTheme="minorEastAsia" w:hAnsiTheme="minorHAnsi"/>
          <w:b w:val="0"/>
          <w:bCs w:val="0"/>
          <w:iCs w:val="0"/>
          <w:sz w:val="22"/>
          <w:szCs w:val="22"/>
          <w:lang w:eastAsia="en-US"/>
        </w:rPr>
      </w:pPr>
      <w:hyperlink w:anchor="_Toc464323619" w:history="1">
        <w:r w:rsidR="008209A2" w:rsidRPr="00AA0819">
          <w:rPr>
            <w:rStyle w:val="Hyperlink"/>
            <w:rFonts w:eastAsia="Times New Roman"/>
          </w:rPr>
          <w:t>Strategy Recommendations</w:t>
        </w:r>
        <w:r w:rsidR="008209A2">
          <w:rPr>
            <w:webHidden/>
          </w:rPr>
          <w:tab/>
        </w:r>
        <w:r w:rsidR="008209A2">
          <w:rPr>
            <w:webHidden/>
          </w:rPr>
          <w:fldChar w:fldCharType="begin"/>
        </w:r>
        <w:r w:rsidR="008209A2">
          <w:rPr>
            <w:webHidden/>
          </w:rPr>
          <w:instrText xml:space="preserve"> PAGEREF _Toc464323619 \h </w:instrText>
        </w:r>
        <w:r w:rsidR="008209A2">
          <w:rPr>
            <w:webHidden/>
          </w:rPr>
        </w:r>
        <w:r w:rsidR="008209A2">
          <w:rPr>
            <w:webHidden/>
          </w:rPr>
          <w:fldChar w:fldCharType="separate"/>
        </w:r>
        <w:r w:rsidR="008209A2">
          <w:rPr>
            <w:webHidden/>
          </w:rPr>
          <w:t>155</w:t>
        </w:r>
        <w:r w:rsidR="008209A2">
          <w:rPr>
            <w:webHidden/>
          </w:rPr>
          <w:fldChar w:fldCharType="end"/>
        </w:r>
      </w:hyperlink>
    </w:p>
    <w:p w14:paraId="726BFD4D" w14:textId="0B86F6A1" w:rsidR="008209A2" w:rsidRDefault="00432AD4">
      <w:pPr>
        <w:pStyle w:val="TOC2"/>
        <w:rPr>
          <w:rFonts w:asciiTheme="minorHAnsi" w:eastAsiaTheme="minorEastAsia" w:hAnsiTheme="minorHAnsi"/>
          <w:bCs w:val="0"/>
          <w:lang w:eastAsia="en-US"/>
        </w:rPr>
      </w:pPr>
      <w:hyperlink w:anchor="_Toc464323620" w:history="1">
        <w:r w:rsidR="008209A2" w:rsidRPr="00AA0819">
          <w:rPr>
            <w:rStyle w:val="Hyperlink"/>
            <w:rFonts w:eastAsia="Times New Roman"/>
          </w:rPr>
          <w:t>Short-Term Strategies</w:t>
        </w:r>
        <w:r w:rsidR="008209A2">
          <w:rPr>
            <w:webHidden/>
          </w:rPr>
          <w:tab/>
        </w:r>
        <w:r w:rsidR="008209A2">
          <w:rPr>
            <w:webHidden/>
          </w:rPr>
          <w:fldChar w:fldCharType="begin"/>
        </w:r>
        <w:r w:rsidR="008209A2">
          <w:rPr>
            <w:webHidden/>
          </w:rPr>
          <w:instrText xml:space="preserve"> PAGEREF _Toc464323620 \h </w:instrText>
        </w:r>
        <w:r w:rsidR="008209A2">
          <w:rPr>
            <w:webHidden/>
          </w:rPr>
        </w:r>
        <w:r w:rsidR="008209A2">
          <w:rPr>
            <w:webHidden/>
          </w:rPr>
          <w:fldChar w:fldCharType="separate"/>
        </w:r>
        <w:r w:rsidR="008209A2">
          <w:rPr>
            <w:webHidden/>
          </w:rPr>
          <w:t>155</w:t>
        </w:r>
        <w:r w:rsidR="008209A2">
          <w:rPr>
            <w:webHidden/>
          </w:rPr>
          <w:fldChar w:fldCharType="end"/>
        </w:r>
      </w:hyperlink>
    </w:p>
    <w:p w14:paraId="33E154D5" w14:textId="2AC69307" w:rsidR="008209A2" w:rsidRDefault="00432AD4">
      <w:pPr>
        <w:pStyle w:val="TOC3"/>
        <w:rPr>
          <w:rFonts w:asciiTheme="minorHAnsi" w:eastAsiaTheme="minorEastAsia" w:hAnsiTheme="minorHAnsi"/>
          <w:szCs w:val="22"/>
          <w:lang w:eastAsia="en-US"/>
        </w:rPr>
      </w:pPr>
      <w:hyperlink w:anchor="_Toc464323621" w:history="1">
        <w:r w:rsidR="008209A2" w:rsidRPr="00AA0819">
          <w:rPr>
            <w:rStyle w:val="Hyperlink"/>
            <w:rFonts w:eastAsia="Times New Roman"/>
            <w:lang w:val="en-CA"/>
          </w:rPr>
          <w:t>Priority 1 – Items Involving Immediate Internal Safety Concerns</w:t>
        </w:r>
        <w:r w:rsidR="008209A2">
          <w:rPr>
            <w:webHidden/>
          </w:rPr>
          <w:tab/>
        </w:r>
        <w:r w:rsidR="008209A2">
          <w:rPr>
            <w:webHidden/>
          </w:rPr>
          <w:fldChar w:fldCharType="begin"/>
        </w:r>
        <w:r w:rsidR="008209A2">
          <w:rPr>
            <w:webHidden/>
          </w:rPr>
          <w:instrText xml:space="preserve"> PAGEREF _Toc464323621 \h </w:instrText>
        </w:r>
        <w:r w:rsidR="008209A2">
          <w:rPr>
            <w:webHidden/>
          </w:rPr>
        </w:r>
        <w:r w:rsidR="008209A2">
          <w:rPr>
            <w:webHidden/>
          </w:rPr>
          <w:fldChar w:fldCharType="separate"/>
        </w:r>
        <w:r w:rsidR="008209A2">
          <w:rPr>
            <w:webHidden/>
          </w:rPr>
          <w:t>155</w:t>
        </w:r>
        <w:r w:rsidR="008209A2">
          <w:rPr>
            <w:webHidden/>
          </w:rPr>
          <w:fldChar w:fldCharType="end"/>
        </w:r>
      </w:hyperlink>
    </w:p>
    <w:p w14:paraId="66802B8B" w14:textId="481349F0" w:rsidR="008209A2" w:rsidRDefault="00432AD4">
      <w:pPr>
        <w:pStyle w:val="TOC3"/>
        <w:rPr>
          <w:rFonts w:asciiTheme="minorHAnsi" w:eastAsiaTheme="minorEastAsia" w:hAnsiTheme="minorHAnsi"/>
          <w:szCs w:val="22"/>
          <w:lang w:eastAsia="en-US"/>
        </w:rPr>
      </w:pPr>
      <w:hyperlink w:anchor="_Toc464323622" w:history="1">
        <w:r w:rsidR="008209A2" w:rsidRPr="00AA0819">
          <w:rPr>
            <w:rStyle w:val="Hyperlink"/>
            <w:rFonts w:eastAsia="Times New Roman"/>
            <w:lang w:val="en-CA"/>
          </w:rPr>
          <w:t>Priority 2 – Considerations That May Present Legal or Financial Exposure</w:t>
        </w:r>
        <w:r w:rsidR="008209A2">
          <w:rPr>
            <w:webHidden/>
          </w:rPr>
          <w:tab/>
        </w:r>
        <w:r w:rsidR="008209A2">
          <w:rPr>
            <w:webHidden/>
          </w:rPr>
          <w:fldChar w:fldCharType="begin"/>
        </w:r>
        <w:r w:rsidR="008209A2">
          <w:rPr>
            <w:webHidden/>
          </w:rPr>
          <w:instrText xml:space="preserve"> PAGEREF _Toc464323622 \h </w:instrText>
        </w:r>
        <w:r w:rsidR="008209A2">
          <w:rPr>
            <w:webHidden/>
          </w:rPr>
        </w:r>
        <w:r w:rsidR="008209A2">
          <w:rPr>
            <w:webHidden/>
          </w:rPr>
          <w:fldChar w:fldCharType="separate"/>
        </w:r>
        <w:r w:rsidR="008209A2">
          <w:rPr>
            <w:webHidden/>
          </w:rPr>
          <w:t>156</w:t>
        </w:r>
        <w:r w:rsidR="008209A2">
          <w:rPr>
            <w:webHidden/>
          </w:rPr>
          <w:fldChar w:fldCharType="end"/>
        </w:r>
      </w:hyperlink>
    </w:p>
    <w:p w14:paraId="5E136E3A" w14:textId="3E0DB8A4" w:rsidR="008209A2" w:rsidRDefault="00432AD4">
      <w:pPr>
        <w:pStyle w:val="TOC3"/>
        <w:rPr>
          <w:rFonts w:asciiTheme="minorHAnsi" w:eastAsiaTheme="minorEastAsia" w:hAnsiTheme="minorHAnsi"/>
          <w:szCs w:val="22"/>
          <w:lang w:eastAsia="en-US"/>
        </w:rPr>
      </w:pPr>
      <w:hyperlink w:anchor="_Toc464323623" w:history="1">
        <w:r w:rsidR="008209A2" w:rsidRPr="00AA0819">
          <w:rPr>
            <w:rStyle w:val="Hyperlink"/>
            <w:rFonts w:eastAsia="Times New Roman"/>
            <w:lang w:val="en-CA"/>
          </w:rPr>
          <w:t>Priority 3 – Matters That Addre</w:t>
        </w:r>
        <w:r w:rsidR="008209A2" w:rsidRPr="00AA0819">
          <w:rPr>
            <w:rStyle w:val="Hyperlink"/>
            <w:rFonts w:eastAsia="Times New Roman"/>
            <w:iCs/>
            <w:lang w:val="en-CA"/>
          </w:rPr>
          <w:t>s</w:t>
        </w:r>
        <w:r w:rsidR="008209A2" w:rsidRPr="00AA0819">
          <w:rPr>
            <w:rStyle w:val="Hyperlink"/>
            <w:rFonts w:eastAsia="Times New Roman"/>
            <w:lang w:val="en-CA"/>
          </w:rPr>
          <w:t>s a Ser</w:t>
        </w:r>
        <w:r w:rsidR="008209A2" w:rsidRPr="00AA0819">
          <w:rPr>
            <w:rStyle w:val="Hyperlink"/>
            <w:rFonts w:eastAsia="Times New Roman"/>
            <w:iCs/>
            <w:lang w:val="en-CA"/>
          </w:rPr>
          <w:t>vic</w:t>
        </w:r>
        <w:r w:rsidR="008209A2" w:rsidRPr="00AA0819">
          <w:rPr>
            <w:rStyle w:val="Hyperlink"/>
            <w:rFonts w:eastAsia="Times New Roman"/>
            <w:lang w:val="en-CA"/>
          </w:rPr>
          <w:t>e Delivery Issue</w:t>
        </w:r>
        <w:r w:rsidR="008209A2">
          <w:rPr>
            <w:webHidden/>
          </w:rPr>
          <w:tab/>
        </w:r>
        <w:r w:rsidR="008209A2">
          <w:rPr>
            <w:webHidden/>
          </w:rPr>
          <w:fldChar w:fldCharType="begin"/>
        </w:r>
        <w:r w:rsidR="008209A2">
          <w:rPr>
            <w:webHidden/>
          </w:rPr>
          <w:instrText xml:space="preserve"> PAGEREF _Toc464323623 \h </w:instrText>
        </w:r>
        <w:r w:rsidR="008209A2">
          <w:rPr>
            <w:webHidden/>
          </w:rPr>
        </w:r>
        <w:r w:rsidR="008209A2">
          <w:rPr>
            <w:webHidden/>
          </w:rPr>
          <w:fldChar w:fldCharType="separate"/>
        </w:r>
        <w:r w:rsidR="008209A2">
          <w:rPr>
            <w:webHidden/>
          </w:rPr>
          <w:t>156</w:t>
        </w:r>
        <w:r w:rsidR="008209A2">
          <w:rPr>
            <w:webHidden/>
          </w:rPr>
          <w:fldChar w:fldCharType="end"/>
        </w:r>
      </w:hyperlink>
    </w:p>
    <w:p w14:paraId="2A789524" w14:textId="33295E0C" w:rsidR="008209A2" w:rsidRDefault="00432AD4">
      <w:pPr>
        <w:pStyle w:val="TOC3"/>
        <w:rPr>
          <w:rFonts w:asciiTheme="minorHAnsi" w:eastAsiaTheme="minorEastAsia" w:hAnsiTheme="minorHAnsi"/>
          <w:szCs w:val="22"/>
          <w:lang w:eastAsia="en-US"/>
        </w:rPr>
      </w:pPr>
      <w:hyperlink w:anchor="_Toc464323624" w:history="1">
        <w:r w:rsidR="008209A2" w:rsidRPr="00AA0819">
          <w:rPr>
            <w:rStyle w:val="Hyperlink"/>
            <w:rFonts w:eastAsia="Times New Roman"/>
            <w:lang w:val="en-CA"/>
          </w:rPr>
          <w:t>Priority 4 – Considerations to Enhance the Delivery of Services</w:t>
        </w:r>
        <w:r w:rsidR="008209A2">
          <w:rPr>
            <w:webHidden/>
          </w:rPr>
          <w:tab/>
        </w:r>
        <w:r w:rsidR="008209A2">
          <w:rPr>
            <w:webHidden/>
          </w:rPr>
          <w:fldChar w:fldCharType="begin"/>
        </w:r>
        <w:r w:rsidR="008209A2">
          <w:rPr>
            <w:webHidden/>
          </w:rPr>
          <w:instrText xml:space="preserve"> PAGEREF _Toc464323624 \h </w:instrText>
        </w:r>
        <w:r w:rsidR="008209A2">
          <w:rPr>
            <w:webHidden/>
          </w:rPr>
        </w:r>
        <w:r w:rsidR="008209A2">
          <w:rPr>
            <w:webHidden/>
          </w:rPr>
          <w:fldChar w:fldCharType="separate"/>
        </w:r>
        <w:r w:rsidR="008209A2">
          <w:rPr>
            <w:webHidden/>
          </w:rPr>
          <w:t>156</w:t>
        </w:r>
        <w:r w:rsidR="008209A2">
          <w:rPr>
            <w:webHidden/>
          </w:rPr>
          <w:fldChar w:fldCharType="end"/>
        </w:r>
      </w:hyperlink>
    </w:p>
    <w:p w14:paraId="6EFE5965" w14:textId="00BBF1CC" w:rsidR="008209A2" w:rsidRDefault="00432AD4">
      <w:pPr>
        <w:pStyle w:val="TOC3"/>
        <w:rPr>
          <w:rFonts w:asciiTheme="minorHAnsi" w:eastAsiaTheme="minorEastAsia" w:hAnsiTheme="minorHAnsi"/>
          <w:szCs w:val="22"/>
          <w:lang w:eastAsia="en-US"/>
        </w:rPr>
      </w:pPr>
      <w:hyperlink w:anchor="_Toc464323625" w:history="1">
        <w:r w:rsidR="008209A2" w:rsidRPr="00AA0819">
          <w:rPr>
            <w:rStyle w:val="Hyperlink"/>
            <w:rFonts w:eastAsia="Times New Roman"/>
            <w:lang w:val="en-CA"/>
          </w:rPr>
          <w:t>Priority 5 – An Important Thing to Do</w:t>
        </w:r>
        <w:r w:rsidR="008209A2">
          <w:rPr>
            <w:webHidden/>
          </w:rPr>
          <w:tab/>
        </w:r>
        <w:r w:rsidR="008209A2">
          <w:rPr>
            <w:webHidden/>
          </w:rPr>
          <w:fldChar w:fldCharType="begin"/>
        </w:r>
        <w:r w:rsidR="008209A2">
          <w:rPr>
            <w:webHidden/>
          </w:rPr>
          <w:instrText xml:space="preserve"> PAGEREF _Toc464323625 \h </w:instrText>
        </w:r>
        <w:r w:rsidR="008209A2">
          <w:rPr>
            <w:webHidden/>
          </w:rPr>
        </w:r>
        <w:r w:rsidR="008209A2">
          <w:rPr>
            <w:webHidden/>
          </w:rPr>
          <w:fldChar w:fldCharType="separate"/>
        </w:r>
        <w:r w:rsidR="008209A2">
          <w:rPr>
            <w:webHidden/>
          </w:rPr>
          <w:t>157</w:t>
        </w:r>
        <w:r w:rsidR="008209A2">
          <w:rPr>
            <w:webHidden/>
          </w:rPr>
          <w:fldChar w:fldCharType="end"/>
        </w:r>
      </w:hyperlink>
    </w:p>
    <w:p w14:paraId="2EB8774C" w14:textId="090EAC97" w:rsidR="008209A2" w:rsidRDefault="00432AD4">
      <w:pPr>
        <w:pStyle w:val="TOC2"/>
        <w:rPr>
          <w:rFonts w:asciiTheme="minorHAnsi" w:eastAsiaTheme="minorEastAsia" w:hAnsiTheme="minorHAnsi"/>
          <w:bCs w:val="0"/>
          <w:lang w:eastAsia="en-US"/>
        </w:rPr>
      </w:pPr>
      <w:hyperlink w:anchor="_Toc464323626" w:history="1">
        <w:r w:rsidR="008209A2" w:rsidRPr="00AA0819">
          <w:rPr>
            <w:rStyle w:val="Hyperlink"/>
            <w:rFonts w:cs="Calibri"/>
          </w:rPr>
          <w:t>Mid-Term Strategies</w:t>
        </w:r>
        <w:r w:rsidR="008209A2">
          <w:rPr>
            <w:webHidden/>
          </w:rPr>
          <w:tab/>
        </w:r>
        <w:r w:rsidR="008209A2">
          <w:rPr>
            <w:webHidden/>
          </w:rPr>
          <w:fldChar w:fldCharType="begin"/>
        </w:r>
        <w:r w:rsidR="008209A2">
          <w:rPr>
            <w:webHidden/>
          </w:rPr>
          <w:instrText xml:space="preserve"> PAGEREF _Toc464323626 \h </w:instrText>
        </w:r>
        <w:r w:rsidR="008209A2">
          <w:rPr>
            <w:webHidden/>
          </w:rPr>
        </w:r>
        <w:r w:rsidR="008209A2">
          <w:rPr>
            <w:webHidden/>
          </w:rPr>
          <w:fldChar w:fldCharType="separate"/>
        </w:r>
        <w:r w:rsidR="008209A2">
          <w:rPr>
            <w:webHidden/>
          </w:rPr>
          <w:t>158</w:t>
        </w:r>
        <w:r w:rsidR="008209A2">
          <w:rPr>
            <w:webHidden/>
          </w:rPr>
          <w:fldChar w:fldCharType="end"/>
        </w:r>
      </w:hyperlink>
    </w:p>
    <w:p w14:paraId="75C55EF8" w14:textId="35C3FDD0" w:rsidR="008209A2" w:rsidRDefault="00432AD4">
      <w:pPr>
        <w:pStyle w:val="TOC3"/>
        <w:rPr>
          <w:rFonts w:asciiTheme="minorHAnsi" w:eastAsiaTheme="minorEastAsia" w:hAnsiTheme="minorHAnsi"/>
          <w:szCs w:val="22"/>
          <w:lang w:eastAsia="en-US"/>
        </w:rPr>
      </w:pPr>
      <w:hyperlink w:anchor="_Toc464323627" w:history="1">
        <w:r w:rsidR="008209A2" w:rsidRPr="00AA0819">
          <w:rPr>
            <w:rStyle w:val="Hyperlink"/>
            <w:rFonts w:eastAsia="Calibri"/>
          </w:rPr>
          <w:t>Training Center/Training Manual</w:t>
        </w:r>
        <w:r w:rsidR="008209A2">
          <w:rPr>
            <w:webHidden/>
          </w:rPr>
          <w:tab/>
        </w:r>
        <w:r w:rsidR="008209A2">
          <w:rPr>
            <w:webHidden/>
          </w:rPr>
          <w:fldChar w:fldCharType="begin"/>
        </w:r>
        <w:r w:rsidR="008209A2">
          <w:rPr>
            <w:webHidden/>
          </w:rPr>
          <w:instrText xml:space="preserve"> PAGEREF _Toc464323627 \h </w:instrText>
        </w:r>
        <w:r w:rsidR="008209A2">
          <w:rPr>
            <w:webHidden/>
          </w:rPr>
        </w:r>
        <w:r w:rsidR="008209A2">
          <w:rPr>
            <w:webHidden/>
          </w:rPr>
          <w:fldChar w:fldCharType="separate"/>
        </w:r>
        <w:r w:rsidR="008209A2">
          <w:rPr>
            <w:webHidden/>
          </w:rPr>
          <w:t>158</w:t>
        </w:r>
        <w:r w:rsidR="008209A2">
          <w:rPr>
            <w:webHidden/>
          </w:rPr>
          <w:fldChar w:fldCharType="end"/>
        </w:r>
      </w:hyperlink>
    </w:p>
    <w:p w14:paraId="2FD9516C" w14:textId="590EA19D" w:rsidR="008209A2" w:rsidRDefault="00432AD4">
      <w:pPr>
        <w:pStyle w:val="TOC3"/>
        <w:rPr>
          <w:rFonts w:asciiTheme="minorHAnsi" w:eastAsiaTheme="minorEastAsia" w:hAnsiTheme="minorHAnsi"/>
          <w:szCs w:val="22"/>
          <w:lang w:eastAsia="en-US"/>
        </w:rPr>
      </w:pPr>
      <w:hyperlink w:anchor="_Toc464323628" w:history="1">
        <w:r w:rsidR="008209A2" w:rsidRPr="00AA0819">
          <w:rPr>
            <w:rStyle w:val="Hyperlink"/>
            <w:rFonts w:eastAsia="Calibri"/>
          </w:rPr>
          <w:t>Shared System Status Manager</w:t>
        </w:r>
        <w:r w:rsidR="008209A2">
          <w:rPr>
            <w:webHidden/>
          </w:rPr>
          <w:tab/>
        </w:r>
        <w:r w:rsidR="008209A2">
          <w:rPr>
            <w:webHidden/>
          </w:rPr>
          <w:fldChar w:fldCharType="begin"/>
        </w:r>
        <w:r w:rsidR="008209A2">
          <w:rPr>
            <w:webHidden/>
          </w:rPr>
          <w:instrText xml:space="preserve"> PAGEREF _Toc464323628 \h </w:instrText>
        </w:r>
        <w:r w:rsidR="008209A2">
          <w:rPr>
            <w:webHidden/>
          </w:rPr>
        </w:r>
        <w:r w:rsidR="008209A2">
          <w:rPr>
            <w:webHidden/>
          </w:rPr>
          <w:fldChar w:fldCharType="separate"/>
        </w:r>
        <w:r w:rsidR="008209A2">
          <w:rPr>
            <w:webHidden/>
          </w:rPr>
          <w:t>159</w:t>
        </w:r>
        <w:r w:rsidR="008209A2">
          <w:rPr>
            <w:webHidden/>
          </w:rPr>
          <w:fldChar w:fldCharType="end"/>
        </w:r>
      </w:hyperlink>
    </w:p>
    <w:p w14:paraId="3F15637E" w14:textId="0DA6EBD1" w:rsidR="008209A2" w:rsidRDefault="00432AD4">
      <w:pPr>
        <w:pStyle w:val="TOC3"/>
        <w:rPr>
          <w:rFonts w:asciiTheme="minorHAnsi" w:eastAsiaTheme="minorEastAsia" w:hAnsiTheme="minorHAnsi"/>
          <w:szCs w:val="22"/>
          <w:lang w:eastAsia="en-US"/>
        </w:rPr>
      </w:pPr>
      <w:hyperlink w:anchor="_Toc464323629" w:history="1">
        <w:r w:rsidR="008209A2" w:rsidRPr="00AA0819">
          <w:rPr>
            <w:rStyle w:val="Hyperlink"/>
            <w:rFonts w:eastAsia="Calibri"/>
          </w:rPr>
          <w:t>Develop a Combined Dispatch Center for Benton and Franklin Counties</w:t>
        </w:r>
        <w:r w:rsidR="008209A2">
          <w:rPr>
            <w:webHidden/>
          </w:rPr>
          <w:tab/>
        </w:r>
        <w:r w:rsidR="008209A2">
          <w:rPr>
            <w:webHidden/>
          </w:rPr>
          <w:fldChar w:fldCharType="begin"/>
        </w:r>
        <w:r w:rsidR="008209A2">
          <w:rPr>
            <w:webHidden/>
          </w:rPr>
          <w:instrText xml:space="preserve"> PAGEREF _Toc464323629 \h </w:instrText>
        </w:r>
        <w:r w:rsidR="008209A2">
          <w:rPr>
            <w:webHidden/>
          </w:rPr>
        </w:r>
        <w:r w:rsidR="008209A2">
          <w:rPr>
            <w:webHidden/>
          </w:rPr>
          <w:fldChar w:fldCharType="separate"/>
        </w:r>
        <w:r w:rsidR="008209A2">
          <w:rPr>
            <w:webHidden/>
          </w:rPr>
          <w:t>160</w:t>
        </w:r>
        <w:r w:rsidR="008209A2">
          <w:rPr>
            <w:webHidden/>
          </w:rPr>
          <w:fldChar w:fldCharType="end"/>
        </w:r>
      </w:hyperlink>
    </w:p>
    <w:p w14:paraId="3296A8A6" w14:textId="2181B809" w:rsidR="008209A2" w:rsidRDefault="00432AD4">
      <w:pPr>
        <w:pStyle w:val="TOC3"/>
        <w:rPr>
          <w:rFonts w:asciiTheme="minorHAnsi" w:eastAsiaTheme="minorEastAsia" w:hAnsiTheme="minorHAnsi"/>
          <w:szCs w:val="22"/>
          <w:lang w:eastAsia="en-US"/>
        </w:rPr>
      </w:pPr>
      <w:hyperlink w:anchor="_Toc464323630" w:history="1">
        <w:r w:rsidR="008209A2" w:rsidRPr="00AA0819">
          <w:rPr>
            <w:rStyle w:val="Hyperlink"/>
            <w:rFonts w:asciiTheme="majorHAnsi" w:eastAsia="Times New Roman" w:hAnsiTheme="majorHAnsi" w:cs="Times New Roman"/>
          </w:rPr>
          <w:t>Peak Activity Units</w:t>
        </w:r>
        <w:r w:rsidR="008209A2">
          <w:rPr>
            <w:webHidden/>
          </w:rPr>
          <w:tab/>
        </w:r>
        <w:r w:rsidR="008209A2">
          <w:rPr>
            <w:webHidden/>
          </w:rPr>
          <w:fldChar w:fldCharType="begin"/>
        </w:r>
        <w:r w:rsidR="008209A2">
          <w:rPr>
            <w:webHidden/>
          </w:rPr>
          <w:instrText xml:space="preserve"> PAGEREF _Toc464323630 \h </w:instrText>
        </w:r>
        <w:r w:rsidR="008209A2">
          <w:rPr>
            <w:webHidden/>
          </w:rPr>
        </w:r>
        <w:r w:rsidR="008209A2">
          <w:rPr>
            <w:webHidden/>
          </w:rPr>
          <w:fldChar w:fldCharType="separate"/>
        </w:r>
        <w:r w:rsidR="008209A2">
          <w:rPr>
            <w:webHidden/>
          </w:rPr>
          <w:t>161</w:t>
        </w:r>
        <w:r w:rsidR="008209A2">
          <w:rPr>
            <w:webHidden/>
          </w:rPr>
          <w:fldChar w:fldCharType="end"/>
        </w:r>
      </w:hyperlink>
    </w:p>
    <w:p w14:paraId="58D0B3E8" w14:textId="331DD512" w:rsidR="008209A2" w:rsidRDefault="00432AD4">
      <w:pPr>
        <w:pStyle w:val="TOC3"/>
        <w:rPr>
          <w:rFonts w:asciiTheme="minorHAnsi" w:eastAsiaTheme="minorEastAsia" w:hAnsiTheme="minorHAnsi"/>
          <w:szCs w:val="22"/>
          <w:lang w:eastAsia="en-US"/>
        </w:rPr>
      </w:pPr>
      <w:hyperlink w:anchor="_Toc464323631" w:history="1">
        <w:r w:rsidR="008209A2" w:rsidRPr="00AA0819">
          <w:rPr>
            <w:rStyle w:val="Hyperlink"/>
            <w:rFonts w:asciiTheme="majorHAnsi" w:eastAsia="Times New Roman" w:hAnsiTheme="majorHAnsi" w:cs="Times New Roman"/>
          </w:rPr>
          <w:t>Alternate Response Units</w:t>
        </w:r>
        <w:r w:rsidR="008209A2">
          <w:rPr>
            <w:webHidden/>
          </w:rPr>
          <w:tab/>
        </w:r>
        <w:r w:rsidR="008209A2">
          <w:rPr>
            <w:webHidden/>
          </w:rPr>
          <w:fldChar w:fldCharType="begin"/>
        </w:r>
        <w:r w:rsidR="008209A2">
          <w:rPr>
            <w:webHidden/>
          </w:rPr>
          <w:instrText xml:space="preserve"> PAGEREF _Toc464323631 \h </w:instrText>
        </w:r>
        <w:r w:rsidR="008209A2">
          <w:rPr>
            <w:webHidden/>
          </w:rPr>
        </w:r>
        <w:r w:rsidR="008209A2">
          <w:rPr>
            <w:webHidden/>
          </w:rPr>
          <w:fldChar w:fldCharType="separate"/>
        </w:r>
        <w:r w:rsidR="008209A2">
          <w:rPr>
            <w:webHidden/>
          </w:rPr>
          <w:t>162</w:t>
        </w:r>
        <w:r w:rsidR="008209A2">
          <w:rPr>
            <w:webHidden/>
          </w:rPr>
          <w:fldChar w:fldCharType="end"/>
        </w:r>
      </w:hyperlink>
    </w:p>
    <w:p w14:paraId="5992AFAF" w14:textId="7CAF6EAA" w:rsidR="008209A2" w:rsidRDefault="00432AD4">
      <w:pPr>
        <w:pStyle w:val="TOC3"/>
        <w:rPr>
          <w:rFonts w:asciiTheme="minorHAnsi" w:eastAsiaTheme="minorEastAsia" w:hAnsiTheme="minorHAnsi"/>
          <w:szCs w:val="22"/>
          <w:lang w:eastAsia="en-US"/>
        </w:rPr>
      </w:pPr>
      <w:hyperlink w:anchor="_Toc464323632" w:history="1">
        <w:r w:rsidR="008209A2" w:rsidRPr="00AA0819">
          <w:rPr>
            <w:rStyle w:val="Hyperlink"/>
            <w:rFonts w:asciiTheme="majorHAnsi" w:eastAsia="Times New Roman" w:hAnsiTheme="majorHAnsi" w:cs="Times New Roman"/>
          </w:rPr>
          <w:t>Staffing Increases</w:t>
        </w:r>
        <w:r w:rsidR="008209A2">
          <w:rPr>
            <w:webHidden/>
          </w:rPr>
          <w:tab/>
        </w:r>
        <w:r w:rsidR="008209A2">
          <w:rPr>
            <w:webHidden/>
          </w:rPr>
          <w:fldChar w:fldCharType="begin"/>
        </w:r>
        <w:r w:rsidR="008209A2">
          <w:rPr>
            <w:webHidden/>
          </w:rPr>
          <w:instrText xml:space="preserve"> PAGEREF _Toc464323632 \h </w:instrText>
        </w:r>
        <w:r w:rsidR="008209A2">
          <w:rPr>
            <w:webHidden/>
          </w:rPr>
        </w:r>
        <w:r w:rsidR="008209A2">
          <w:rPr>
            <w:webHidden/>
          </w:rPr>
          <w:fldChar w:fldCharType="separate"/>
        </w:r>
        <w:r w:rsidR="008209A2">
          <w:rPr>
            <w:webHidden/>
          </w:rPr>
          <w:t>163</w:t>
        </w:r>
        <w:r w:rsidR="008209A2">
          <w:rPr>
            <w:webHidden/>
          </w:rPr>
          <w:fldChar w:fldCharType="end"/>
        </w:r>
      </w:hyperlink>
    </w:p>
    <w:p w14:paraId="6B6AB5B2" w14:textId="77627F50" w:rsidR="008209A2" w:rsidRDefault="00432AD4">
      <w:pPr>
        <w:pStyle w:val="TOC3"/>
        <w:rPr>
          <w:rFonts w:asciiTheme="minorHAnsi" w:eastAsiaTheme="minorEastAsia" w:hAnsiTheme="minorHAnsi"/>
          <w:szCs w:val="22"/>
          <w:lang w:eastAsia="en-US"/>
        </w:rPr>
      </w:pPr>
      <w:hyperlink w:anchor="_Toc464323633" w:history="1">
        <w:r w:rsidR="008209A2" w:rsidRPr="00AA0819">
          <w:rPr>
            <w:rStyle w:val="Hyperlink"/>
            <w:rFonts w:asciiTheme="majorHAnsi" w:eastAsia="Times New Roman" w:hAnsiTheme="majorHAnsi" w:cs="Times New Roman"/>
          </w:rPr>
          <w:t>Logistics Center</w:t>
        </w:r>
        <w:r w:rsidR="008209A2">
          <w:rPr>
            <w:webHidden/>
          </w:rPr>
          <w:tab/>
        </w:r>
        <w:r w:rsidR="008209A2">
          <w:rPr>
            <w:webHidden/>
          </w:rPr>
          <w:fldChar w:fldCharType="begin"/>
        </w:r>
        <w:r w:rsidR="008209A2">
          <w:rPr>
            <w:webHidden/>
          </w:rPr>
          <w:instrText xml:space="preserve"> PAGEREF _Toc464323633 \h </w:instrText>
        </w:r>
        <w:r w:rsidR="008209A2">
          <w:rPr>
            <w:webHidden/>
          </w:rPr>
        </w:r>
        <w:r w:rsidR="008209A2">
          <w:rPr>
            <w:webHidden/>
          </w:rPr>
          <w:fldChar w:fldCharType="separate"/>
        </w:r>
        <w:r w:rsidR="008209A2">
          <w:rPr>
            <w:webHidden/>
          </w:rPr>
          <w:t>163</w:t>
        </w:r>
        <w:r w:rsidR="008209A2">
          <w:rPr>
            <w:webHidden/>
          </w:rPr>
          <w:fldChar w:fldCharType="end"/>
        </w:r>
      </w:hyperlink>
    </w:p>
    <w:p w14:paraId="77C967CB" w14:textId="4550BEDD" w:rsidR="008209A2" w:rsidRDefault="00432AD4">
      <w:pPr>
        <w:pStyle w:val="TOC3"/>
        <w:rPr>
          <w:rFonts w:asciiTheme="minorHAnsi" w:eastAsiaTheme="minorEastAsia" w:hAnsiTheme="minorHAnsi"/>
          <w:szCs w:val="22"/>
          <w:lang w:eastAsia="en-US"/>
        </w:rPr>
      </w:pPr>
      <w:hyperlink w:anchor="_Toc464323634" w:history="1">
        <w:r w:rsidR="008209A2" w:rsidRPr="00AA0819">
          <w:rPr>
            <w:rStyle w:val="Hyperlink"/>
            <w:rFonts w:eastAsia="Calibri"/>
          </w:rPr>
          <w:t>Station Redeployment</w:t>
        </w:r>
        <w:r w:rsidR="008209A2">
          <w:rPr>
            <w:webHidden/>
          </w:rPr>
          <w:tab/>
        </w:r>
        <w:r w:rsidR="008209A2">
          <w:rPr>
            <w:webHidden/>
          </w:rPr>
          <w:fldChar w:fldCharType="begin"/>
        </w:r>
        <w:r w:rsidR="008209A2">
          <w:rPr>
            <w:webHidden/>
          </w:rPr>
          <w:instrText xml:space="preserve"> PAGEREF _Toc464323634 \h </w:instrText>
        </w:r>
        <w:r w:rsidR="008209A2">
          <w:rPr>
            <w:webHidden/>
          </w:rPr>
        </w:r>
        <w:r w:rsidR="008209A2">
          <w:rPr>
            <w:webHidden/>
          </w:rPr>
          <w:fldChar w:fldCharType="separate"/>
        </w:r>
        <w:r w:rsidR="008209A2">
          <w:rPr>
            <w:webHidden/>
          </w:rPr>
          <w:t>164</w:t>
        </w:r>
        <w:r w:rsidR="008209A2">
          <w:rPr>
            <w:webHidden/>
          </w:rPr>
          <w:fldChar w:fldCharType="end"/>
        </w:r>
      </w:hyperlink>
    </w:p>
    <w:p w14:paraId="049FD9F3" w14:textId="4CBF91A5" w:rsidR="008209A2" w:rsidRDefault="00432AD4">
      <w:pPr>
        <w:pStyle w:val="TOC2"/>
        <w:rPr>
          <w:rFonts w:asciiTheme="minorHAnsi" w:eastAsiaTheme="minorEastAsia" w:hAnsiTheme="minorHAnsi"/>
          <w:bCs w:val="0"/>
          <w:lang w:eastAsia="en-US"/>
        </w:rPr>
      </w:pPr>
      <w:hyperlink w:anchor="_Toc464323635" w:history="1">
        <w:r w:rsidR="008209A2" w:rsidRPr="00AA0819">
          <w:rPr>
            <w:rStyle w:val="Hyperlink"/>
            <w:rFonts w:cs="Calibri"/>
          </w:rPr>
          <w:t>Long-Term Strategies</w:t>
        </w:r>
        <w:r w:rsidR="008209A2">
          <w:rPr>
            <w:webHidden/>
          </w:rPr>
          <w:tab/>
        </w:r>
        <w:r w:rsidR="008209A2">
          <w:rPr>
            <w:webHidden/>
          </w:rPr>
          <w:fldChar w:fldCharType="begin"/>
        </w:r>
        <w:r w:rsidR="008209A2">
          <w:rPr>
            <w:webHidden/>
          </w:rPr>
          <w:instrText xml:space="preserve"> PAGEREF _Toc464323635 \h </w:instrText>
        </w:r>
        <w:r w:rsidR="008209A2">
          <w:rPr>
            <w:webHidden/>
          </w:rPr>
        </w:r>
        <w:r w:rsidR="008209A2">
          <w:rPr>
            <w:webHidden/>
          </w:rPr>
          <w:fldChar w:fldCharType="separate"/>
        </w:r>
        <w:r w:rsidR="008209A2">
          <w:rPr>
            <w:webHidden/>
          </w:rPr>
          <w:t>167</w:t>
        </w:r>
        <w:r w:rsidR="008209A2">
          <w:rPr>
            <w:webHidden/>
          </w:rPr>
          <w:fldChar w:fldCharType="end"/>
        </w:r>
      </w:hyperlink>
    </w:p>
    <w:p w14:paraId="0378F4DB" w14:textId="201E1B9A" w:rsidR="008209A2" w:rsidRDefault="00432AD4">
      <w:pPr>
        <w:pStyle w:val="TOC3"/>
        <w:rPr>
          <w:rFonts w:asciiTheme="minorHAnsi" w:eastAsiaTheme="minorEastAsia" w:hAnsiTheme="minorHAnsi"/>
          <w:szCs w:val="22"/>
          <w:lang w:eastAsia="en-US"/>
        </w:rPr>
      </w:pPr>
      <w:hyperlink w:anchor="_Toc464323636" w:history="1">
        <w:r w:rsidR="008209A2" w:rsidRPr="00AA0819">
          <w:rPr>
            <w:rStyle w:val="Hyperlink"/>
            <w:rFonts w:eastAsia="Times New Roman"/>
            <w:lang w:eastAsia="en-US"/>
          </w:rPr>
          <w:t>Additional Fire Station</w:t>
        </w:r>
        <w:r w:rsidR="008209A2">
          <w:rPr>
            <w:webHidden/>
          </w:rPr>
          <w:tab/>
        </w:r>
        <w:r w:rsidR="008209A2">
          <w:rPr>
            <w:webHidden/>
          </w:rPr>
          <w:fldChar w:fldCharType="begin"/>
        </w:r>
        <w:r w:rsidR="008209A2">
          <w:rPr>
            <w:webHidden/>
          </w:rPr>
          <w:instrText xml:space="preserve"> PAGEREF _Toc464323636 \h </w:instrText>
        </w:r>
        <w:r w:rsidR="008209A2">
          <w:rPr>
            <w:webHidden/>
          </w:rPr>
        </w:r>
        <w:r w:rsidR="008209A2">
          <w:rPr>
            <w:webHidden/>
          </w:rPr>
          <w:fldChar w:fldCharType="separate"/>
        </w:r>
        <w:r w:rsidR="008209A2">
          <w:rPr>
            <w:webHidden/>
          </w:rPr>
          <w:t>167</w:t>
        </w:r>
        <w:r w:rsidR="008209A2">
          <w:rPr>
            <w:webHidden/>
          </w:rPr>
          <w:fldChar w:fldCharType="end"/>
        </w:r>
      </w:hyperlink>
    </w:p>
    <w:p w14:paraId="5256242A" w14:textId="0BFC8E9D" w:rsidR="008209A2" w:rsidRDefault="00432AD4">
      <w:pPr>
        <w:pStyle w:val="TOC1"/>
        <w:rPr>
          <w:rFonts w:asciiTheme="minorHAnsi" w:eastAsiaTheme="minorEastAsia" w:hAnsiTheme="minorHAnsi"/>
          <w:b w:val="0"/>
          <w:bCs w:val="0"/>
          <w:iCs w:val="0"/>
          <w:sz w:val="22"/>
          <w:szCs w:val="22"/>
          <w:lang w:eastAsia="en-US"/>
        </w:rPr>
      </w:pPr>
      <w:hyperlink w:anchor="_Toc464323637" w:history="1">
        <w:r w:rsidR="008209A2" w:rsidRPr="00AA0819">
          <w:rPr>
            <w:rStyle w:val="Hyperlink"/>
          </w:rPr>
          <w:t>Cost Projections</w:t>
        </w:r>
        <w:r w:rsidR="008209A2">
          <w:rPr>
            <w:webHidden/>
          </w:rPr>
          <w:tab/>
        </w:r>
        <w:r w:rsidR="008209A2">
          <w:rPr>
            <w:webHidden/>
          </w:rPr>
          <w:fldChar w:fldCharType="begin"/>
        </w:r>
        <w:r w:rsidR="008209A2">
          <w:rPr>
            <w:webHidden/>
          </w:rPr>
          <w:instrText xml:space="preserve"> PAGEREF _Toc464323637 \h </w:instrText>
        </w:r>
        <w:r w:rsidR="008209A2">
          <w:rPr>
            <w:webHidden/>
          </w:rPr>
        </w:r>
        <w:r w:rsidR="008209A2">
          <w:rPr>
            <w:webHidden/>
          </w:rPr>
          <w:fldChar w:fldCharType="separate"/>
        </w:r>
        <w:r w:rsidR="008209A2">
          <w:rPr>
            <w:webHidden/>
          </w:rPr>
          <w:t>169</w:t>
        </w:r>
        <w:r w:rsidR="008209A2">
          <w:rPr>
            <w:webHidden/>
          </w:rPr>
          <w:fldChar w:fldCharType="end"/>
        </w:r>
      </w:hyperlink>
    </w:p>
    <w:p w14:paraId="4DB63859" w14:textId="05729862" w:rsidR="008209A2" w:rsidRDefault="00432AD4">
      <w:pPr>
        <w:pStyle w:val="TOC2"/>
        <w:rPr>
          <w:rFonts w:asciiTheme="minorHAnsi" w:eastAsiaTheme="minorEastAsia" w:hAnsiTheme="minorHAnsi"/>
          <w:bCs w:val="0"/>
          <w:lang w:eastAsia="en-US"/>
        </w:rPr>
      </w:pPr>
      <w:hyperlink w:anchor="_Toc464323638" w:history="1">
        <w:r w:rsidR="008209A2" w:rsidRPr="00AA0819">
          <w:rPr>
            <w:rStyle w:val="Hyperlink"/>
            <w:rFonts w:eastAsia="Times New Roman"/>
          </w:rPr>
          <w:t>Revenue &amp; Expenditure Forecast</w:t>
        </w:r>
        <w:r w:rsidR="008209A2">
          <w:rPr>
            <w:webHidden/>
          </w:rPr>
          <w:tab/>
        </w:r>
        <w:r w:rsidR="008209A2">
          <w:rPr>
            <w:webHidden/>
          </w:rPr>
          <w:fldChar w:fldCharType="begin"/>
        </w:r>
        <w:r w:rsidR="008209A2">
          <w:rPr>
            <w:webHidden/>
          </w:rPr>
          <w:instrText xml:space="preserve"> PAGEREF _Toc464323638 \h </w:instrText>
        </w:r>
        <w:r w:rsidR="008209A2">
          <w:rPr>
            <w:webHidden/>
          </w:rPr>
        </w:r>
        <w:r w:rsidR="008209A2">
          <w:rPr>
            <w:webHidden/>
          </w:rPr>
          <w:fldChar w:fldCharType="separate"/>
        </w:r>
        <w:r w:rsidR="008209A2">
          <w:rPr>
            <w:webHidden/>
          </w:rPr>
          <w:t>169</w:t>
        </w:r>
        <w:r w:rsidR="008209A2">
          <w:rPr>
            <w:webHidden/>
          </w:rPr>
          <w:fldChar w:fldCharType="end"/>
        </w:r>
      </w:hyperlink>
    </w:p>
    <w:p w14:paraId="629C870C" w14:textId="03A49D88" w:rsidR="008209A2" w:rsidRDefault="00432AD4">
      <w:pPr>
        <w:pStyle w:val="TOC3"/>
        <w:rPr>
          <w:rFonts w:asciiTheme="minorHAnsi" w:eastAsiaTheme="minorEastAsia" w:hAnsiTheme="minorHAnsi"/>
          <w:szCs w:val="22"/>
          <w:lang w:eastAsia="en-US"/>
        </w:rPr>
      </w:pPr>
      <w:hyperlink w:anchor="_Toc464323639" w:history="1">
        <w:r w:rsidR="008209A2" w:rsidRPr="00AA0819">
          <w:rPr>
            <w:rStyle w:val="Hyperlink"/>
            <w:rFonts w:eastAsia="Times New Roman"/>
            <w:lang w:eastAsia="en-US"/>
          </w:rPr>
          <w:t>Forecast Assumptions</w:t>
        </w:r>
        <w:r w:rsidR="008209A2">
          <w:rPr>
            <w:webHidden/>
          </w:rPr>
          <w:tab/>
        </w:r>
        <w:r w:rsidR="008209A2">
          <w:rPr>
            <w:webHidden/>
          </w:rPr>
          <w:fldChar w:fldCharType="begin"/>
        </w:r>
        <w:r w:rsidR="008209A2">
          <w:rPr>
            <w:webHidden/>
          </w:rPr>
          <w:instrText xml:space="preserve"> PAGEREF _Toc464323639 \h </w:instrText>
        </w:r>
        <w:r w:rsidR="008209A2">
          <w:rPr>
            <w:webHidden/>
          </w:rPr>
        </w:r>
        <w:r w:rsidR="008209A2">
          <w:rPr>
            <w:webHidden/>
          </w:rPr>
          <w:fldChar w:fldCharType="separate"/>
        </w:r>
        <w:r w:rsidR="008209A2">
          <w:rPr>
            <w:webHidden/>
          </w:rPr>
          <w:t>169</w:t>
        </w:r>
        <w:r w:rsidR="008209A2">
          <w:rPr>
            <w:webHidden/>
          </w:rPr>
          <w:fldChar w:fldCharType="end"/>
        </w:r>
      </w:hyperlink>
    </w:p>
    <w:p w14:paraId="29F5B399" w14:textId="0813D650" w:rsidR="008209A2" w:rsidRDefault="00432AD4">
      <w:pPr>
        <w:pStyle w:val="TOC3"/>
        <w:rPr>
          <w:rFonts w:asciiTheme="minorHAnsi" w:eastAsiaTheme="minorEastAsia" w:hAnsiTheme="minorHAnsi"/>
          <w:szCs w:val="22"/>
          <w:lang w:eastAsia="en-US"/>
        </w:rPr>
      </w:pPr>
      <w:hyperlink w:anchor="_Toc464323640" w:history="1">
        <w:r w:rsidR="008209A2" w:rsidRPr="00AA0819">
          <w:rPr>
            <w:rStyle w:val="Hyperlink"/>
            <w:rFonts w:eastAsia="Times New Roman"/>
            <w:lang w:eastAsia="en-US"/>
          </w:rPr>
          <w:t>Financial Forecast Results</w:t>
        </w:r>
        <w:r w:rsidR="008209A2">
          <w:rPr>
            <w:webHidden/>
          </w:rPr>
          <w:tab/>
        </w:r>
        <w:r w:rsidR="008209A2">
          <w:rPr>
            <w:webHidden/>
          </w:rPr>
          <w:fldChar w:fldCharType="begin"/>
        </w:r>
        <w:r w:rsidR="008209A2">
          <w:rPr>
            <w:webHidden/>
          </w:rPr>
          <w:instrText xml:space="preserve"> PAGEREF _Toc464323640 \h </w:instrText>
        </w:r>
        <w:r w:rsidR="008209A2">
          <w:rPr>
            <w:webHidden/>
          </w:rPr>
        </w:r>
        <w:r w:rsidR="008209A2">
          <w:rPr>
            <w:webHidden/>
          </w:rPr>
          <w:fldChar w:fldCharType="separate"/>
        </w:r>
        <w:r w:rsidR="008209A2">
          <w:rPr>
            <w:webHidden/>
          </w:rPr>
          <w:t>173</w:t>
        </w:r>
        <w:r w:rsidR="008209A2">
          <w:rPr>
            <w:webHidden/>
          </w:rPr>
          <w:fldChar w:fldCharType="end"/>
        </w:r>
      </w:hyperlink>
    </w:p>
    <w:p w14:paraId="51F7BF0F" w14:textId="079FCFB5" w:rsidR="008209A2" w:rsidRDefault="00432AD4">
      <w:pPr>
        <w:pStyle w:val="TOC1"/>
        <w:rPr>
          <w:rFonts w:asciiTheme="minorHAnsi" w:eastAsiaTheme="minorEastAsia" w:hAnsiTheme="minorHAnsi"/>
          <w:b w:val="0"/>
          <w:bCs w:val="0"/>
          <w:iCs w:val="0"/>
          <w:sz w:val="22"/>
          <w:szCs w:val="22"/>
          <w:lang w:eastAsia="en-US"/>
        </w:rPr>
      </w:pPr>
      <w:hyperlink w:anchor="_Toc464323641" w:history="1">
        <w:r w:rsidR="008209A2" w:rsidRPr="00AA0819">
          <w:rPr>
            <w:rStyle w:val="Hyperlink"/>
            <w:rFonts w:cs="Calibri"/>
          </w:rPr>
          <w:t>Appendices</w:t>
        </w:r>
        <w:r w:rsidR="008209A2">
          <w:rPr>
            <w:webHidden/>
          </w:rPr>
          <w:tab/>
        </w:r>
        <w:r w:rsidR="008209A2">
          <w:rPr>
            <w:webHidden/>
          </w:rPr>
          <w:fldChar w:fldCharType="begin"/>
        </w:r>
        <w:r w:rsidR="008209A2">
          <w:rPr>
            <w:webHidden/>
          </w:rPr>
          <w:instrText xml:space="preserve"> PAGEREF _Toc464323641 \h </w:instrText>
        </w:r>
        <w:r w:rsidR="008209A2">
          <w:rPr>
            <w:webHidden/>
          </w:rPr>
        </w:r>
        <w:r w:rsidR="008209A2">
          <w:rPr>
            <w:webHidden/>
          </w:rPr>
          <w:fldChar w:fldCharType="separate"/>
        </w:r>
        <w:r w:rsidR="008209A2">
          <w:rPr>
            <w:webHidden/>
          </w:rPr>
          <w:t>187</w:t>
        </w:r>
        <w:r w:rsidR="008209A2">
          <w:rPr>
            <w:webHidden/>
          </w:rPr>
          <w:fldChar w:fldCharType="end"/>
        </w:r>
      </w:hyperlink>
    </w:p>
    <w:p w14:paraId="2869916B" w14:textId="31E04A01" w:rsidR="008209A2" w:rsidRDefault="00432AD4">
      <w:pPr>
        <w:pStyle w:val="TOC2"/>
        <w:rPr>
          <w:rFonts w:asciiTheme="minorHAnsi" w:eastAsiaTheme="minorEastAsia" w:hAnsiTheme="minorHAnsi"/>
          <w:bCs w:val="0"/>
          <w:lang w:eastAsia="en-US"/>
        </w:rPr>
      </w:pPr>
      <w:hyperlink w:anchor="_Toc464323642" w:history="1">
        <w:r w:rsidR="008209A2" w:rsidRPr="00AA0819">
          <w:rPr>
            <w:rStyle w:val="Hyperlink"/>
            <w:rFonts w:cs="Calibri"/>
          </w:rPr>
          <w:t>Appendix A: Table of Figures</w:t>
        </w:r>
        <w:r w:rsidR="008209A2">
          <w:rPr>
            <w:webHidden/>
          </w:rPr>
          <w:tab/>
        </w:r>
        <w:r w:rsidR="008209A2">
          <w:rPr>
            <w:webHidden/>
          </w:rPr>
          <w:fldChar w:fldCharType="begin"/>
        </w:r>
        <w:r w:rsidR="008209A2">
          <w:rPr>
            <w:webHidden/>
          </w:rPr>
          <w:instrText xml:space="preserve"> PAGEREF _Toc464323642 \h </w:instrText>
        </w:r>
        <w:r w:rsidR="008209A2">
          <w:rPr>
            <w:webHidden/>
          </w:rPr>
        </w:r>
        <w:r w:rsidR="008209A2">
          <w:rPr>
            <w:webHidden/>
          </w:rPr>
          <w:fldChar w:fldCharType="separate"/>
        </w:r>
        <w:r w:rsidR="008209A2">
          <w:rPr>
            <w:webHidden/>
          </w:rPr>
          <w:t>187</w:t>
        </w:r>
        <w:r w:rsidR="008209A2">
          <w:rPr>
            <w:webHidden/>
          </w:rPr>
          <w:fldChar w:fldCharType="end"/>
        </w:r>
      </w:hyperlink>
    </w:p>
    <w:p w14:paraId="7433A2C8" w14:textId="4817EC08" w:rsidR="00077CD0" w:rsidRPr="00DE2FAA" w:rsidRDefault="00CB0510" w:rsidP="00CB0510">
      <w:pPr>
        <w:pStyle w:val="TOC2"/>
      </w:pPr>
      <w:r>
        <w:rPr>
          <w:rFonts w:cs="Calibri"/>
          <w:b/>
          <w:iCs/>
          <w:sz w:val="24"/>
          <w:szCs w:val="24"/>
        </w:rPr>
        <w:fldChar w:fldCharType="end"/>
      </w:r>
    </w:p>
    <w:p w14:paraId="7BF8C332" w14:textId="77777777" w:rsidR="00077CD0" w:rsidRPr="00DE2FAA" w:rsidRDefault="00077CD0">
      <w:pPr>
        <w:rPr>
          <w:rFonts w:cs="Calibri"/>
        </w:rPr>
      </w:pPr>
    </w:p>
    <w:p w14:paraId="11654EC7" w14:textId="77777777" w:rsidR="005B6F83" w:rsidRPr="00DE2FAA" w:rsidRDefault="005B6F83">
      <w:pPr>
        <w:spacing w:line="240" w:lineRule="auto"/>
        <w:jc w:val="left"/>
        <w:rPr>
          <w:rFonts w:cs="Calibri"/>
          <w:color w:val="000000"/>
          <w:szCs w:val="20"/>
        </w:rPr>
      </w:pPr>
      <w:r w:rsidRPr="00DE2FAA">
        <w:rPr>
          <w:rFonts w:cs="Calibri"/>
          <w:color w:val="000000"/>
          <w:szCs w:val="20"/>
        </w:rPr>
        <w:br w:type="page"/>
      </w:r>
    </w:p>
    <w:p w14:paraId="768BD446" w14:textId="77777777" w:rsidR="00077CD0" w:rsidRPr="00DE2FAA" w:rsidRDefault="00077CD0">
      <w:pPr>
        <w:jc w:val="left"/>
        <w:rPr>
          <w:rFonts w:cs="Calibri"/>
          <w:color w:val="000000"/>
          <w:szCs w:val="20"/>
        </w:rPr>
        <w:sectPr w:rsidR="00077CD0" w:rsidRPr="00DE2FAA" w:rsidSect="00F64203">
          <w:headerReference w:type="even" r:id="rId13"/>
          <w:headerReference w:type="default" r:id="rId14"/>
          <w:footerReference w:type="even" r:id="rId15"/>
          <w:footerReference w:type="default" r:id="rId16"/>
          <w:type w:val="oddPage"/>
          <w:pgSz w:w="12240" w:h="15840"/>
          <w:pgMar w:top="1440" w:right="1440" w:bottom="1440" w:left="1440" w:header="720" w:footer="720" w:gutter="0"/>
          <w:pgNumType w:fmt="lowerRoman" w:start="1"/>
          <w:cols w:space="720"/>
          <w:docGrid w:linePitch="299"/>
        </w:sectPr>
      </w:pPr>
    </w:p>
    <w:p w14:paraId="265590F0" w14:textId="77777777" w:rsidR="005B0DB7" w:rsidRPr="005B0DB7" w:rsidRDefault="005B0DB7" w:rsidP="005B0DB7">
      <w:pPr>
        <w:keepNext/>
        <w:keepLines/>
        <w:spacing w:before="240" w:after="0"/>
        <w:outlineLvl w:val="0"/>
        <w:rPr>
          <w:rFonts w:eastAsia="Times New Roman" w:cs="Calibri"/>
          <w:b/>
          <w:bCs/>
          <w:color w:val="808080"/>
          <w:sz w:val="28"/>
          <w:szCs w:val="28"/>
          <w:lang w:eastAsia="en-US"/>
        </w:rPr>
      </w:pPr>
      <w:bookmarkStart w:id="13" w:name="_Toc197590405"/>
      <w:bookmarkStart w:id="14" w:name="_Toc357084136"/>
      <w:bookmarkStart w:id="15" w:name="_Toc456295923"/>
      <w:bookmarkStart w:id="16" w:name="_Toc464323545"/>
      <w:bookmarkStart w:id="17" w:name="_Toc357084137"/>
      <w:bookmarkStart w:id="18" w:name="_Toc167527215"/>
      <w:bookmarkStart w:id="19" w:name="_Toc180897322"/>
      <w:bookmarkStart w:id="20" w:name="_Toc181002745"/>
      <w:bookmarkStart w:id="21" w:name="_Ref185050427"/>
      <w:bookmarkStart w:id="22" w:name="_Ref185050443"/>
      <w:r w:rsidRPr="005B0DB7">
        <w:rPr>
          <w:rFonts w:eastAsia="Times New Roman" w:cs="Calibri"/>
          <w:b/>
          <w:bCs/>
          <w:color w:val="808080"/>
          <w:sz w:val="28"/>
          <w:szCs w:val="28"/>
          <w:lang w:eastAsia="en-US"/>
        </w:rPr>
        <w:lastRenderedPageBreak/>
        <w:t>Executive Summary</w:t>
      </w:r>
      <w:bookmarkEnd w:id="13"/>
      <w:bookmarkEnd w:id="14"/>
      <w:bookmarkEnd w:id="15"/>
      <w:bookmarkEnd w:id="16"/>
    </w:p>
    <w:p w14:paraId="3BA600F5" w14:textId="77777777" w:rsidR="005B0DB7" w:rsidRPr="005B0DB7" w:rsidRDefault="005B0DB7" w:rsidP="005B0DB7">
      <w:pPr>
        <w:rPr>
          <w:rFonts w:eastAsia="Calibri" w:cs="Times New Roman"/>
          <w:lang w:eastAsia="en-US"/>
        </w:rPr>
      </w:pPr>
      <w:bookmarkStart w:id="23" w:name="_Toc180897277"/>
      <w:bookmarkStart w:id="24" w:name="_Toc181002698"/>
      <w:bookmarkStart w:id="25" w:name="_Toc186530209"/>
      <w:bookmarkStart w:id="26" w:name="_Toc317482493"/>
      <w:r w:rsidRPr="005B0DB7">
        <w:rPr>
          <w:rFonts w:eastAsia="Calibri" w:cs="Times New Roman"/>
          <w:lang w:eastAsia="en-US"/>
        </w:rPr>
        <w:t xml:space="preserve">Emergency Services Consulting International (ESCI) was engaged by the City of Pasco Fire Department to conduct an emergency service master plan for the fire department. </w:t>
      </w:r>
    </w:p>
    <w:p w14:paraId="6A7F9290" w14:textId="77777777" w:rsidR="005B0DB7" w:rsidRPr="005B0DB7" w:rsidRDefault="005B0DB7" w:rsidP="005B0DB7">
      <w:pPr>
        <w:keepNext/>
        <w:keepLines/>
        <w:spacing w:before="40" w:after="0"/>
        <w:jc w:val="left"/>
        <w:outlineLvl w:val="3"/>
        <w:rPr>
          <w:rFonts w:ascii="Cambria" w:eastAsia="Cambria" w:hAnsi="Cambria" w:cs="Times New Roman"/>
          <w:b/>
          <w:i/>
          <w:iCs/>
          <w:color w:val="A6A6A6"/>
        </w:rPr>
      </w:pPr>
      <w:r w:rsidRPr="005B0DB7">
        <w:rPr>
          <w:rFonts w:ascii="Cambria" w:eastAsia="Cambria" w:hAnsi="Cambria" w:cs="Times New Roman"/>
          <w:b/>
          <w:i/>
          <w:iCs/>
          <w:color w:val="A6A6A6"/>
        </w:rPr>
        <w:t>Purpose and Approach</w:t>
      </w:r>
    </w:p>
    <w:p w14:paraId="3B269D2B" w14:textId="77777777" w:rsidR="005B0DB7" w:rsidRPr="005B0DB7" w:rsidRDefault="005B0DB7" w:rsidP="005B0DB7">
      <w:pPr>
        <w:rPr>
          <w:rFonts w:eastAsia="Calibri" w:cs="Times New Roman"/>
          <w:lang w:eastAsia="en-US"/>
        </w:rPr>
      </w:pPr>
      <w:r w:rsidRPr="005B0DB7">
        <w:rPr>
          <w:rFonts w:eastAsia="Calibri" w:cs="Times New Roman"/>
          <w:lang w:eastAsia="en-US"/>
        </w:rPr>
        <w:t xml:space="preserve">The purpose of a master plan for the fire service is to understand where the fire department is in relation to the risks the community is faced with today, anticipate community growth (and therefore risk growth) and recommend steps to take to position the fire department to address that growth in advance with appropriate resources and infrastructure.  In short, a master plan keeps the fire department from lagging behind community growth and development, maintaining or enhancing service as the community grows.  It is an effective policy-making and budgeting tool as well.  Knowing where and how the community will grow into the future and what the fire department will need in terms of policy and budget support to address it—well in advance—is a critical element of city council deliberation. </w:t>
      </w:r>
    </w:p>
    <w:p w14:paraId="536841F4" w14:textId="77777777" w:rsidR="005B0DB7" w:rsidRPr="005B0DB7" w:rsidRDefault="005B0DB7" w:rsidP="005B0DB7">
      <w:pPr>
        <w:rPr>
          <w:rFonts w:eastAsia="Calibri" w:cs="Times New Roman"/>
          <w:lang w:eastAsia="en-US"/>
        </w:rPr>
      </w:pPr>
      <w:r w:rsidRPr="005B0DB7">
        <w:rPr>
          <w:rFonts w:eastAsia="Calibri" w:cs="Times New Roman"/>
          <w:lang w:eastAsia="en-US"/>
        </w:rPr>
        <w:t xml:space="preserve">The first phase of this master plan was to conduct a baseline assessment of the current conditions and current service performance of the fire department. The purpose of this phase was to assess the agency’s infrastructure, operations and service delivery in comparison to industry standards and best practices, as well as to create a benchmark against which the options for future service delivery can be measured. </w:t>
      </w:r>
    </w:p>
    <w:p w14:paraId="61B7047B" w14:textId="77777777" w:rsidR="005B0DB7" w:rsidRPr="005B0DB7" w:rsidRDefault="005B0DB7" w:rsidP="005B0DB7">
      <w:pPr>
        <w:rPr>
          <w:rFonts w:eastAsia="Calibri" w:cs="Times New Roman"/>
          <w:lang w:eastAsia="en-US"/>
        </w:rPr>
      </w:pPr>
      <w:r w:rsidRPr="005B0DB7">
        <w:rPr>
          <w:rFonts w:eastAsia="Calibri" w:cs="Times New Roman"/>
          <w:lang w:eastAsia="en-US"/>
        </w:rPr>
        <w:t xml:space="preserve">The second phase was to conduct an assessment of the potential future community conditions, service demand, and fire protection risks that the organization may be expected to serve. The purpose of this phase was to determine community growth projections and interpret their impact on emergency service planning and delivery. </w:t>
      </w:r>
    </w:p>
    <w:p w14:paraId="4533D087" w14:textId="77777777" w:rsidR="005B0DB7" w:rsidRPr="005B0DB7" w:rsidRDefault="005B0DB7" w:rsidP="005B0DB7">
      <w:pPr>
        <w:rPr>
          <w:rFonts w:eastAsia="Calibri" w:cs="Times New Roman"/>
          <w:lang w:eastAsia="en-US"/>
        </w:rPr>
      </w:pPr>
      <w:r w:rsidRPr="005B0DB7">
        <w:rPr>
          <w:rFonts w:eastAsia="Calibri" w:cs="Times New Roman"/>
          <w:lang w:eastAsia="en-US"/>
        </w:rPr>
        <w:t>The third phase was to identify future service delivery system models to include developing response standards and targets, addressing critical task analysis, evaluation of community risk, identifying the appropriate staffing levels to increase the effectiveness of emergency incident actions, and addressing response time performance through the creation of realistic performance objectives.</w:t>
      </w:r>
    </w:p>
    <w:p w14:paraId="6FD3AFD2" w14:textId="77777777" w:rsidR="005B0DB7" w:rsidRPr="005B0DB7" w:rsidRDefault="005B0DB7" w:rsidP="005B0DB7">
      <w:pPr>
        <w:jc w:val="left"/>
        <w:rPr>
          <w:rFonts w:eastAsia="Calibri" w:cs="Times New Roman"/>
        </w:rPr>
      </w:pPr>
      <w:r w:rsidRPr="005B0DB7">
        <w:rPr>
          <w:rFonts w:eastAsia="Calibri" w:cs="Times New Roman"/>
        </w:rPr>
        <w:t>Finally, the fourth phase was to recommend short- medium- and long term strategies to meet the needs of the community now and into the foreseeable future, keeping pace with growth and address gaps in the existing system where possible.</w:t>
      </w:r>
    </w:p>
    <w:p w14:paraId="270CF0E5" w14:textId="77777777" w:rsidR="005B0DB7" w:rsidRPr="005B0DB7" w:rsidRDefault="005B0DB7" w:rsidP="005B0DB7">
      <w:pPr>
        <w:keepNext/>
        <w:keepLines/>
        <w:spacing w:before="40" w:after="0"/>
        <w:jc w:val="left"/>
        <w:outlineLvl w:val="3"/>
        <w:rPr>
          <w:rFonts w:ascii="Cambria" w:eastAsia="Cambria" w:hAnsi="Cambria" w:cs="Times New Roman"/>
          <w:b/>
          <w:i/>
          <w:iCs/>
          <w:color w:val="A6A6A6"/>
        </w:rPr>
      </w:pPr>
      <w:r w:rsidRPr="005B0DB7">
        <w:rPr>
          <w:rFonts w:ascii="Cambria" w:eastAsia="Cambria" w:hAnsi="Cambria" w:cs="Times New Roman"/>
          <w:b/>
          <w:i/>
          <w:iCs/>
          <w:color w:val="A6A6A6"/>
        </w:rPr>
        <w:t>Evaluation of Current Conditions</w:t>
      </w:r>
    </w:p>
    <w:p w14:paraId="3682405B" w14:textId="77777777" w:rsidR="005B0DB7" w:rsidRPr="005B0DB7" w:rsidRDefault="005B0DB7" w:rsidP="005B0DB7">
      <w:pPr>
        <w:rPr>
          <w:rFonts w:eastAsia="Cambria" w:cs="Times New Roman"/>
        </w:rPr>
      </w:pPr>
      <w:r w:rsidRPr="005B0DB7">
        <w:rPr>
          <w:rFonts w:eastAsia="Cambria" w:cs="Times New Roman"/>
        </w:rPr>
        <w:t>The Pasco Fire Department is a modern fire department with appropriate equipment, some facilities that are in need of upgrade or relocation, and personnel who work harder than most comparable agencies in Washington and throughout the U.S.  At .70 firefighters per 1,000 population served, PFD is lower than their regional median peers (.84)</w:t>
      </w:r>
      <w:r w:rsidRPr="005B0DB7">
        <w:rPr>
          <w:rFonts w:eastAsia="Cambria" w:cs="Times New Roman"/>
          <w:vertAlign w:val="superscript"/>
        </w:rPr>
        <w:footnoteReference w:id="1"/>
      </w:r>
      <w:r w:rsidRPr="005B0DB7">
        <w:rPr>
          <w:rFonts w:eastAsia="Cambria" w:cs="Times New Roman"/>
        </w:rPr>
        <w:t xml:space="preserve"> and substantially lower than the national median (1.24)</w:t>
      </w:r>
      <w:r w:rsidRPr="005B0DB7">
        <w:rPr>
          <w:rFonts w:eastAsia="Cambria" w:cs="Times New Roman"/>
          <w:vertAlign w:val="superscript"/>
        </w:rPr>
        <w:footnoteReference w:id="2"/>
      </w:r>
      <w:r w:rsidRPr="005B0DB7">
        <w:rPr>
          <w:rFonts w:eastAsia="Cambria" w:cs="Times New Roman"/>
        </w:rPr>
        <w:t xml:space="preserve">. </w:t>
      </w:r>
      <w:r w:rsidRPr="005B0DB7">
        <w:rPr>
          <w:rFonts w:eastAsia="Cambria" w:cs="Times New Roman"/>
        </w:rPr>
        <w:lastRenderedPageBreak/>
        <w:t>This, in and of itself is not necessarily an indicator of workload, but when added to the frequency of emergencies, which is twelve percent higher than their regional peers</w:t>
      </w:r>
      <w:r w:rsidRPr="005B0DB7">
        <w:rPr>
          <w:rFonts w:eastAsia="Cambria" w:cs="Times New Roman"/>
          <w:vertAlign w:val="superscript"/>
        </w:rPr>
        <w:footnoteReference w:id="3"/>
      </w:r>
      <w:r w:rsidRPr="005B0DB7">
        <w:rPr>
          <w:rFonts w:eastAsia="Cambria" w:cs="Times New Roman"/>
        </w:rPr>
        <w:t>, and the frequency of fires, which is double their regional peers</w:t>
      </w:r>
      <w:r w:rsidRPr="005B0DB7">
        <w:rPr>
          <w:rFonts w:eastAsia="Cambria" w:cs="Times New Roman"/>
          <w:vertAlign w:val="superscript"/>
        </w:rPr>
        <w:footnoteReference w:id="4"/>
      </w:r>
      <w:r w:rsidRPr="005B0DB7">
        <w:rPr>
          <w:rFonts w:eastAsia="Cambria" w:cs="Times New Roman"/>
        </w:rPr>
        <w:t>, it is clear that PFD firefighters handle significantly more emergencies with substantially less resources than their counterparts in similar sized fire departments.</w:t>
      </w:r>
    </w:p>
    <w:p w14:paraId="3DEBC19E" w14:textId="77777777" w:rsidR="005B0DB7" w:rsidRPr="005B0DB7" w:rsidRDefault="005B0DB7" w:rsidP="005B0DB7">
      <w:pPr>
        <w:rPr>
          <w:rFonts w:eastAsia="Cambria" w:cs="Times New Roman"/>
        </w:rPr>
      </w:pPr>
      <w:r w:rsidRPr="005B0DB7">
        <w:rPr>
          <w:rFonts w:eastAsia="Cambria" w:cs="Times New Roman"/>
        </w:rPr>
        <w:t>This is an important fact to consider, given the growth ESCI projects for the community.  If PFD is already behind the curve, growth will only exacerbate the strain.  The current population of Pasco is 68,240 as of the initiation of this report</w:t>
      </w:r>
      <w:r w:rsidRPr="005B0DB7">
        <w:rPr>
          <w:rFonts w:eastAsia="Calibri" w:cs="Times New Roman"/>
          <w:lang w:eastAsia="en-US"/>
        </w:rPr>
        <w:t xml:space="preserve">, and </w:t>
      </w:r>
      <w:r w:rsidRPr="005B0DB7">
        <w:rPr>
          <w:rFonts w:eastAsia="Cambria" w:cs="Times New Roman"/>
        </w:rPr>
        <w:t>grew by over eighteen percent in six years (between 2010 and 2016</w:t>
      </w:r>
      <w:r w:rsidRPr="005B0DB7">
        <w:rPr>
          <w:rFonts w:eastAsia="Cambria" w:cs="Times New Roman"/>
          <w:vertAlign w:val="superscript"/>
        </w:rPr>
        <w:footnoteReference w:id="5"/>
      </w:r>
      <w:r w:rsidRPr="005B0DB7">
        <w:rPr>
          <w:rFonts w:eastAsia="Cambria" w:cs="Times New Roman"/>
        </w:rPr>
        <w:t>).  In 2015-2016, Pasco has more than tripled the rate of growth of each of the other two cities that make up the Tri-Cities. ESCI used the more conservative growth factor to project a population of 92,114 in Pasco by 2025 (approximately 35 percent growth) with the population nearly doubling by 2040 (nearly 91 percent growth by 2040)</w:t>
      </w:r>
      <w:r w:rsidRPr="005B0DB7">
        <w:rPr>
          <w:rFonts w:eastAsia="Cambria" w:cs="Times New Roman"/>
          <w:vertAlign w:val="superscript"/>
        </w:rPr>
        <w:footnoteReference w:id="6"/>
      </w:r>
      <w:r w:rsidRPr="005B0DB7">
        <w:rPr>
          <w:rFonts w:eastAsia="Cambria" w:cs="Times New Roman"/>
        </w:rPr>
        <w:t xml:space="preserve">. </w:t>
      </w:r>
    </w:p>
    <w:p w14:paraId="186FAD15" w14:textId="77777777" w:rsidR="005B0DB7" w:rsidRPr="005B0DB7" w:rsidRDefault="005B0DB7" w:rsidP="005B0DB7">
      <w:pPr>
        <w:rPr>
          <w:rFonts w:eastAsia="Cambria" w:cs="Times New Roman"/>
        </w:rPr>
      </w:pPr>
      <w:r w:rsidRPr="005B0DB7">
        <w:rPr>
          <w:rFonts w:eastAsia="Cambria" w:cs="Times New Roman"/>
        </w:rPr>
        <w:t>It is ESCIs understanding that PFDs goal is to achieve a Washington Surveying and Rating Bureau (WSRB) Public Protection Class (PPC) four (4) by 2018.  A reduced rating would reduce fire insurance premiums paid by businesses whose insurance companies rely on the PPC ratings.  Improvements in hydrant testing, resource deployment, staffing, and fire code inspections will move PFD substantially closer to their goal of a lower PPC, which this report recommends.</w:t>
      </w:r>
    </w:p>
    <w:p w14:paraId="0F4FBA93" w14:textId="77777777" w:rsidR="005B0DB7" w:rsidRPr="005B0DB7" w:rsidRDefault="005B0DB7" w:rsidP="005B0DB7">
      <w:pPr>
        <w:keepNext/>
        <w:keepLines/>
        <w:spacing w:before="40" w:after="0"/>
        <w:jc w:val="left"/>
        <w:outlineLvl w:val="3"/>
        <w:rPr>
          <w:rFonts w:ascii="Cambria" w:eastAsia="Cambria" w:hAnsi="Cambria" w:cs="Times New Roman"/>
          <w:b/>
          <w:i/>
          <w:iCs/>
          <w:color w:val="A6A6A6"/>
        </w:rPr>
      </w:pPr>
      <w:r w:rsidRPr="005B0DB7">
        <w:rPr>
          <w:rFonts w:ascii="Cambria" w:eastAsia="Cambria" w:hAnsi="Cambria" w:cs="Times New Roman"/>
          <w:b/>
          <w:i/>
          <w:iCs/>
          <w:color w:val="A6A6A6"/>
        </w:rPr>
        <w:t>Service Delivery and Response Performance</w:t>
      </w:r>
    </w:p>
    <w:p w14:paraId="00B558DF" w14:textId="77777777" w:rsidR="005B0DB7" w:rsidRPr="005B0DB7" w:rsidRDefault="005B0DB7" w:rsidP="005B0DB7">
      <w:pPr>
        <w:rPr>
          <w:rFonts w:eastAsia="Cambria" w:cs="Times New Roman"/>
        </w:rPr>
      </w:pPr>
      <w:r w:rsidRPr="005B0DB7">
        <w:rPr>
          <w:rFonts w:eastAsia="Cambria" w:cs="Times New Roman"/>
        </w:rPr>
        <w:t xml:space="preserve">PFD has a typical frequency for EMS incidents at almost eighty percent (80%) of their total calls for service (demand).  However, as stated earlier in this summary, PFDs fire occurrence is double their peer group and is anecdotally over two-and-a-half times greater (5.4% of call volume versus 2%) than the occurrence of fires for any fire department this ESCI team has ever studied, regardless of size. </w:t>
      </w:r>
    </w:p>
    <w:p w14:paraId="481F10B8" w14:textId="77777777" w:rsidR="005B0DB7" w:rsidRPr="005B0DB7" w:rsidRDefault="005B0DB7" w:rsidP="005B0DB7">
      <w:pPr>
        <w:rPr>
          <w:rFonts w:eastAsia="Cambria" w:cs="Times New Roman"/>
        </w:rPr>
      </w:pPr>
      <w:r w:rsidRPr="005B0DB7">
        <w:rPr>
          <w:rFonts w:eastAsia="Cambria" w:cs="Times New Roman"/>
        </w:rPr>
        <w:t>There appears to be no significant pattern of demand for service by month, with the highest volume occurring in July and not tapering off significantly until January and February.  It is relatively quiet for the latter months of winter, but in March demand grows steadily until it spikes again in July, only to start the cycle over.</w:t>
      </w:r>
    </w:p>
    <w:p w14:paraId="6AD1350A" w14:textId="77777777" w:rsidR="005B0DB7" w:rsidRPr="005B0DB7" w:rsidRDefault="005B0DB7" w:rsidP="005B0DB7">
      <w:pPr>
        <w:rPr>
          <w:rFonts w:eastAsia="Cambria" w:cs="Times New Roman"/>
        </w:rPr>
      </w:pPr>
      <w:r w:rsidRPr="005B0DB7">
        <w:rPr>
          <w:rFonts w:eastAsia="Cambria" w:cs="Times New Roman"/>
        </w:rPr>
        <w:t>The demand for service by hour of day is a very typical pattern, which begins to climb at 8:00 a.m. and stays high through 8:00 p.m.</w:t>
      </w:r>
      <w:r w:rsidRPr="005B0DB7">
        <w:rPr>
          <w:rFonts w:eastAsia="Calibri" w:cs="Times New Roman"/>
          <w:lang w:eastAsia="en-US"/>
        </w:rPr>
        <w:t xml:space="preserve"> (sixty-four per</w:t>
      </w:r>
      <w:r w:rsidRPr="005B0DB7">
        <w:rPr>
          <w:rFonts w:eastAsia="Cambria" w:cs="Times New Roman"/>
        </w:rPr>
        <w:t xml:space="preserve">cent of calls for service), where it then begins to decline.  It mirrors human activity.  As people settle in for the night, human activity is slowed and call volume reflect that.  The lowest time for emergencies is between the hours of midnight through 6:00 a.m.  Paradoxically, while call volumes are low during the sleeping hours, life loss from the relatively few fires that occur also spike statistically.  This is because people are asleep and more vulnerable to a fire, however rare, overtaking their escape once they are awakened.  This underscores the importance of working smoke detectors, which provides an early alert for an early escape. </w:t>
      </w:r>
    </w:p>
    <w:p w14:paraId="76ECAFE6" w14:textId="77777777" w:rsidR="005B0DB7" w:rsidRPr="005B0DB7" w:rsidRDefault="005B0DB7" w:rsidP="005B0DB7">
      <w:pPr>
        <w:rPr>
          <w:rFonts w:eastAsia="Cambria" w:cs="Times New Roman"/>
        </w:rPr>
      </w:pPr>
      <w:r w:rsidRPr="005B0DB7">
        <w:rPr>
          <w:rFonts w:eastAsia="Cambria" w:cs="Times New Roman"/>
        </w:rPr>
        <w:lastRenderedPageBreak/>
        <w:t>The high demand during the day lends itself to establishing Peak Activity Units (PAUs) to augment foundational resources (twenty-four hour engines with a full complement of personnel) during those peak periods of demand.  The lull in demand for service between 8:00 p.m. and 8:00 a.m. allows these PAUs to be shut down, as long as the foundational response capability remains intact.</w:t>
      </w:r>
    </w:p>
    <w:p w14:paraId="712500B7" w14:textId="77777777" w:rsidR="005B0DB7" w:rsidRPr="005B0DB7" w:rsidRDefault="005B0DB7" w:rsidP="005B0DB7">
      <w:pPr>
        <w:rPr>
          <w:rFonts w:eastAsia="Cambria" w:cs="Times New Roman"/>
          <w:lang w:eastAsia="en-US"/>
        </w:rPr>
      </w:pPr>
      <w:r w:rsidRPr="005B0DB7">
        <w:rPr>
          <w:rFonts w:eastAsia="Cambria" w:cs="Times New Roman"/>
          <w:lang w:eastAsia="en-US"/>
        </w:rPr>
        <w:t>PFD service demand (both fire and EMS incidents) is concentrated in the central core area of Pasco, between Station 81 and Highway 395. Additionally, the commercial corridor along Road 68 and the residential neighborhoods north of Interstate 182 experience higher incident density as depicted in the following map.</w:t>
      </w:r>
    </w:p>
    <w:p w14:paraId="3399578E" w14:textId="77777777" w:rsidR="005B0DB7" w:rsidRPr="005B0DB7" w:rsidRDefault="005B0DB7" w:rsidP="005B0DB7">
      <w:pPr>
        <w:spacing w:after="40" w:line="240" w:lineRule="auto"/>
        <w:jc w:val="center"/>
        <w:rPr>
          <w:rFonts w:eastAsia="Cambria" w:cs="Times New Roman"/>
          <w:b/>
          <w:iCs/>
          <w:sz w:val="20"/>
          <w:szCs w:val="18"/>
          <w:lang w:eastAsia="en-US"/>
        </w:rPr>
      </w:pPr>
      <w:r w:rsidRPr="005B0DB7">
        <w:rPr>
          <w:rFonts w:eastAsia="Calibri" w:cs="Times New Roman"/>
          <w:b/>
          <w:iCs/>
          <w:sz w:val="20"/>
          <w:szCs w:val="18"/>
          <w:lang w:eastAsia="en-US"/>
        </w:rPr>
        <w:t xml:space="preserve">All Incident Types, 2014-2015 </w:t>
      </w:r>
    </w:p>
    <w:p w14:paraId="1CC0ABCB" w14:textId="77777777" w:rsidR="005B0DB7" w:rsidRPr="005B0DB7" w:rsidRDefault="005B0DB7" w:rsidP="005B0DB7">
      <w:pPr>
        <w:rPr>
          <w:rFonts w:eastAsia="Cambria" w:cs="Times New Roman"/>
          <w:lang w:eastAsia="en-US"/>
        </w:rPr>
      </w:pPr>
      <w:r w:rsidRPr="005B0DB7">
        <w:rPr>
          <w:rFonts w:eastAsia="Cambria" w:cs="Times New Roman"/>
          <w:noProof/>
          <w:lang w:eastAsia="en-US"/>
        </w:rPr>
        <w:drawing>
          <wp:inline distT="0" distB="0" distL="0" distR="0" wp14:anchorId="203D889B" wp14:editId="73AE7181">
            <wp:extent cx="5943600" cy="4245610"/>
            <wp:effectExtent l="0" t="0" r="0"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FD Incident Density 2014_2015.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4245610"/>
                    </a:xfrm>
                    <a:prstGeom prst="rect">
                      <a:avLst/>
                    </a:prstGeom>
                  </pic:spPr>
                </pic:pic>
              </a:graphicData>
            </a:graphic>
          </wp:inline>
        </w:drawing>
      </w:r>
    </w:p>
    <w:p w14:paraId="268B4FFB" w14:textId="77777777" w:rsidR="005B0DB7" w:rsidRPr="005B0DB7" w:rsidRDefault="005B0DB7" w:rsidP="005B0DB7">
      <w:pPr>
        <w:rPr>
          <w:rFonts w:eastAsia="Cambria" w:cs="Times New Roman"/>
        </w:rPr>
      </w:pPr>
      <w:r w:rsidRPr="005B0DB7">
        <w:rPr>
          <w:rFonts w:eastAsia="Cambria" w:cs="Times New Roman"/>
        </w:rPr>
        <w:t xml:space="preserve">National consensus standards, such as the </w:t>
      </w:r>
      <w:r w:rsidRPr="005B0DB7">
        <w:rPr>
          <w:rFonts w:eastAsia="Cambria" w:cs="Times New Roman"/>
          <w:i/>
        </w:rPr>
        <w:t>NFPA 1710,</w:t>
      </w:r>
      <w:r w:rsidRPr="005B0DB7">
        <w:rPr>
          <w:rFonts w:eastAsia="Cambria" w:cs="Arial"/>
          <w:i/>
          <w:sz w:val="20"/>
          <w:vertAlign w:val="superscript"/>
        </w:rPr>
        <w:footnoteReference w:id="7"/>
      </w:r>
      <w:r w:rsidRPr="005B0DB7">
        <w:rPr>
          <w:rFonts w:eastAsia="Cambria" w:cs="Times New Roman"/>
        </w:rPr>
        <w:t xml:space="preserve"> specify that career staffed, urban fire departments should deploy resources such that 90 percent of emergency service demand can be reached in four minutes or less travel time. PFD has adopted a travel time standard of a six-minute travel time for the arrival of the first apparatus on scene. The following map displays the portions of the PFD service area that are within six minutes or less travel time of a staffed fire station.</w:t>
      </w:r>
    </w:p>
    <w:p w14:paraId="498823BA" w14:textId="77777777" w:rsidR="005B0DB7" w:rsidRPr="005B0DB7" w:rsidRDefault="005B0DB7" w:rsidP="005B0DB7">
      <w:pPr>
        <w:spacing w:after="40" w:line="240" w:lineRule="auto"/>
        <w:jc w:val="center"/>
        <w:rPr>
          <w:rFonts w:eastAsia="Cambria" w:cs="Times New Roman"/>
          <w:b/>
          <w:iCs/>
          <w:sz w:val="20"/>
          <w:szCs w:val="18"/>
          <w:lang w:eastAsia="en-US"/>
        </w:rPr>
      </w:pPr>
      <w:r w:rsidRPr="005B0DB7">
        <w:rPr>
          <w:rFonts w:eastAsia="Calibri" w:cs="Times New Roman"/>
          <w:b/>
          <w:iCs/>
          <w:sz w:val="20"/>
          <w:szCs w:val="18"/>
          <w:lang w:eastAsia="en-US"/>
        </w:rPr>
        <w:lastRenderedPageBreak/>
        <w:t>PFD Response/Travel Time Model</w:t>
      </w:r>
    </w:p>
    <w:p w14:paraId="06CF84B8" w14:textId="77777777" w:rsidR="005B0DB7" w:rsidRPr="005B0DB7" w:rsidRDefault="005B0DB7" w:rsidP="005B0DB7">
      <w:pPr>
        <w:spacing w:after="0"/>
        <w:rPr>
          <w:rFonts w:eastAsia="Cambria" w:cs="Times New Roman"/>
          <w:lang w:eastAsia="en-US"/>
        </w:rPr>
      </w:pPr>
      <w:r w:rsidRPr="005B0DB7">
        <w:rPr>
          <w:rFonts w:eastAsia="Cambria" w:cs="Times New Roman"/>
          <w:noProof/>
          <w:lang w:eastAsia="en-US"/>
        </w:rPr>
        <w:drawing>
          <wp:inline distT="0" distB="0" distL="0" distR="0" wp14:anchorId="064561D8" wp14:editId="2EC7583D">
            <wp:extent cx="5943600" cy="4245610"/>
            <wp:effectExtent l="0" t="0" r="0"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FD Incidents and Travel Time_6 Minutes.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4245610"/>
                    </a:xfrm>
                    <a:prstGeom prst="rect">
                      <a:avLst/>
                    </a:prstGeom>
                  </pic:spPr>
                </pic:pic>
              </a:graphicData>
            </a:graphic>
          </wp:inline>
        </w:drawing>
      </w:r>
    </w:p>
    <w:p w14:paraId="62233AC4" w14:textId="77777777" w:rsidR="005B0DB7" w:rsidRPr="005B0DB7" w:rsidRDefault="005B0DB7" w:rsidP="005B0DB7">
      <w:pPr>
        <w:spacing w:after="0"/>
        <w:rPr>
          <w:rFonts w:eastAsia="Cambria" w:cs="Times New Roman"/>
          <w:lang w:eastAsia="en-US"/>
        </w:rPr>
      </w:pPr>
    </w:p>
    <w:p w14:paraId="7C926CAE" w14:textId="77777777" w:rsidR="005B0DB7" w:rsidRPr="005B0DB7" w:rsidRDefault="005B0DB7" w:rsidP="005B0DB7">
      <w:pPr>
        <w:spacing w:after="0"/>
        <w:rPr>
          <w:rFonts w:eastAsia="Cambria" w:cs="Times New Roman"/>
          <w:lang w:eastAsia="en-US"/>
        </w:rPr>
      </w:pPr>
      <w:r w:rsidRPr="005B0DB7">
        <w:rPr>
          <w:rFonts w:eastAsia="Cambria" w:cs="Times New Roman"/>
          <w:lang w:eastAsia="en-US"/>
        </w:rPr>
        <w:t>The above illustrates the travel time potential from existing staffed fire stations (assumes each unit is in quarters and available for immediate response).  Approximately ninety-five percent (95%) of the incidents which occurred in 2014-2015 were within six minutes’ travel time from existing staffed stations, assuming the primary response unit was in quarters and available for immediate response.  However, the following map demonstrates actual travel time performance within a distinct geographic area. As displayed, 2015 actual travel time performance did not meet the PFD travel time standard of six minutes in approximately 33 percent of the PFD service area.</w:t>
      </w:r>
    </w:p>
    <w:p w14:paraId="18605C9A" w14:textId="77777777" w:rsidR="005B0DB7" w:rsidRPr="005B0DB7" w:rsidRDefault="005B0DB7" w:rsidP="005B0DB7">
      <w:pPr>
        <w:spacing w:after="0"/>
        <w:rPr>
          <w:rFonts w:eastAsia="Cambria" w:cs="Times New Roman"/>
          <w:lang w:eastAsia="en-US"/>
        </w:rPr>
      </w:pPr>
    </w:p>
    <w:p w14:paraId="43CD507E" w14:textId="77777777" w:rsidR="005B0DB7" w:rsidRPr="005B0DB7" w:rsidRDefault="005B0DB7" w:rsidP="005B0DB7">
      <w:pPr>
        <w:spacing w:after="0"/>
        <w:rPr>
          <w:rFonts w:eastAsia="Cambria" w:cs="Times New Roman"/>
          <w:lang w:eastAsia="en-US"/>
        </w:rPr>
      </w:pPr>
    </w:p>
    <w:p w14:paraId="3695D5BB" w14:textId="77777777" w:rsidR="005B0DB7" w:rsidRPr="005B0DB7" w:rsidRDefault="005B0DB7" w:rsidP="005B0DB7">
      <w:pPr>
        <w:spacing w:after="0"/>
        <w:rPr>
          <w:rFonts w:eastAsia="Cambria" w:cs="Times New Roman"/>
          <w:lang w:eastAsia="en-US"/>
        </w:rPr>
      </w:pPr>
    </w:p>
    <w:p w14:paraId="2D352640" w14:textId="77777777" w:rsidR="005B0DB7" w:rsidRPr="005B0DB7" w:rsidRDefault="005B0DB7" w:rsidP="005B0DB7">
      <w:pPr>
        <w:spacing w:after="0"/>
        <w:rPr>
          <w:rFonts w:eastAsia="Cambria" w:cs="Times New Roman"/>
          <w:lang w:eastAsia="en-US"/>
        </w:rPr>
      </w:pPr>
    </w:p>
    <w:p w14:paraId="6B092B61" w14:textId="77777777" w:rsidR="005B0DB7" w:rsidRPr="005B0DB7" w:rsidRDefault="005B0DB7" w:rsidP="005B0DB7">
      <w:pPr>
        <w:spacing w:after="0"/>
        <w:rPr>
          <w:rFonts w:eastAsia="Cambria" w:cs="Times New Roman"/>
          <w:lang w:eastAsia="en-US"/>
        </w:rPr>
      </w:pPr>
    </w:p>
    <w:p w14:paraId="59D2290A" w14:textId="77777777" w:rsidR="005B0DB7" w:rsidRPr="005B0DB7" w:rsidRDefault="005B0DB7" w:rsidP="005B0DB7">
      <w:pPr>
        <w:spacing w:after="0"/>
        <w:rPr>
          <w:rFonts w:eastAsia="Cambria" w:cs="Times New Roman"/>
          <w:lang w:eastAsia="en-US"/>
        </w:rPr>
      </w:pPr>
    </w:p>
    <w:p w14:paraId="6E7D47C3" w14:textId="77777777" w:rsidR="005B0DB7" w:rsidRPr="005B0DB7" w:rsidRDefault="005B0DB7" w:rsidP="005B0DB7">
      <w:pPr>
        <w:spacing w:after="0"/>
        <w:rPr>
          <w:rFonts w:eastAsia="Cambria" w:cs="Times New Roman"/>
          <w:lang w:eastAsia="en-US"/>
        </w:rPr>
      </w:pPr>
    </w:p>
    <w:p w14:paraId="5736E997" w14:textId="77777777" w:rsidR="005B0DB7" w:rsidRPr="005B0DB7" w:rsidRDefault="005B0DB7" w:rsidP="005B0DB7">
      <w:pPr>
        <w:spacing w:after="0"/>
        <w:rPr>
          <w:rFonts w:eastAsia="Cambria" w:cs="Times New Roman"/>
          <w:lang w:eastAsia="en-US"/>
        </w:rPr>
      </w:pPr>
    </w:p>
    <w:p w14:paraId="70AC3978" w14:textId="77777777" w:rsidR="005B0DB7" w:rsidRPr="005B0DB7" w:rsidRDefault="005B0DB7" w:rsidP="005B0DB7">
      <w:pPr>
        <w:spacing w:after="0"/>
        <w:rPr>
          <w:rFonts w:eastAsia="Cambria" w:cs="Times New Roman"/>
          <w:lang w:eastAsia="en-US"/>
        </w:rPr>
      </w:pPr>
    </w:p>
    <w:p w14:paraId="1A2594DA" w14:textId="77777777" w:rsidR="005B0DB7" w:rsidRPr="005B0DB7" w:rsidRDefault="005B0DB7" w:rsidP="005B0DB7">
      <w:pPr>
        <w:spacing w:after="0"/>
        <w:rPr>
          <w:rFonts w:eastAsia="Cambria" w:cs="Times New Roman"/>
          <w:lang w:eastAsia="en-US"/>
        </w:rPr>
      </w:pPr>
    </w:p>
    <w:p w14:paraId="2ECC242C" w14:textId="77777777" w:rsidR="005B0DB7" w:rsidRPr="005B0DB7" w:rsidRDefault="005B0DB7" w:rsidP="005B0DB7">
      <w:pPr>
        <w:spacing w:after="0"/>
        <w:rPr>
          <w:rFonts w:eastAsia="Cambria" w:cs="Times New Roman"/>
          <w:lang w:eastAsia="en-US"/>
        </w:rPr>
      </w:pPr>
    </w:p>
    <w:p w14:paraId="68946F91" w14:textId="77777777" w:rsidR="005B0DB7" w:rsidRPr="005B0DB7" w:rsidRDefault="005B0DB7" w:rsidP="005B0DB7">
      <w:pPr>
        <w:spacing w:after="0"/>
        <w:rPr>
          <w:rFonts w:eastAsia="Cambria" w:cs="Times New Roman"/>
          <w:lang w:eastAsia="en-US"/>
        </w:rPr>
      </w:pPr>
    </w:p>
    <w:p w14:paraId="218907BC" w14:textId="77777777" w:rsidR="005B0DB7" w:rsidRPr="005B0DB7" w:rsidRDefault="005B0DB7" w:rsidP="005B0DB7">
      <w:pPr>
        <w:spacing w:after="40" w:line="240" w:lineRule="auto"/>
        <w:jc w:val="center"/>
        <w:rPr>
          <w:rFonts w:eastAsia="Cambria" w:cs="Times New Roman"/>
          <w:b/>
          <w:iCs/>
          <w:sz w:val="20"/>
          <w:szCs w:val="18"/>
          <w:lang w:eastAsia="en-US"/>
        </w:rPr>
      </w:pPr>
      <w:r w:rsidRPr="005B0DB7">
        <w:rPr>
          <w:rFonts w:eastAsia="Calibri" w:cs="Times New Roman"/>
          <w:b/>
          <w:iCs/>
          <w:sz w:val="20"/>
          <w:szCs w:val="18"/>
          <w:lang w:eastAsia="en-US"/>
        </w:rPr>
        <w:t>Travel Time Performance by Fire Management Zone, 2015</w:t>
      </w:r>
    </w:p>
    <w:p w14:paraId="20FA8D04" w14:textId="77777777" w:rsidR="005B0DB7" w:rsidRPr="005B0DB7" w:rsidRDefault="005B0DB7" w:rsidP="005B0DB7">
      <w:pPr>
        <w:spacing w:after="0"/>
        <w:rPr>
          <w:rFonts w:eastAsia="Cambria" w:cs="Times New Roman"/>
          <w:lang w:eastAsia="en-US"/>
        </w:rPr>
      </w:pPr>
      <w:r w:rsidRPr="005B0DB7">
        <w:rPr>
          <w:rFonts w:eastAsia="Cambria" w:cs="Times New Roman"/>
          <w:noProof/>
          <w:lang w:eastAsia="en-US"/>
        </w:rPr>
        <w:drawing>
          <wp:inline distT="0" distB="0" distL="0" distR="0" wp14:anchorId="3090DB8D" wp14:editId="40437D53">
            <wp:extent cx="5943600" cy="4245610"/>
            <wp:effectExtent l="0" t="0" r="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FD FMZ's and 2015 Travel Time.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4245610"/>
                    </a:xfrm>
                    <a:prstGeom prst="rect">
                      <a:avLst/>
                    </a:prstGeom>
                  </pic:spPr>
                </pic:pic>
              </a:graphicData>
            </a:graphic>
          </wp:inline>
        </w:drawing>
      </w:r>
    </w:p>
    <w:p w14:paraId="4700A480" w14:textId="77777777" w:rsidR="005B0DB7" w:rsidRPr="005B0DB7" w:rsidRDefault="005B0DB7" w:rsidP="005B0DB7">
      <w:pPr>
        <w:spacing w:after="0"/>
        <w:rPr>
          <w:rFonts w:eastAsia="Cambria" w:cs="Times New Roman"/>
        </w:rPr>
      </w:pPr>
    </w:p>
    <w:p w14:paraId="7EB3985D" w14:textId="77777777" w:rsidR="005B0DB7" w:rsidRPr="005B0DB7" w:rsidRDefault="005B0DB7" w:rsidP="005B0DB7">
      <w:pPr>
        <w:rPr>
          <w:rFonts w:eastAsia="Calibri" w:cs="Times New Roman"/>
        </w:rPr>
      </w:pPr>
      <w:r w:rsidRPr="005B0DB7">
        <w:rPr>
          <w:rFonts w:eastAsia="Calibri" w:cs="Times New Roman"/>
        </w:rPr>
        <w:t xml:space="preserve">In addition to the distribution of resources to provide an effective response time, </w:t>
      </w:r>
      <w:r w:rsidRPr="005B0DB7">
        <w:rPr>
          <w:rFonts w:eastAsia="Calibri" w:cs="Times New Roman"/>
          <w:b/>
          <w:i/>
        </w:rPr>
        <w:t>concentration</w:t>
      </w:r>
      <w:r w:rsidRPr="005B0DB7">
        <w:rPr>
          <w:rFonts w:eastAsia="Calibri" w:cs="Times New Roman"/>
        </w:rPr>
        <w:t xml:space="preserve"> of resources is critical to the more significant responses, such as fire, motor vehicle collisions, and other multi-unit response call types.  It is critical that sufficient resources (personnel and equipment) arrive to a significant incident quickly enough to have a positive effect on the incident (mitigation).</w:t>
      </w:r>
    </w:p>
    <w:p w14:paraId="4AE92E22" w14:textId="77777777" w:rsidR="005B0DB7" w:rsidRPr="005B0DB7" w:rsidRDefault="005B0DB7" w:rsidP="005B0DB7">
      <w:pPr>
        <w:rPr>
          <w:rFonts w:eastAsia="Calibri" w:cs="Times New Roman"/>
        </w:rPr>
      </w:pPr>
      <w:r w:rsidRPr="005B0DB7">
        <w:rPr>
          <w:rFonts w:eastAsia="Cambria" w:cs="Times New Roman"/>
        </w:rPr>
        <w:t xml:space="preserve">The </w:t>
      </w:r>
      <w:r w:rsidRPr="005B0DB7">
        <w:rPr>
          <w:rFonts w:eastAsia="Cambria" w:cs="Times New Roman"/>
          <w:i/>
        </w:rPr>
        <w:t>NFPA 1710 Standard</w:t>
      </w:r>
      <w:r w:rsidRPr="005B0DB7">
        <w:rPr>
          <w:rFonts w:eastAsia="Cambria" w:cs="Times New Roman"/>
        </w:rPr>
        <w:t xml:space="preserve"> specifies that the full first alarm assignment for a moderate risk structure fire (single story residential structure) should arrive within eight-minutes travel time, 90 percent of the time (90</w:t>
      </w:r>
      <w:r w:rsidRPr="005B0DB7">
        <w:rPr>
          <w:rFonts w:eastAsia="Cambria" w:cs="Times New Roman"/>
          <w:vertAlign w:val="superscript"/>
        </w:rPr>
        <w:t>th</w:t>
      </w:r>
      <w:r w:rsidRPr="005B0DB7">
        <w:rPr>
          <w:rFonts w:eastAsia="Cambria" w:cs="Times New Roman"/>
        </w:rPr>
        <w:t xml:space="preserve"> percentile). </w:t>
      </w:r>
      <w:r w:rsidRPr="005B0DB7">
        <w:rPr>
          <w:rFonts w:eastAsia="Cambria" w:cs="Times New Roman"/>
          <w:lang w:eastAsia="en-US"/>
        </w:rPr>
        <w:t xml:space="preserve">The PFD full first alarm assignment for a structure fire calls for 11 personnel and apparatus from all three staffed fire stations. The following map demonstrates that only a small portion of the core area of Pasco is within eight minutes or less travel time of all three of the PFD stations. </w:t>
      </w:r>
    </w:p>
    <w:p w14:paraId="6E9B9C0D" w14:textId="77777777" w:rsidR="005B0DB7" w:rsidRPr="005B0DB7" w:rsidRDefault="005B0DB7" w:rsidP="005B0DB7">
      <w:pPr>
        <w:jc w:val="left"/>
        <w:rPr>
          <w:rFonts w:eastAsia="Calibri" w:cs="Times New Roman"/>
        </w:rPr>
      </w:pPr>
    </w:p>
    <w:p w14:paraId="62BE866C" w14:textId="77777777" w:rsidR="005B0DB7" w:rsidRPr="005B0DB7" w:rsidRDefault="005B0DB7" w:rsidP="005B0DB7">
      <w:pPr>
        <w:jc w:val="left"/>
        <w:rPr>
          <w:rFonts w:eastAsia="Calibri" w:cs="Times New Roman"/>
        </w:rPr>
      </w:pPr>
    </w:p>
    <w:p w14:paraId="4237C60F" w14:textId="77777777" w:rsidR="005B0DB7" w:rsidRPr="005B0DB7" w:rsidRDefault="005B0DB7" w:rsidP="005B0DB7">
      <w:pPr>
        <w:jc w:val="left"/>
        <w:rPr>
          <w:rFonts w:eastAsia="Calibri" w:cs="Times New Roman"/>
        </w:rPr>
      </w:pPr>
    </w:p>
    <w:p w14:paraId="70B60BB5" w14:textId="77777777" w:rsidR="005B0DB7" w:rsidRPr="005B0DB7" w:rsidRDefault="005B0DB7" w:rsidP="005B0DB7">
      <w:pPr>
        <w:jc w:val="left"/>
        <w:rPr>
          <w:rFonts w:eastAsia="Calibri" w:cs="Times New Roman"/>
        </w:rPr>
      </w:pPr>
    </w:p>
    <w:p w14:paraId="12EC0BED" w14:textId="77777777" w:rsidR="005B0DB7" w:rsidRPr="005B0DB7" w:rsidRDefault="005B0DB7" w:rsidP="005B0DB7">
      <w:pPr>
        <w:spacing w:after="40" w:line="240" w:lineRule="auto"/>
        <w:jc w:val="center"/>
        <w:rPr>
          <w:rFonts w:eastAsia="Calibri" w:cs="Times New Roman"/>
          <w:iCs/>
          <w:sz w:val="20"/>
          <w:szCs w:val="18"/>
        </w:rPr>
      </w:pPr>
      <w:r w:rsidRPr="005B0DB7">
        <w:rPr>
          <w:rFonts w:eastAsia="Calibri" w:cs="Times New Roman"/>
          <w:b/>
          <w:iCs/>
          <w:sz w:val="20"/>
          <w:szCs w:val="18"/>
          <w:lang w:eastAsia="en-US"/>
        </w:rPr>
        <w:t>Station Concentration, Staffed Stations</w:t>
      </w:r>
    </w:p>
    <w:p w14:paraId="04924F9A" w14:textId="77777777" w:rsidR="005B0DB7" w:rsidRPr="005B0DB7" w:rsidRDefault="005B0DB7" w:rsidP="005B0DB7">
      <w:pPr>
        <w:jc w:val="left"/>
        <w:rPr>
          <w:rFonts w:eastAsia="Calibri" w:cs="Times New Roman"/>
        </w:rPr>
      </w:pPr>
      <w:r w:rsidRPr="005B0DB7">
        <w:rPr>
          <w:rFonts w:eastAsia="Cambria" w:cs="Times New Roman"/>
          <w:noProof/>
          <w:lang w:eastAsia="en-US"/>
        </w:rPr>
        <w:drawing>
          <wp:inline distT="0" distB="0" distL="0" distR="0" wp14:anchorId="782BAF77" wp14:editId="3EF77206">
            <wp:extent cx="5943600" cy="4244975"/>
            <wp:effectExtent l="0" t="0" r="0" b="31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FD ERF 8 Minutes.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4244975"/>
                    </a:xfrm>
                    <a:prstGeom prst="rect">
                      <a:avLst/>
                    </a:prstGeom>
                  </pic:spPr>
                </pic:pic>
              </a:graphicData>
            </a:graphic>
          </wp:inline>
        </w:drawing>
      </w:r>
    </w:p>
    <w:p w14:paraId="7C048BE0" w14:textId="77777777" w:rsidR="005B0DB7" w:rsidRPr="005B0DB7" w:rsidRDefault="005B0DB7" w:rsidP="005B0DB7">
      <w:pPr>
        <w:jc w:val="left"/>
        <w:rPr>
          <w:rFonts w:eastAsia="Calibri" w:cs="Times New Roman"/>
        </w:rPr>
      </w:pPr>
      <w:r w:rsidRPr="005B0DB7">
        <w:rPr>
          <w:rFonts w:eastAsia="Calibri" w:cs="Times New Roman"/>
        </w:rPr>
        <w:t xml:space="preserve">PFD has adopted a travel time goal of 12 minutes for the arrival of the full first alarm assignment to a fire suppression event (measured at the 90th percentile).  The following map demonstrates the portions of the PFD service area that are within 12 minutes or less travel time of all three staffed fire stations.   </w:t>
      </w:r>
    </w:p>
    <w:p w14:paraId="557714C6" w14:textId="77777777" w:rsidR="005B0DB7" w:rsidRPr="005B0DB7" w:rsidRDefault="005B0DB7" w:rsidP="005B0DB7">
      <w:pPr>
        <w:rPr>
          <w:rFonts w:eastAsia="Cambria" w:cs="Times New Roman"/>
          <w:lang w:eastAsia="en-US"/>
        </w:rPr>
      </w:pPr>
      <w:r w:rsidRPr="005B0DB7">
        <w:rPr>
          <w:rFonts w:eastAsia="Cambria" w:cs="Times New Roman"/>
          <w:lang w:eastAsia="en-US"/>
        </w:rPr>
        <w:t>At 12 minutes or less travel time, PFD is capable of assembling a full first alarm throughout the majority of the service area. Again, this map models potential travel time assuming all apparatus and personnel are available. In 2015, PFD actually required over 22 minutes to meet the adopted standard for a full first alarm (11 personnel) for a fire suppression event 90 percent of the time. Note that the PFD full first alarm assignment of 11 personnel does not meet industry best practice</w:t>
      </w:r>
      <w:r w:rsidRPr="005B0DB7">
        <w:rPr>
          <w:rFonts w:eastAsia="Cambria" w:cs="Arial"/>
          <w:sz w:val="20"/>
          <w:vertAlign w:val="superscript"/>
          <w:lang w:eastAsia="en-US"/>
        </w:rPr>
        <w:footnoteReference w:id="8"/>
      </w:r>
      <w:r w:rsidRPr="005B0DB7">
        <w:rPr>
          <w:rFonts w:eastAsia="Cambria" w:cs="Times New Roman"/>
          <w:lang w:eastAsia="en-US"/>
        </w:rPr>
        <w:t xml:space="preserve"> recommendations of 14 to 16 personnel for a moderate risk structure fire.  Examination of the 2015 Performance Measures Report reveals that in 2015 PFD met the 12-minute travel time goal for a full first alarm for 50 percent of fires suppression events.</w:t>
      </w:r>
    </w:p>
    <w:p w14:paraId="5464C845" w14:textId="77777777" w:rsidR="005B0DB7" w:rsidRPr="005B0DB7" w:rsidRDefault="005B0DB7" w:rsidP="005B0DB7">
      <w:pPr>
        <w:jc w:val="left"/>
        <w:rPr>
          <w:rFonts w:eastAsia="Calibri" w:cs="Times New Roman"/>
        </w:rPr>
      </w:pPr>
    </w:p>
    <w:p w14:paraId="3963DED3" w14:textId="77777777" w:rsidR="005B0DB7" w:rsidRPr="005B0DB7" w:rsidRDefault="005B0DB7" w:rsidP="005B0DB7">
      <w:pPr>
        <w:keepNext/>
        <w:keepLines/>
        <w:spacing w:after="40" w:line="240" w:lineRule="auto"/>
        <w:jc w:val="center"/>
        <w:rPr>
          <w:rFonts w:eastAsia="Calibri" w:cs="Times New Roman"/>
          <w:b/>
          <w:iCs/>
          <w:sz w:val="20"/>
          <w:szCs w:val="18"/>
        </w:rPr>
      </w:pPr>
      <w:r w:rsidRPr="005B0DB7">
        <w:rPr>
          <w:rFonts w:eastAsia="Cambria" w:cs="Times New Roman"/>
          <w:b/>
          <w:iCs/>
          <w:sz w:val="20"/>
          <w:szCs w:val="18"/>
        </w:rPr>
        <w:t>Full First Alarm, 12 Minutes Travel Time (PFD Travel Time Goal)</w:t>
      </w:r>
    </w:p>
    <w:p w14:paraId="476823BC" w14:textId="77777777" w:rsidR="005B0DB7" w:rsidRPr="005B0DB7" w:rsidRDefault="005B0DB7" w:rsidP="005B0DB7">
      <w:pPr>
        <w:jc w:val="left"/>
        <w:rPr>
          <w:rFonts w:eastAsia="Calibri" w:cs="Times New Roman"/>
        </w:rPr>
      </w:pPr>
      <w:r w:rsidRPr="005B0DB7">
        <w:rPr>
          <w:rFonts w:eastAsia="Cambria" w:cs="Times New Roman"/>
          <w:noProof/>
          <w:lang w:eastAsia="en-US"/>
        </w:rPr>
        <w:drawing>
          <wp:inline distT="0" distB="0" distL="0" distR="0" wp14:anchorId="35DE2B85" wp14:editId="273850E7">
            <wp:extent cx="5943600" cy="4244975"/>
            <wp:effectExtent l="0" t="0" r="0" b="31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FD ERF 12 Minutes PFD Goal.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4244975"/>
                    </a:xfrm>
                    <a:prstGeom prst="rect">
                      <a:avLst/>
                    </a:prstGeom>
                  </pic:spPr>
                </pic:pic>
              </a:graphicData>
            </a:graphic>
          </wp:inline>
        </w:drawing>
      </w:r>
    </w:p>
    <w:p w14:paraId="012FD066" w14:textId="77777777" w:rsidR="005B0DB7" w:rsidRPr="005B0DB7" w:rsidRDefault="005B0DB7" w:rsidP="005B0DB7">
      <w:pPr>
        <w:rPr>
          <w:rFonts w:eastAsia="Cambria" w:cs="Times New Roman"/>
          <w:lang w:eastAsia="en-US"/>
        </w:rPr>
      </w:pPr>
      <w:r w:rsidRPr="005B0DB7">
        <w:rPr>
          <w:rFonts w:eastAsia="Cambria" w:cs="Times New Roman"/>
          <w:lang w:eastAsia="en-US"/>
        </w:rPr>
        <w:t xml:space="preserve">Unit hour utilization (UHU) measures the amount of time that a unit is committed to an incident. The larger the number, the greater the unit’s utilization and the less available it is for assignment to subsequent calls for service. Given that both NFPA 1710 and Washington State Statute (RCW 35.103 </w:t>
      </w:r>
      <w:r w:rsidRPr="005B0DB7">
        <w:rPr>
          <w:rFonts w:eastAsia="Cambria" w:cs="Times New Roman"/>
          <w:i/>
          <w:lang w:eastAsia="en-US"/>
        </w:rPr>
        <w:t>Fire Departments: Performance Measures</w:t>
      </w:r>
      <w:r w:rsidRPr="005B0DB7">
        <w:rPr>
          <w:rFonts w:eastAsia="Cambria" w:cs="Times New Roman"/>
          <w:lang w:eastAsia="en-US"/>
        </w:rPr>
        <w:t>) require that whatever standard is established, it be at the 90</w:t>
      </w:r>
      <w:r w:rsidRPr="005B0DB7">
        <w:rPr>
          <w:rFonts w:eastAsia="Cambria" w:cs="Times New Roman"/>
          <w:vertAlign w:val="superscript"/>
          <w:lang w:eastAsia="en-US"/>
        </w:rPr>
        <w:t>th</w:t>
      </w:r>
      <w:r w:rsidRPr="005B0DB7">
        <w:rPr>
          <w:rFonts w:eastAsia="Cambria" w:cs="Times New Roman"/>
          <w:lang w:eastAsia="en-US"/>
        </w:rPr>
        <w:t xml:space="preserve"> percentile.  If a unit is being utilized on an emergency more than ten percent of the time, it is not likely that said unit will achieve the 90</w:t>
      </w:r>
      <w:r w:rsidRPr="005B0DB7">
        <w:rPr>
          <w:rFonts w:eastAsia="Cambria" w:cs="Times New Roman"/>
          <w:vertAlign w:val="superscript"/>
          <w:lang w:eastAsia="en-US"/>
        </w:rPr>
        <w:t>th</w:t>
      </w:r>
      <w:r w:rsidRPr="005B0DB7">
        <w:rPr>
          <w:rFonts w:eastAsia="Cambria" w:cs="Times New Roman"/>
          <w:lang w:eastAsia="en-US"/>
        </w:rPr>
        <w:t xml:space="preserve"> percentile. It is not surprising that each of the three medic units exceed ten percent utilization. </w:t>
      </w:r>
    </w:p>
    <w:p w14:paraId="225A7827" w14:textId="77777777" w:rsidR="005B0DB7" w:rsidRPr="005B0DB7" w:rsidRDefault="005B0DB7" w:rsidP="005B0DB7">
      <w:pPr>
        <w:rPr>
          <w:rFonts w:eastAsia="Cambria" w:cs="Times New Roman"/>
        </w:rPr>
      </w:pPr>
      <w:r w:rsidRPr="005B0DB7">
        <w:rPr>
          <w:rFonts w:eastAsia="Cambria" w:cs="Times New Roman"/>
        </w:rPr>
        <w:t>Simultaneous or concurrent incidents can also negatively affect a fire department’s ability to muster sufficient resources to respond to additional emergencies. The following graphic demonstrates the number of concurrent incidents experienced by PFD in 2014 and 2015.</w:t>
      </w:r>
    </w:p>
    <w:p w14:paraId="03C03243" w14:textId="77777777" w:rsidR="005B0DB7" w:rsidRPr="005B0DB7" w:rsidRDefault="005B0DB7" w:rsidP="005B0DB7">
      <w:pPr>
        <w:keepNext/>
        <w:keepLines/>
        <w:spacing w:after="40" w:line="240" w:lineRule="auto"/>
        <w:jc w:val="center"/>
        <w:rPr>
          <w:rFonts w:eastAsia="Cambria" w:cs="Times New Roman"/>
          <w:b/>
          <w:bCs/>
          <w:iCs/>
          <w:sz w:val="20"/>
          <w:szCs w:val="20"/>
          <w:lang w:eastAsia="en-US"/>
        </w:rPr>
      </w:pPr>
      <w:bookmarkStart w:id="27" w:name="_Toc456296091"/>
      <w:r w:rsidRPr="005B0DB7">
        <w:rPr>
          <w:rFonts w:eastAsia="Cambria" w:cs="Times New Roman"/>
          <w:b/>
          <w:bCs/>
          <w:iCs/>
          <w:sz w:val="20"/>
          <w:szCs w:val="20"/>
          <w:lang w:eastAsia="en-US"/>
        </w:rPr>
        <w:t>Concurrent Incidents, 2014-2015</w:t>
      </w:r>
      <w:bookmarkEnd w:id="27"/>
    </w:p>
    <w:tbl>
      <w:tblPr>
        <w:tblW w:w="4508" w:type="dxa"/>
        <w:jc w:val="center"/>
        <w:tblLook w:val="04A0" w:firstRow="1" w:lastRow="0" w:firstColumn="1" w:lastColumn="0" w:noHBand="0" w:noVBand="1"/>
      </w:tblPr>
      <w:tblGrid>
        <w:gridCol w:w="1180"/>
        <w:gridCol w:w="1160"/>
        <w:gridCol w:w="1020"/>
        <w:gridCol w:w="1148"/>
      </w:tblGrid>
      <w:tr w:rsidR="005B0DB7" w:rsidRPr="005B0DB7" w14:paraId="660C4F78" w14:textId="77777777" w:rsidTr="001E310F">
        <w:trPr>
          <w:trHeight w:val="542"/>
          <w:tblHeader/>
          <w:jc w:val="center"/>
        </w:trPr>
        <w:tc>
          <w:tcPr>
            <w:tcW w:w="1180" w:type="dxa"/>
            <w:tcBorders>
              <w:top w:val="nil"/>
              <w:left w:val="nil"/>
              <w:bottom w:val="single" w:sz="4" w:space="0" w:color="auto"/>
              <w:right w:val="nil"/>
            </w:tcBorders>
            <w:shd w:val="clear" w:color="000000" w:fill="1F497D"/>
            <w:vAlign w:val="center"/>
            <w:hideMark/>
          </w:tcPr>
          <w:p w14:paraId="7F54D4E5" w14:textId="77777777" w:rsidR="005B0DB7" w:rsidRPr="005B0DB7" w:rsidRDefault="005B0DB7" w:rsidP="005B0DB7">
            <w:pPr>
              <w:spacing w:after="0" w:line="240" w:lineRule="auto"/>
              <w:jc w:val="center"/>
              <w:rPr>
                <w:rFonts w:eastAsia="Times New Roman" w:cs="Arial"/>
                <w:b/>
                <w:bCs/>
                <w:color w:val="FFFFFF"/>
                <w:sz w:val="20"/>
                <w:szCs w:val="20"/>
                <w:lang w:eastAsia="en-US"/>
              </w:rPr>
            </w:pPr>
            <w:r w:rsidRPr="005B0DB7">
              <w:rPr>
                <w:rFonts w:eastAsia="Times New Roman" w:cs="Arial"/>
                <w:b/>
                <w:bCs/>
                <w:color w:val="FFFFFF"/>
                <w:sz w:val="20"/>
                <w:szCs w:val="20"/>
                <w:lang w:eastAsia="en-US"/>
              </w:rPr>
              <w:t> </w:t>
            </w:r>
          </w:p>
        </w:tc>
        <w:tc>
          <w:tcPr>
            <w:tcW w:w="1160" w:type="dxa"/>
            <w:tcBorders>
              <w:top w:val="nil"/>
              <w:left w:val="nil"/>
              <w:bottom w:val="single" w:sz="4" w:space="0" w:color="auto"/>
              <w:right w:val="nil"/>
            </w:tcBorders>
            <w:shd w:val="clear" w:color="000000" w:fill="1F497D"/>
            <w:vAlign w:val="center"/>
            <w:hideMark/>
          </w:tcPr>
          <w:p w14:paraId="74783F40" w14:textId="77777777" w:rsidR="005B0DB7" w:rsidRPr="005B0DB7" w:rsidRDefault="005B0DB7" w:rsidP="005B0DB7">
            <w:pPr>
              <w:spacing w:after="0" w:line="240" w:lineRule="auto"/>
              <w:jc w:val="center"/>
              <w:rPr>
                <w:rFonts w:eastAsia="Times New Roman" w:cs="Arial"/>
                <w:b/>
                <w:bCs/>
                <w:color w:val="FFFFFF"/>
                <w:sz w:val="20"/>
                <w:szCs w:val="20"/>
                <w:lang w:eastAsia="en-US"/>
              </w:rPr>
            </w:pPr>
            <w:r w:rsidRPr="005B0DB7">
              <w:rPr>
                <w:rFonts w:eastAsia="Times New Roman" w:cs="Arial"/>
                <w:b/>
                <w:bCs/>
                <w:color w:val="FFFFFF"/>
                <w:sz w:val="20"/>
                <w:szCs w:val="20"/>
                <w:lang w:eastAsia="en-US"/>
              </w:rPr>
              <w:t>Concurrent Incidents</w:t>
            </w:r>
          </w:p>
        </w:tc>
        <w:tc>
          <w:tcPr>
            <w:tcW w:w="1020" w:type="dxa"/>
            <w:tcBorders>
              <w:top w:val="nil"/>
              <w:left w:val="nil"/>
              <w:bottom w:val="single" w:sz="4" w:space="0" w:color="auto"/>
              <w:right w:val="nil"/>
            </w:tcBorders>
            <w:shd w:val="clear" w:color="000000" w:fill="1F497D"/>
            <w:vAlign w:val="center"/>
            <w:hideMark/>
          </w:tcPr>
          <w:p w14:paraId="441F6B9E" w14:textId="77777777" w:rsidR="005B0DB7" w:rsidRPr="005B0DB7" w:rsidRDefault="005B0DB7" w:rsidP="005B0DB7">
            <w:pPr>
              <w:spacing w:after="0" w:line="240" w:lineRule="auto"/>
              <w:jc w:val="center"/>
              <w:rPr>
                <w:rFonts w:eastAsia="Times New Roman" w:cs="Arial"/>
                <w:b/>
                <w:bCs/>
                <w:color w:val="FFFFFF"/>
                <w:sz w:val="20"/>
                <w:szCs w:val="20"/>
                <w:lang w:eastAsia="en-US"/>
              </w:rPr>
            </w:pPr>
            <w:r w:rsidRPr="005B0DB7">
              <w:rPr>
                <w:rFonts w:eastAsia="Times New Roman" w:cs="Arial"/>
                <w:b/>
                <w:bCs/>
                <w:color w:val="FFFFFF"/>
                <w:sz w:val="20"/>
                <w:szCs w:val="20"/>
                <w:lang w:eastAsia="en-US"/>
              </w:rPr>
              <w:t>Total Incidents</w:t>
            </w:r>
          </w:p>
        </w:tc>
        <w:tc>
          <w:tcPr>
            <w:tcW w:w="1148" w:type="dxa"/>
            <w:tcBorders>
              <w:top w:val="nil"/>
              <w:left w:val="nil"/>
              <w:bottom w:val="single" w:sz="4" w:space="0" w:color="auto"/>
              <w:right w:val="nil"/>
            </w:tcBorders>
            <w:shd w:val="clear" w:color="000000" w:fill="1F497D"/>
            <w:vAlign w:val="center"/>
            <w:hideMark/>
          </w:tcPr>
          <w:p w14:paraId="04705F7F" w14:textId="77777777" w:rsidR="005B0DB7" w:rsidRPr="005B0DB7" w:rsidRDefault="005B0DB7" w:rsidP="005B0DB7">
            <w:pPr>
              <w:spacing w:after="0" w:line="240" w:lineRule="auto"/>
              <w:jc w:val="center"/>
              <w:rPr>
                <w:rFonts w:eastAsia="Times New Roman" w:cs="Arial"/>
                <w:b/>
                <w:bCs/>
                <w:color w:val="FFFFFF"/>
                <w:sz w:val="20"/>
                <w:szCs w:val="20"/>
                <w:lang w:eastAsia="en-US"/>
              </w:rPr>
            </w:pPr>
            <w:r w:rsidRPr="005B0DB7">
              <w:rPr>
                <w:rFonts w:eastAsia="Times New Roman" w:cs="Arial"/>
                <w:b/>
                <w:bCs/>
                <w:color w:val="FFFFFF"/>
                <w:sz w:val="20"/>
                <w:szCs w:val="20"/>
                <w:lang w:eastAsia="en-US"/>
              </w:rPr>
              <w:t>Percent Concurrent</w:t>
            </w:r>
          </w:p>
        </w:tc>
      </w:tr>
      <w:tr w:rsidR="005B0DB7" w:rsidRPr="005B0DB7" w14:paraId="63FD4269" w14:textId="77777777" w:rsidTr="001E310F">
        <w:trPr>
          <w:trHeight w:val="271"/>
          <w:jc w:val="center"/>
        </w:trPr>
        <w:tc>
          <w:tcPr>
            <w:tcW w:w="1180" w:type="dxa"/>
            <w:tcBorders>
              <w:top w:val="nil"/>
              <w:left w:val="nil"/>
              <w:bottom w:val="nil"/>
              <w:right w:val="nil"/>
            </w:tcBorders>
            <w:shd w:val="clear" w:color="auto" w:fill="auto"/>
            <w:noWrap/>
            <w:vAlign w:val="center"/>
            <w:hideMark/>
          </w:tcPr>
          <w:p w14:paraId="0151A19D" w14:textId="77777777" w:rsidR="005B0DB7" w:rsidRPr="005B0DB7" w:rsidRDefault="005B0DB7" w:rsidP="005B0DB7">
            <w:pPr>
              <w:spacing w:after="0" w:line="240" w:lineRule="auto"/>
              <w:jc w:val="center"/>
              <w:rPr>
                <w:rFonts w:eastAsia="Times New Roman" w:cs="Arial"/>
                <w:sz w:val="20"/>
                <w:szCs w:val="20"/>
                <w:lang w:eastAsia="en-US"/>
              </w:rPr>
            </w:pPr>
            <w:r w:rsidRPr="005B0DB7">
              <w:rPr>
                <w:rFonts w:eastAsia="Times New Roman" w:cs="Arial"/>
                <w:sz w:val="20"/>
                <w:szCs w:val="20"/>
                <w:lang w:eastAsia="en-US"/>
              </w:rPr>
              <w:t>2014</w:t>
            </w:r>
          </w:p>
        </w:tc>
        <w:tc>
          <w:tcPr>
            <w:tcW w:w="1160" w:type="dxa"/>
            <w:tcBorders>
              <w:top w:val="nil"/>
              <w:left w:val="nil"/>
              <w:bottom w:val="nil"/>
              <w:right w:val="nil"/>
            </w:tcBorders>
            <w:shd w:val="clear" w:color="auto" w:fill="auto"/>
            <w:noWrap/>
            <w:vAlign w:val="center"/>
            <w:hideMark/>
          </w:tcPr>
          <w:p w14:paraId="33B1B08B" w14:textId="77777777" w:rsidR="005B0DB7" w:rsidRPr="005B0DB7" w:rsidRDefault="005B0DB7" w:rsidP="005B0DB7">
            <w:pPr>
              <w:spacing w:after="0" w:line="240" w:lineRule="auto"/>
              <w:jc w:val="center"/>
              <w:rPr>
                <w:rFonts w:eastAsia="Times New Roman" w:cs="Arial"/>
                <w:sz w:val="20"/>
                <w:szCs w:val="20"/>
                <w:lang w:eastAsia="en-US"/>
              </w:rPr>
            </w:pPr>
            <w:r w:rsidRPr="005B0DB7">
              <w:rPr>
                <w:rFonts w:eastAsia="Times New Roman" w:cs="Arial"/>
                <w:sz w:val="20"/>
                <w:szCs w:val="20"/>
                <w:lang w:eastAsia="en-US"/>
              </w:rPr>
              <w:t>1,521</w:t>
            </w:r>
          </w:p>
        </w:tc>
        <w:tc>
          <w:tcPr>
            <w:tcW w:w="1020" w:type="dxa"/>
            <w:tcBorders>
              <w:top w:val="nil"/>
              <w:left w:val="nil"/>
              <w:bottom w:val="nil"/>
              <w:right w:val="nil"/>
            </w:tcBorders>
            <w:shd w:val="clear" w:color="auto" w:fill="auto"/>
            <w:noWrap/>
            <w:vAlign w:val="center"/>
            <w:hideMark/>
          </w:tcPr>
          <w:p w14:paraId="42CE9A4A" w14:textId="77777777" w:rsidR="005B0DB7" w:rsidRPr="005B0DB7" w:rsidRDefault="005B0DB7" w:rsidP="005B0DB7">
            <w:pPr>
              <w:spacing w:after="0" w:line="240" w:lineRule="auto"/>
              <w:jc w:val="center"/>
              <w:rPr>
                <w:rFonts w:eastAsia="Times New Roman" w:cs="Arial"/>
                <w:sz w:val="20"/>
                <w:szCs w:val="20"/>
                <w:lang w:eastAsia="en-US"/>
              </w:rPr>
            </w:pPr>
            <w:r w:rsidRPr="005B0DB7">
              <w:rPr>
                <w:rFonts w:eastAsia="Times New Roman" w:cs="Arial"/>
                <w:sz w:val="20"/>
                <w:szCs w:val="20"/>
                <w:lang w:eastAsia="en-US"/>
              </w:rPr>
              <w:t>4,715</w:t>
            </w:r>
          </w:p>
        </w:tc>
        <w:tc>
          <w:tcPr>
            <w:tcW w:w="1148" w:type="dxa"/>
            <w:tcBorders>
              <w:top w:val="nil"/>
              <w:left w:val="nil"/>
              <w:bottom w:val="nil"/>
              <w:right w:val="nil"/>
            </w:tcBorders>
            <w:shd w:val="clear" w:color="auto" w:fill="auto"/>
            <w:noWrap/>
            <w:vAlign w:val="center"/>
            <w:hideMark/>
          </w:tcPr>
          <w:p w14:paraId="0B01ED67" w14:textId="77777777" w:rsidR="005B0DB7" w:rsidRPr="005B0DB7" w:rsidRDefault="005B0DB7" w:rsidP="005B0DB7">
            <w:pPr>
              <w:spacing w:after="0" w:line="240" w:lineRule="auto"/>
              <w:jc w:val="center"/>
              <w:rPr>
                <w:rFonts w:eastAsia="Times New Roman" w:cs="Arial"/>
                <w:sz w:val="20"/>
                <w:szCs w:val="20"/>
                <w:lang w:eastAsia="en-US"/>
              </w:rPr>
            </w:pPr>
            <w:r w:rsidRPr="005B0DB7">
              <w:rPr>
                <w:rFonts w:eastAsia="Times New Roman" w:cs="Arial"/>
                <w:sz w:val="20"/>
                <w:szCs w:val="20"/>
                <w:lang w:eastAsia="en-US"/>
              </w:rPr>
              <w:t>32.3%</w:t>
            </w:r>
          </w:p>
        </w:tc>
      </w:tr>
      <w:tr w:rsidR="005B0DB7" w:rsidRPr="005B0DB7" w14:paraId="5C3230BD" w14:textId="77777777" w:rsidTr="001E310F">
        <w:trPr>
          <w:trHeight w:val="271"/>
          <w:jc w:val="center"/>
        </w:trPr>
        <w:tc>
          <w:tcPr>
            <w:tcW w:w="1180" w:type="dxa"/>
            <w:tcBorders>
              <w:top w:val="nil"/>
              <w:left w:val="nil"/>
              <w:bottom w:val="nil"/>
              <w:right w:val="nil"/>
            </w:tcBorders>
            <w:shd w:val="clear" w:color="000000" w:fill="D9D9D9"/>
            <w:noWrap/>
            <w:vAlign w:val="center"/>
            <w:hideMark/>
          </w:tcPr>
          <w:p w14:paraId="05E9A69E" w14:textId="77777777" w:rsidR="005B0DB7" w:rsidRPr="005B0DB7" w:rsidRDefault="005B0DB7" w:rsidP="005B0DB7">
            <w:pPr>
              <w:spacing w:after="0" w:line="240" w:lineRule="auto"/>
              <w:jc w:val="center"/>
              <w:rPr>
                <w:rFonts w:eastAsia="Times New Roman" w:cs="Arial"/>
                <w:sz w:val="20"/>
                <w:szCs w:val="20"/>
                <w:lang w:eastAsia="en-US"/>
              </w:rPr>
            </w:pPr>
            <w:r w:rsidRPr="005B0DB7">
              <w:rPr>
                <w:rFonts w:eastAsia="Times New Roman" w:cs="Arial"/>
                <w:sz w:val="20"/>
                <w:szCs w:val="20"/>
                <w:lang w:eastAsia="en-US"/>
              </w:rPr>
              <w:t>2015</w:t>
            </w:r>
          </w:p>
        </w:tc>
        <w:tc>
          <w:tcPr>
            <w:tcW w:w="1160" w:type="dxa"/>
            <w:tcBorders>
              <w:top w:val="nil"/>
              <w:left w:val="nil"/>
              <w:bottom w:val="nil"/>
              <w:right w:val="nil"/>
            </w:tcBorders>
            <w:shd w:val="clear" w:color="000000" w:fill="D9D9D9"/>
            <w:noWrap/>
            <w:vAlign w:val="center"/>
            <w:hideMark/>
          </w:tcPr>
          <w:p w14:paraId="6FA9A129" w14:textId="77777777" w:rsidR="005B0DB7" w:rsidRPr="005B0DB7" w:rsidRDefault="005B0DB7" w:rsidP="005B0DB7">
            <w:pPr>
              <w:spacing w:after="0" w:line="240" w:lineRule="auto"/>
              <w:jc w:val="center"/>
              <w:rPr>
                <w:rFonts w:eastAsia="Times New Roman" w:cs="Arial"/>
                <w:sz w:val="20"/>
                <w:szCs w:val="20"/>
                <w:lang w:eastAsia="en-US"/>
              </w:rPr>
            </w:pPr>
            <w:r w:rsidRPr="005B0DB7">
              <w:rPr>
                <w:rFonts w:eastAsia="Times New Roman" w:cs="Arial"/>
                <w:sz w:val="20"/>
                <w:szCs w:val="20"/>
                <w:lang w:eastAsia="en-US"/>
              </w:rPr>
              <w:t>1,843</w:t>
            </w:r>
          </w:p>
        </w:tc>
        <w:tc>
          <w:tcPr>
            <w:tcW w:w="1020" w:type="dxa"/>
            <w:tcBorders>
              <w:top w:val="nil"/>
              <w:left w:val="nil"/>
              <w:bottom w:val="nil"/>
              <w:right w:val="nil"/>
            </w:tcBorders>
            <w:shd w:val="clear" w:color="000000" w:fill="D9D9D9"/>
            <w:noWrap/>
            <w:vAlign w:val="center"/>
            <w:hideMark/>
          </w:tcPr>
          <w:p w14:paraId="599890B6" w14:textId="77777777" w:rsidR="005B0DB7" w:rsidRPr="005B0DB7" w:rsidRDefault="005B0DB7" w:rsidP="005B0DB7">
            <w:pPr>
              <w:spacing w:after="0" w:line="240" w:lineRule="auto"/>
              <w:jc w:val="center"/>
              <w:rPr>
                <w:rFonts w:eastAsia="Times New Roman" w:cs="Arial"/>
                <w:sz w:val="20"/>
                <w:szCs w:val="20"/>
                <w:lang w:eastAsia="en-US"/>
              </w:rPr>
            </w:pPr>
            <w:r w:rsidRPr="005B0DB7">
              <w:rPr>
                <w:rFonts w:eastAsia="Times New Roman" w:cs="Arial"/>
                <w:sz w:val="20"/>
                <w:szCs w:val="20"/>
                <w:lang w:eastAsia="en-US"/>
              </w:rPr>
              <w:t>5,103</w:t>
            </w:r>
          </w:p>
        </w:tc>
        <w:tc>
          <w:tcPr>
            <w:tcW w:w="1148" w:type="dxa"/>
            <w:tcBorders>
              <w:top w:val="nil"/>
              <w:left w:val="nil"/>
              <w:bottom w:val="nil"/>
              <w:right w:val="nil"/>
            </w:tcBorders>
            <w:shd w:val="clear" w:color="000000" w:fill="D9D9D9"/>
            <w:noWrap/>
            <w:vAlign w:val="center"/>
            <w:hideMark/>
          </w:tcPr>
          <w:p w14:paraId="4CF488D5" w14:textId="77777777" w:rsidR="005B0DB7" w:rsidRPr="005B0DB7" w:rsidRDefault="005B0DB7" w:rsidP="005B0DB7">
            <w:pPr>
              <w:spacing w:after="0" w:line="240" w:lineRule="auto"/>
              <w:jc w:val="center"/>
              <w:rPr>
                <w:rFonts w:eastAsia="Times New Roman" w:cs="Arial"/>
                <w:sz w:val="20"/>
                <w:szCs w:val="20"/>
                <w:lang w:eastAsia="en-US"/>
              </w:rPr>
            </w:pPr>
            <w:r w:rsidRPr="005B0DB7">
              <w:rPr>
                <w:rFonts w:eastAsia="Times New Roman" w:cs="Arial"/>
                <w:sz w:val="20"/>
                <w:szCs w:val="20"/>
                <w:lang w:eastAsia="en-US"/>
              </w:rPr>
              <w:t>36.1%</w:t>
            </w:r>
          </w:p>
        </w:tc>
      </w:tr>
    </w:tbl>
    <w:p w14:paraId="0C84A8F1" w14:textId="77777777" w:rsidR="005B0DB7" w:rsidRPr="005B0DB7" w:rsidRDefault="005B0DB7" w:rsidP="005B0DB7">
      <w:pPr>
        <w:jc w:val="center"/>
        <w:rPr>
          <w:rFonts w:eastAsia="Cambria" w:cs="Times New Roman"/>
          <w:lang w:eastAsia="en-US"/>
        </w:rPr>
      </w:pPr>
    </w:p>
    <w:p w14:paraId="5851D6B4" w14:textId="77777777" w:rsidR="005B0DB7" w:rsidRPr="005B0DB7" w:rsidRDefault="005B0DB7" w:rsidP="005B0DB7">
      <w:pPr>
        <w:rPr>
          <w:rFonts w:eastAsia="Cambria" w:cs="Times New Roman"/>
          <w:lang w:eastAsia="en-US"/>
        </w:rPr>
      </w:pPr>
      <w:r w:rsidRPr="005B0DB7">
        <w:rPr>
          <w:rFonts w:eastAsia="Cambria" w:cs="Times New Roman"/>
          <w:lang w:eastAsia="en-US"/>
        </w:rPr>
        <w:lastRenderedPageBreak/>
        <w:t>Over 30 percent of 2014 and 2015 PFD service demand occurred while another incident was in progress. The number of concurrent incidents increased from 1,521 to 1,843 between 2014 and 2015. With over 36 percent of the service demand occurring concurrently in 2015, the increase over 2014 reflects 21 percent growth year-over-year.</w:t>
      </w:r>
    </w:p>
    <w:p w14:paraId="56A69739" w14:textId="77777777" w:rsidR="005B0DB7" w:rsidRPr="005B0DB7" w:rsidRDefault="005B0DB7" w:rsidP="005B0DB7">
      <w:pPr>
        <w:rPr>
          <w:rFonts w:eastAsia="Calibri" w:cs="Times New Roman"/>
        </w:rPr>
      </w:pPr>
      <w:r w:rsidRPr="005B0DB7">
        <w:rPr>
          <w:rFonts w:eastAsia="Calibri" w:cs="Times New Roman"/>
        </w:rPr>
        <w:t>PFDs overall performance is best summarized by the following graphic.</w:t>
      </w:r>
    </w:p>
    <w:p w14:paraId="50044BC2" w14:textId="77777777" w:rsidR="005B0DB7" w:rsidRPr="005B0DB7" w:rsidRDefault="005B0DB7" w:rsidP="005B0DB7">
      <w:pPr>
        <w:spacing w:after="40" w:line="240" w:lineRule="auto"/>
        <w:jc w:val="center"/>
        <w:rPr>
          <w:rFonts w:eastAsia="Calibri" w:cs="Times New Roman"/>
          <w:b/>
          <w:iCs/>
          <w:sz w:val="20"/>
          <w:szCs w:val="18"/>
        </w:rPr>
      </w:pPr>
      <w:r w:rsidRPr="005B0DB7">
        <w:rPr>
          <w:rFonts w:eastAsia="Calibri" w:cs="Times New Roman"/>
          <w:b/>
          <w:iCs/>
          <w:sz w:val="20"/>
          <w:szCs w:val="18"/>
          <w:lang w:eastAsia="en-US"/>
        </w:rPr>
        <w:t>Response Performance Goals versus Actual Performance, 2015</w:t>
      </w:r>
    </w:p>
    <w:tbl>
      <w:tblPr>
        <w:tblW w:w="8640" w:type="dxa"/>
        <w:jc w:val="center"/>
        <w:shd w:val="clear" w:color="auto" w:fill="FFFFFF"/>
        <w:tblLayout w:type="fixed"/>
        <w:tblLook w:val="01E0" w:firstRow="1" w:lastRow="1" w:firstColumn="1" w:lastColumn="1" w:noHBand="0" w:noVBand="0"/>
      </w:tblPr>
      <w:tblGrid>
        <w:gridCol w:w="1627"/>
        <w:gridCol w:w="1151"/>
        <w:gridCol w:w="1309"/>
        <w:gridCol w:w="1002"/>
        <w:gridCol w:w="1151"/>
        <w:gridCol w:w="1309"/>
        <w:gridCol w:w="1091"/>
      </w:tblGrid>
      <w:tr w:rsidR="005B0DB7" w:rsidRPr="005B0DB7" w14:paraId="7B5D7A64" w14:textId="77777777" w:rsidTr="001E310F">
        <w:trPr>
          <w:tblHeader/>
          <w:jc w:val="center"/>
        </w:trPr>
        <w:tc>
          <w:tcPr>
            <w:tcW w:w="1607" w:type="dxa"/>
            <w:tcBorders>
              <w:bottom w:val="single" w:sz="4" w:space="0" w:color="auto"/>
            </w:tcBorders>
            <w:shd w:val="clear" w:color="auto" w:fill="1F497D"/>
            <w:vAlign w:val="center"/>
          </w:tcPr>
          <w:p w14:paraId="4FDB3A73" w14:textId="77777777" w:rsidR="005B0DB7" w:rsidRPr="005B0DB7" w:rsidRDefault="005B0DB7" w:rsidP="005B0DB7">
            <w:pPr>
              <w:keepNext/>
              <w:keepLines/>
              <w:spacing w:after="0" w:line="240" w:lineRule="auto"/>
              <w:jc w:val="center"/>
              <w:rPr>
                <w:rFonts w:eastAsia="Times New Roman" w:cs="Times New Roman"/>
                <w:b/>
                <w:color w:val="FFFFFF"/>
                <w:sz w:val="20"/>
                <w:szCs w:val="20"/>
                <w:lang w:eastAsia="en-US"/>
              </w:rPr>
            </w:pPr>
            <w:r w:rsidRPr="005B0DB7">
              <w:rPr>
                <w:rFonts w:eastAsia="Times New Roman" w:cs="Times New Roman"/>
                <w:b/>
                <w:color w:val="FFFFFF"/>
                <w:sz w:val="20"/>
                <w:szCs w:val="20"/>
                <w:lang w:eastAsia="en-US"/>
              </w:rPr>
              <w:t>Response</w:t>
            </w:r>
          </w:p>
          <w:p w14:paraId="285E39FA" w14:textId="77777777" w:rsidR="005B0DB7" w:rsidRPr="005B0DB7" w:rsidRDefault="005B0DB7" w:rsidP="005B0DB7">
            <w:pPr>
              <w:keepNext/>
              <w:keepLines/>
              <w:spacing w:after="0" w:line="240" w:lineRule="auto"/>
              <w:jc w:val="center"/>
              <w:rPr>
                <w:rFonts w:eastAsia="Times New Roman" w:cs="Times New Roman"/>
                <w:b/>
                <w:color w:val="FFFFFF"/>
                <w:sz w:val="20"/>
                <w:szCs w:val="20"/>
                <w:lang w:eastAsia="en-US"/>
              </w:rPr>
            </w:pPr>
            <w:r w:rsidRPr="005B0DB7">
              <w:rPr>
                <w:rFonts w:eastAsia="Times New Roman" w:cs="Times New Roman"/>
                <w:b/>
                <w:color w:val="FFFFFF"/>
                <w:sz w:val="20"/>
                <w:szCs w:val="20"/>
                <w:lang w:eastAsia="en-US"/>
              </w:rPr>
              <w:t>Type</w:t>
            </w:r>
          </w:p>
        </w:tc>
        <w:tc>
          <w:tcPr>
            <w:tcW w:w="1137" w:type="dxa"/>
            <w:tcBorders>
              <w:bottom w:val="single" w:sz="4" w:space="0" w:color="auto"/>
            </w:tcBorders>
            <w:shd w:val="clear" w:color="auto" w:fill="1F497D"/>
            <w:vAlign w:val="center"/>
          </w:tcPr>
          <w:p w14:paraId="41E2EA63" w14:textId="77777777" w:rsidR="005B0DB7" w:rsidRPr="005B0DB7" w:rsidRDefault="005B0DB7" w:rsidP="005B0DB7">
            <w:pPr>
              <w:keepNext/>
              <w:keepLines/>
              <w:spacing w:after="0" w:line="240" w:lineRule="auto"/>
              <w:jc w:val="center"/>
              <w:rPr>
                <w:rFonts w:eastAsia="Times New Roman" w:cs="Times New Roman"/>
                <w:b/>
                <w:color w:val="FFFFFF"/>
                <w:sz w:val="20"/>
                <w:szCs w:val="20"/>
                <w:lang w:eastAsia="en-US"/>
              </w:rPr>
            </w:pPr>
            <w:r w:rsidRPr="005B0DB7">
              <w:rPr>
                <w:rFonts w:eastAsia="Times New Roman" w:cs="Times New Roman"/>
                <w:b/>
                <w:color w:val="FFFFFF"/>
                <w:sz w:val="20"/>
                <w:szCs w:val="20"/>
                <w:lang w:eastAsia="en-US"/>
              </w:rPr>
              <w:t>Adopted</w:t>
            </w:r>
          </w:p>
          <w:p w14:paraId="3946A524" w14:textId="77777777" w:rsidR="005B0DB7" w:rsidRPr="005B0DB7" w:rsidRDefault="005B0DB7" w:rsidP="005B0DB7">
            <w:pPr>
              <w:keepNext/>
              <w:keepLines/>
              <w:spacing w:after="0" w:line="240" w:lineRule="auto"/>
              <w:jc w:val="center"/>
              <w:rPr>
                <w:rFonts w:eastAsia="Times New Roman" w:cs="Times New Roman"/>
                <w:b/>
                <w:color w:val="FFFFFF"/>
                <w:sz w:val="20"/>
                <w:szCs w:val="20"/>
                <w:lang w:eastAsia="en-US"/>
              </w:rPr>
            </w:pPr>
            <w:r w:rsidRPr="005B0DB7">
              <w:rPr>
                <w:rFonts w:eastAsia="Times New Roman" w:cs="Times New Roman"/>
                <w:b/>
                <w:color w:val="FFFFFF"/>
                <w:sz w:val="20"/>
                <w:szCs w:val="20"/>
                <w:lang w:eastAsia="en-US"/>
              </w:rPr>
              <w:t xml:space="preserve">Turnout </w:t>
            </w:r>
          </w:p>
          <w:p w14:paraId="663A335D" w14:textId="77777777" w:rsidR="005B0DB7" w:rsidRPr="005B0DB7" w:rsidRDefault="005B0DB7" w:rsidP="005B0DB7">
            <w:pPr>
              <w:keepNext/>
              <w:keepLines/>
              <w:spacing w:after="0" w:line="240" w:lineRule="auto"/>
              <w:jc w:val="center"/>
              <w:rPr>
                <w:rFonts w:eastAsia="Times New Roman" w:cs="Times New Roman"/>
                <w:b/>
                <w:color w:val="FFFFFF"/>
                <w:sz w:val="20"/>
                <w:szCs w:val="20"/>
                <w:lang w:eastAsia="en-US"/>
              </w:rPr>
            </w:pPr>
            <w:r w:rsidRPr="005B0DB7">
              <w:rPr>
                <w:rFonts w:eastAsia="Times New Roman" w:cs="Times New Roman"/>
                <w:b/>
                <w:color w:val="FFFFFF"/>
                <w:sz w:val="20"/>
                <w:szCs w:val="20"/>
                <w:lang w:eastAsia="en-US"/>
              </w:rPr>
              <w:t>Standard</w:t>
            </w:r>
          </w:p>
          <w:p w14:paraId="61D15618" w14:textId="77777777" w:rsidR="005B0DB7" w:rsidRPr="005B0DB7" w:rsidRDefault="005B0DB7" w:rsidP="005B0DB7">
            <w:pPr>
              <w:keepNext/>
              <w:keepLines/>
              <w:spacing w:after="0" w:line="240" w:lineRule="auto"/>
              <w:jc w:val="center"/>
              <w:rPr>
                <w:rFonts w:eastAsia="Times New Roman" w:cs="Times New Roman"/>
                <w:b/>
                <w:color w:val="FFFFFF"/>
                <w:sz w:val="20"/>
                <w:szCs w:val="20"/>
                <w:lang w:eastAsia="en-US"/>
              </w:rPr>
            </w:pPr>
            <w:r w:rsidRPr="005B0DB7">
              <w:rPr>
                <w:rFonts w:eastAsia="Times New Roman" w:cs="Times New Roman"/>
                <w:b/>
                <w:color w:val="FFFFFF"/>
                <w:sz w:val="20"/>
                <w:szCs w:val="20"/>
                <w:lang w:eastAsia="en-US"/>
              </w:rPr>
              <w:t>(Minutes)</w:t>
            </w:r>
          </w:p>
        </w:tc>
        <w:tc>
          <w:tcPr>
            <w:tcW w:w="1293" w:type="dxa"/>
            <w:tcBorders>
              <w:bottom w:val="single" w:sz="4" w:space="0" w:color="auto"/>
            </w:tcBorders>
            <w:shd w:val="clear" w:color="auto" w:fill="1F497D"/>
            <w:vAlign w:val="center"/>
          </w:tcPr>
          <w:p w14:paraId="36E0B25B" w14:textId="77777777" w:rsidR="005B0DB7" w:rsidRPr="005B0DB7" w:rsidRDefault="005B0DB7" w:rsidP="005B0DB7">
            <w:pPr>
              <w:keepNext/>
              <w:keepLines/>
              <w:spacing w:after="0" w:line="240" w:lineRule="auto"/>
              <w:jc w:val="center"/>
              <w:rPr>
                <w:rFonts w:eastAsia="Times New Roman" w:cs="Times New Roman"/>
                <w:b/>
                <w:color w:val="FFFFFF"/>
                <w:sz w:val="20"/>
                <w:szCs w:val="20"/>
                <w:lang w:eastAsia="en-US"/>
              </w:rPr>
            </w:pPr>
            <w:r w:rsidRPr="005B0DB7">
              <w:rPr>
                <w:rFonts w:eastAsia="Times New Roman" w:cs="Times New Roman"/>
                <w:b/>
                <w:color w:val="FFFFFF"/>
                <w:sz w:val="20"/>
                <w:szCs w:val="20"/>
                <w:lang w:eastAsia="en-US"/>
              </w:rPr>
              <w:t>Actual</w:t>
            </w:r>
          </w:p>
          <w:p w14:paraId="65272C84" w14:textId="77777777" w:rsidR="005B0DB7" w:rsidRPr="005B0DB7" w:rsidRDefault="005B0DB7" w:rsidP="005B0DB7">
            <w:pPr>
              <w:keepNext/>
              <w:keepLines/>
              <w:spacing w:after="0" w:line="240" w:lineRule="auto"/>
              <w:jc w:val="center"/>
              <w:rPr>
                <w:rFonts w:eastAsia="Times New Roman" w:cs="Times New Roman"/>
                <w:b/>
                <w:color w:val="FFFFFF"/>
                <w:sz w:val="20"/>
                <w:szCs w:val="20"/>
                <w:lang w:eastAsia="en-US"/>
              </w:rPr>
            </w:pPr>
            <w:r w:rsidRPr="005B0DB7">
              <w:rPr>
                <w:rFonts w:eastAsia="Times New Roman" w:cs="Times New Roman"/>
                <w:b/>
                <w:color w:val="FFFFFF"/>
                <w:sz w:val="20"/>
                <w:szCs w:val="20"/>
                <w:lang w:eastAsia="en-US"/>
              </w:rPr>
              <w:t>Performance</w:t>
            </w:r>
          </w:p>
          <w:p w14:paraId="2AE3AD87" w14:textId="77777777" w:rsidR="005B0DB7" w:rsidRPr="005B0DB7" w:rsidRDefault="005B0DB7" w:rsidP="005B0DB7">
            <w:pPr>
              <w:keepNext/>
              <w:keepLines/>
              <w:spacing w:after="0" w:line="240" w:lineRule="auto"/>
              <w:jc w:val="center"/>
              <w:rPr>
                <w:rFonts w:eastAsia="Times New Roman" w:cs="Times New Roman"/>
                <w:b/>
                <w:color w:val="FFFFFF"/>
                <w:sz w:val="20"/>
                <w:szCs w:val="20"/>
                <w:lang w:eastAsia="en-US"/>
              </w:rPr>
            </w:pPr>
            <w:r w:rsidRPr="005B0DB7">
              <w:rPr>
                <w:rFonts w:eastAsia="Times New Roman" w:cs="Times New Roman"/>
                <w:b/>
                <w:color w:val="FFFFFF"/>
                <w:sz w:val="20"/>
                <w:szCs w:val="20"/>
                <w:lang w:eastAsia="en-US"/>
              </w:rPr>
              <w:t>(Minutes)</w:t>
            </w:r>
          </w:p>
        </w:tc>
        <w:tc>
          <w:tcPr>
            <w:tcW w:w="990" w:type="dxa"/>
            <w:tcBorders>
              <w:bottom w:val="single" w:sz="4" w:space="0" w:color="auto"/>
            </w:tcBorders>
            <w:shd w:val="clear" w:color="auto" w:fill="1F497D"/>
            <w:vAlign w:val="center"/>
          </w:tcPr>
          <w:p w14:paraId="7B84EB42" w14:textId="77777777" w:rsidR="005B0DB7" w:rsidRPr="005B0DB7" w:rsidRDefault="005B0DB7" w:rsidP="005B0DB7">
            <w:pPr>
              <w:keepNext/>
              <w:keepLines/>
              <w:spacing w:after="0" w:line="240" w:lineRule="auto"/>
              <w:jc w:val="center"/>
              <w:rPr>
                <w:rFonts w:eastAsia="Times New Roman" w:cs="Times New Roman"/>
                <w:b/>
                <w:color w:val="FFFFFF"/>
                <w:sz w:val="20"/>
                <w:szCs w:val="20"/>
                <w:lang w:eastAsia="en-US"/>
              </w:rPr>
            </w:pPr>
            <w:r w:rsidRPr="005B0DB7">
              <w:rPr>
                <w:rFonts w:eastAsia="Times New Roman" w:cs="Times New Roman"/>
                <w:b/>
                <w:color w:val="FFFFFF"/>
                <w:sz w:val="20"/>
                <w:szCs w:val="20"/>
                <w:lang w:eastAsia="en-US"/>
              </w:rPr>
              <w:t>Percent</w:t>
            </w:r>
          </w:p>
          <w:p w14:paraId="35422D4D" w14:textId="77777777" w:rsidR="005B0DB7" w:rsidRPr="005B0DB7" w:rsidRDefault="005B0DB7" w:rsidP="005B0DB7">
            <w:pPr>
              <w:keepNext/>
              <w:keepLines/>
              <w:spacing w:after="0" w:line="240" w:lineRule="auto"/>
              <w:jc w:val="center"/>
              <w:rPr>
                <w:rFonts w:eastAsia="Times New Roman" w:cs="Times New Roman"/>
                <w:b/>
                <w:color w:val="FFFFFF"/>
                <w:sz w:val="20"/>
                <w:szCs w:val="20"/>
                <w:lang w:eastAsia="en-US"/>
              </w:rPr>
            </w:pPr>
            <w:r w:rsidRPr="005B0DB7">
              <w:rPr>
                <w:rFonts w:eastAsia="Times New Roman" w:cs="Times New Roman"/>
                <w:b/>
                <w:color w:val="FFFFFF"/>
                <w:sz w:val="20"/>
                <w:szCs w:val="20"/>
                <w:lang w:eastAsia="en-US"/>
              </w:rPr>
              <w:t>Meeting</w:t>
            </w:r>
          </w:p>
          <w:p w14:paraId="46D0B339" w14:textId="77777777" w:rsidR="005B0DB7" w:rsidRPr="005B0DB7" w:rsidRDefault="005B0DB7" w:rsidP="005B0DB7">
            <w:pPr>
              <w:keepNext/>
              <w:keepLines/>
              <w:spacing w:after="0" w:line="240" w:lineRule="auto"/>
              <w:jc w:val="center"/>
              <w:rPr>
                <w:rFonts w:eastAsia="Times New Roman" w:cs="Times New Roman"/>
                <w:b/>
                <w:color w:val="FFFFFF"/>
                <w:sz w:val="20"/>
                <w:szCs w:val="20"/>
                <w:lang w:eastAsia="en-US"/>
              </w:rPr>
            </w:pPr>
            <w:r w:rsidRPr="005B0DB7">
              <w:rPr>
                <w:rFonts w:eastAsia="Times New Roman" w:cs="Times New Roman"/>
                <w:b/>
                <w:color w:val="FFFFFF"/>
                <w:sz w:val="20"/>
                <w:szCs w:val="20"/>
                <w:lang w:eastAsia="en-US"/>
              </w:rPr>
              <w:t>Standard</w:t>
            </w:r>
          </w:p>
        </w:tc>
        <w:tc>
          <w:tcPr>
            <w:tcW w:w="1137" w:type="dxa"/>
            <w:tcBorders>
              <w:bottom w:val="single" w:sz="4" w:space="0" w:color="auto"/>
            </w:tcBorders>
            <w:shd w:val="clear" w:color="auto" w:fill="1F497D"/>
            <w:vAlign w:val="center"/>
          </w:tcPr>
          <w:p w14:paraId="4F7859CA" w14:textId="77777777" w:rsidR="005B0DB7" w:rsidRPr="005B0DB7" w:rsidRDefault="005B0DB7" w:rsidP="005B0DB7">
            <w:pPr>
              <w:keepNext/>
              <w:keepLines/>
              <w:spacing w:after="0" w:line="240" w:lineRule="auto"/>
              <w:jc w:val="center"/>
              <w:rPr>
                <w:rFonts w:eastAsia="Times New Roman" w:cs="Times New Roman"/>
                <w:b/>
                <w:color w:val="FFFFFF"/>
                <w:sz w:val="20"/>
                <w:szCs w:val="20"/>
                <w:lang w:eastAsia="en-US"/>
              </w:rPr>
            </w:pPr>
            <w:r w:rsidRPr="005B0DB7">
              <w:rPr>
                <w:rFonts w:eastAsia="Times New Roman" w:cs="Times New Roman"/>
                <w:b/>
                <w:color w:val="FFFFFF"/>
                <w:sz w:val="20"/>
                <w:szCs w:val="20"/>
                <w:lang w:eastAsia="en-US"/>
              </w:rPr>
              <w:t>Adopted</w:t>
            </w:r>
          </w:p>
          <w:p w14:paraId="57196A2E" w14:textId="77777777" w:rsidR="005B0DB7" w:rsidRPr="005B0DB7" w:rsidRDefault="005B0DB7" w:rsidP="005B0DB7">
            <w:pPr>
              <w:keepNext/>
              <w:keepLines/>
              <w:spacing w:after="0" w:line="240" w:lineRule="auto"/>
              <w:jc w:val="center"/>
              <w:rPr>
                <w:rFonts w:eastAsia="Times New Roman" w:cs="Times New Roman"/>
                <w:b/>
                <w:color w:val="FFFFFF"/>
                <w:sz w:val="20"/>
                <w:szCs w:val="20"/>
                <w:lang w:eastAsia="en-US"/>
              </w:rPr>
            </w:pPr>
            <w:r w:rsidRPr="005B0DB7">
              <w:rPr>
                <w:rFonts w:eastAsia="Times New Roman" w:cs="Times New Roman"/>
                <w:b/>
                <w:color w:val="FFFFFF"/>
                <w:sz w:val="20"/>
                <w:szCs w:val="20"/>
                <w:lang w:eastAsia="en-US"/>
              </w:rPr>
              <w:t>1</w:t>
            </w:r>
            <w:r w:rsidRPr="005B0DB7">
              <w:rPr>
                <w:rFonts w:eastAsia="Times New Roman" w:cs="Times New Roman"/>
                <w:b/>
                <w:color w:val="FFFFFF"/>
                <w:sz w:val="20"/>
                <w:szCs w:val="20"/>
                <w:vertAlign w:val="superscript"/>
                <w:lang w:eastAsia="en-US"/>
              </w:rPr>
              <w:t>st</w:t>
            </w:r>
          </w:p>
          <w:p w14:paraId="050B51B6" w14:textId="77777777" w:rsidR="005B0DB7" w:rsidRPr="005B0DB7" w:rsidRDefault="005B0DB7" w:rsidP="005B0DB7">
            <w:pPr>
              <w:keepNext/>
              <w:keepLines/>
              <w:spacing w:after="0" w:line="240" w:lineRule="auto"/>
              <w:jc w:val="center"/>
              <w:rPr>
                <w:rFonts w:eastAsia="Times New Roman" w:cs="Times New Roman"/>
                <w:b/>
                <w:color w:val="FFFFFF"/>
                <w:sz w:val="20"/>
                <w:szCs w:val="20"/>
                <w:lang w:eastAsia="en-US"/>
              </w:rPr>
            </w:pPr>
            <w:r w:rsidRPr="005B0DB7">
              <w:rPr>
                <w:rFonts w:eastAsia="Times New Roman" w:cs="Times New Roman"/>
                <w:b/>
                <w:color w:val="FFFFFF"/>
                <w:sz w:val="20"/>
                <w:szCs w:val="20"/>
                <w:lang w:eastAsia="en-US"/>
              </w:rPr>
              <w:t>Arrival</w:t>
            </w:r>
          </w:p>
          <w:p w14:paraId="1E4A7548" w14:textId="77777777" w:rsidR="005B0DB7" w:rsidRPr="005B0DB7" w:rsidRDefault="005B0DB7" w:rsidP="005B0DB7">
            <w:pPr>
              <w:keepNext/>
              <w:keepLines/>
              <w:spacing w:after="0" w:line="240" w:lineRule="auto"/>
              <w:jc w:val="center"/>
              <w:rPr>
                <w:rFonts w:eastAsia="Times New Roman" w:cs="Times New Roman"/>
                <w:b/>
                <w:color w:val="FFFFFF"/>
                <w:sz w:val="20"/>
                <w:szCs w:val="20"/>
                <w:lang w:eastAsia="en-US"/>
              </w:rPr>
            </w:pPr>
            <w:r w:rsidRPr="005B0DB7">
              <w:rPr>
                <w:rFonts w:eastAsia="Times New Roman" w:cs="Times New Roman"/>
                <w:b/>
                <w:color w:val="FFFFFF"/>
                <w:sz w:val="20"/>
                <w:szCs w:val="20"/>
                <w:lang w:eastAsia="en-US"/>
              </w:rPr>
              <w:t>Response</w:t>
            </w:r>
          </w:p>
          <w:p w14:paraId="29820D8B" w14:textId="77777777" w:rsidR="005B0DB7" w:rsidRPr="005B0DB7" w:rsidRDefault="005B0DB7" w:rsidP="005B0DB7">
            <w:pPr>
              <w:keepNext/>
              <w:keepLines/>
              <w:spacing w:after="0" w:line="240" w:lineRule="auto"/>
              <w:jc w:val="center"/>
              <w:rPr>
                <w:rFonts w:eastAsia="Times New Roman" w:cs="Times New Roman"/>
                <w:b/>
                <w:color w:val="FFFFFF"/>
                <w:sz w:val="20"/>
                <w:szCs w:val="20"/>
                <w:lang w:eastAsia="en-US"/>
              </w:rPr>
            </w:pPr>
            <w:r w:rsidRPr="005B0DB7">
              <w:rPr>
                <w:rFonts w:eastAsia="Times New Roman" w:cs="Times New Roman"/>
                <w:b/>
                <w:color w:val="FFFFFF"/>
                <w:sz w:val="20"/>
                <w:szCs w:val="20"/>
                <w:lang w:eastAsia="en-US"/>
              </w:rPr>
              <w:t>(Minutes)</w:t>
            </w:r>
          </w:p>
        </w:tc>
        <w:tc>
          <w:tcPr>
            <w:tcW w:w="1293" w:type="dxa"/>
            <w:tcBorders>
              <w:bottom w:val="single" w:sz="4" w:space="0" w:color="auto"/>
            </w:tcBorders>
            <w:shd w:val="clear" w:color="auto" w:fill="1F497D"/>
            <w:vAlign w:val="center"/>
          </w:tcPr>
          <w:p w14:paraId="7D4E64C9" w14:textId="77777777" w:rsidR="005B0DB7" w:rsidRPr="005B0DB7" w:rsidRDefault="005B0DB7" w:rsidP="005B0DB7">
            <w:pPr>
              <w:keepNext/>
              <w:keepLines/>
              <w:spacing w:after="0" w:line="240" w:lineRule="auto"/>
              <w:jc w:val="center"/>
              <w:rPr>
                <w:rFonts w:eastAsia="Times New Roman" w:cs="Times New Roman"/>
                <w:b/>
                <w:color w:val="FFFFFF"/>
                <w:sz w:val="20"/>
                <w:szCs w:val="20"/>
                <w:lang w:eastAsia="en-US"/>
              </w:rPr>
            </w:pPr>
            <w:r w:rsidRPr="005B0DB7">
              <w:rPr>
                <w:rFonts w:eastAsia="Times New Roman" w:cs="Times New Roman"/>
                <w:b/>
                <w:color w:val="FFFFFF"/>
                <w:sz w:val="20"/>
                <w:szCs w:val="20"/>
                <w:lang w:eastAsia="en-US"/>
              </w:rPr>
              <w:t>Actual</w:t>
            </w:r>
          </w:p>
          <w:p w14:paraId="437D6450" w14:textId="77777777" w:rsidR="005B0DB7" w:rsidRPr="005B0DB7" w:rsidRDefault="005B0DB7" w:rsidP="005B0DB7">
            <w:pPr>
              <w:keepNext/>
              <w:keepLines/>
              <w:spacing w:after="0" w:line="240" w:lineRule="auto"/>
              <w:jc w:val="center"/>
              <w:rPr>
                <w:rFonts w:eastAsia="Times New Roman" w:cs="Times New Roman"/>
                <w:b/>
                <w:color w:val="FFFFFF"/>
                <w:sz w:val="20"/>
                <w:szCs w:val="20"/>
                <w:lang w:eastAsia="en-US"/>
              </w:rPr>
            </w:pPr>
            <w:r w:rsidRPr="005B0DB7">
              <w:rPr>
                <w:rFonts w:eastAsia="Times New Roman" w:cs="Times New Roman"/>
                <w:b/>
                <w:color w:val="FFFFFF"/>
                <w:sz w:val="20"/>
                <w:szCs w:val="20"/>
                <w:lang w:eastAsia="en-US"/>
              </w:rPr>
              <w:t>Performance</w:t>
            </w:r>
          </w:p>
          <w:p w14:paraId="3C7E1D1E" w14:textId="77777777" w:rsidR="005B0DB7" w:rsidRPr="005B0DB7" w:rsidRDefault="005B0DB7" w:rsidP="005B0DB7">
            <w:pPr>
              <w:keepNext/>
              <w:keepLines/>
              <w:spacing w:after="0" w:line="240" w:lineRule="auto"/>
              <w:jc w:val="center"/>
              <w:rPr>
                <w:rFonts w:eastAsia="Times New Roman" w:cs="Times New Roman"/>
                <w:b/>
                <w:color w:val="FFFFFF"/>
                <w:sz w:val="20"/>
                <w:szCs w:val="20"/>
                <w:lang w:eastAsia="en-US"/>
              </w:rPr>
            </w:pPr>
            <w:r w:rsidRPr="005B0DB7">
              <w:rPr>
                <w:rFonts w:eastAsia="Times New Roman" w:cs="Times New Roman"/>
                <w:b/>
                <w:color w:val="FFFFFF"/>
                <w:sz w:val="20"/>
                <w:szCs w:val="20"/>
                <w:lang w:eastAsia="en-US"/>
              </w:rPr>
              <w:t>(Minutes)</w:t>
            </w:r>
          </w:p>
        </w:tc>
        <w:tc>
          <w:tcPr>
            <w:tcW w:w="1078" w:type="dxa"/>
            <w:tcBorders>
              <w:bottom w:val="single" w:sz="4" w:space="0" w:color="auto"/>
            </w:tcBorders>
            <w:shd w:val="clear" w:color="auto" w:fill="1F497D"/>
            <w:vAlign w:val="center"/>
          </w:tcPr>
          <w:p w14:paraId="4D2FC963" w14:textId="77777777" w:rsidR="005B0DB7" w:rsidRPr="005B0DB7" w:rsidRDefault="005B0DB7" w:rsidP="005B0DB7">
            <w:pPr>
              <w:keepNext/>
              <w:keepLines/>
              <w:spacing w:after="0" w:line="240" w:lineRule="auto"/>
              <w:jc w:val="center"/>
              <w:rPr>
                <w:rFonts w:eastAsia="Times New Roman" w:cs="Times New Roman"/>
                <w:b/>
                <w:color w:val="FFFFFF"/>
                <w:sz w:val="20"/>
                <w:szCs w:val="20"/>
                <w:lang w:eastAsia="en-US"/>
              </w:rPr>
            </w:pPr>
            <w:r w:rsidRPr="005B0DB7">
              <w:rPr>
                <w:rFonts w:eastAsia="Times New Roman" w:cs="Times New Roman"/>
                <w:b/>
                <w:color w:val="FFFFFF"/>
                <w:sz w:val="20"/>
                <w:szCs w:val="20"/>
                <w:lang w:eastAsia="en-US"/>
              </w:rPr>
              <w:t>Percent</w:t>
            </w:r>
          </w:p>
          <w:p w14:paraId="3D4DAB5D" w14:textId="77777777" w:rsidR="005B0DB7" w:rsidRPr="005B0DB7" w:rsidRDefault="005B0DB7" w:rsidP="005B0DB7">
            <w:pPr>
              <w:keepNext/>
              <w:keepLines/>
              <w:spacing w:after="0" w:line="240" w:lineRule="auto"/>
              <w:jc w:val="center"/>
              <w:rPr>
                <w:rFonts w:eastAsia="Times New Roman" w:cs="Times New Roman"/>
                <w:b/>
                <w:color w:val="FFFFFF"/>
                <w:sz w:val="20"/>
                <w:szCs w:val="20"/>
                <w:lang w:eastAsia="en-US"/>
              </w:rPr>
            </w:pPr>
            <w:r w:rsidRPr="005B0DB7">
              <w:rPr>
                <w:rFonts w:eastAsia="Times New Roman" w:cs="Times New Roman"/>
                <w:b/>
                <w:color w:val="FFFFFF"/>
                <w:sz w:val="20"/>
                <w:szCs w:val="20"/>
                <w:lang w:eastAsia="en-US"/>
              </w:rPr>
              <w:t>Meeting</w:t>
            </w:r>
          </w:p>
          <w:p w14:paraId="67B3E4CD" w14:textId="77777777" w:rsidR="005B0DB7" w:rsidRPr="005B0DB7" w:rsidRDefault="005B0DB7" w:rsidP="005B0DB7">
            <w:pPr>
              <w:keepNext/>
              <w:keepLines/>
              <w:spacing w:after="0" w:line="240" w:lineRule="auto"/>
              <w:jc w:val="center"/>
              <w:rPr>
                <w:rFonts w:eastAsia="Times New Roman" w:cs="Times New Roman"/>
                <w:b/>
                <w:color w:val="FFFFFF"/>
                <w:sz w:val="20"/>
                <w:szCs w:val="20"/>
                <w:lang w:eastAsia="en-US"/>
              </w:rPr>
            </w:pPr>
            <w:r w:rsidRPr="005B0DB7">
              <w:rPr>
                <w:rFonts w:eastAsia="Times New Roman" w:cs="Times New Roman"/>
                <w:b/>
                <w:color w:val="FFFFFF"/>
                <w:sz w:val="20"/>
                <w:szCs w:val="20"/>
                <w:lang w:eastAsia="en-US"/>
              </w:rPr>
              <w:t>Standard</w:t>
            </w:r>
          </w:p>
        </w:tc>
      </w:tr>
      <w:tr w:rsidR="005B0DB7" w:rsidRPr="005B0DB7" w14:paraId="73DF0AA1" w14:textId="77777777" w:rsidTr="001E310F">
        <w:trPr>
          <w:jc w:val="center"/>
        </w:trPr>
        <w:tc>
          <w:tcPr>
            <w:tcW w:w="1607" w:type="dxa"/>
            <w:tcBorders>
              <w:top w:val="single" w:sz="4" w:space="0" w:color="auto"/>
            </w:tcBorders>
            <w:shd w:val="clear" w:color="auto" w:fill="D9D9D9"/>
            <w:vAlign w:val="center"/>
          </w:tcPr>
          <w:p w14:paraId="4C2D3A13" w14:textId="77777777" w:rsidR="005B0DB7" w:rsidRPr="005B0DB7" w:rsidRDefault="005B0DB7" w:rsidP="005B0DB7">
            <w:pPr>
              <w:keepNext/>
              <w:keepLines/>
              <w:spacing w:after="0" w:line="240" w:lineRule="auto"/>
              <w:jc w:val="center"/>
              <w:rPr>
                <w:rFonts w:eastAsia="Times New Roman" w:cs="Times New Roman"/>
                <w:sz w:val="20"/>
                <w:szCs w:val="20"/>
                <w:lang w:eastAsia="en-US"/>
              </w:rPr>
            </w:pPr>
            <w:r w:rsidRPr="005B0DB7">
              <w:rPr>
                <w:rFonts w:eastAsia="Times New Roman" w:cs="Times New Roman"/>
                <w:sz w:val="20"/>
                <w:szCs w:val="20"/>
                <w:lang w:eastAsia="en-US"/>
              </w:rPr>
              <w:t>Fire</w:t>
            </w:r>
          </w:p>
          <w:p w14:paraId="7E19CC88" w14:textId="77777777" w:rsidR="005B0DB7" w:rsidRPr="005B0DB7" w:rsidRDefault="005B0DB7" w:rsidP="005B0DB7">
            <w:pPr>
              <w:keepNext/>
              <w:keepLines/>
              <w:spacing w:after="0" w:line="240" w:lineRule="auto"/>
              <w:jc w:val="center"/>
              <w:rPr>
                <w:rFonts w:eastAsia="Times New Roman" w:cs="Times New Roman"/>
                <w:sz w:val="20"/>
                <w:szCs w:val="20"/>
                <w:lang w:eastAsia="en-US"/>
              </w:rPr>
            </w:pPr>
            <w:r w:rsidRPr="005B0DB7">
              <w:rPr>
                <w:rFonts w:eastAsia="Times New Roman" w:cs="Times New Roman"/>
                <w:sz w:val="20"/>
                <w:szCs w:val="20"/>
                <w:lang w:eastAsia="en-US"/>
              </w:rPr>
              <w:t>Suppression</w:t>
            </w:r>
          </w:p>
          <w:p w14:paraId="3EC8713F" w14:textId="77777777" w:rsidR="005B0DB7" w:rsidRPr="005B0DB7" w:rsidRDefault="005B0DB7" w:rsidP="005B0DB7">
            <w:pPr>
              <w:keepNext/>
              <w:keepLines/>
              <w:spacing w:after="0" w:line="240" w:lineRule="auto"/>
              <w:jc w:val="center"/>
              <w:rPr>
                <w:rFonts w:eastAsia="Times New Roman" w:cs="Times New Roman"/>
                <w:sz w:val="20"/>
                <w:szCs w:val="20"/>
                <w:lang w:eastAsia="en-US"/>
              </w:rPr>
            </w:pPr>
            <w:r w:rsidRPr="005B0DB7">
              <w:rPr>
                <w:rFonts w:eastAsia="Times New Roman" w:cs="Times New Roman"/>
                <w:sz w:val="20"/>
                <w:szCs w:val="20"/>
                <w:lang w:eastAsia="en-US"/>
              </w:rPr>
              <w:t>Response</w:t>
            </w:r>
          </w:p>
          <w:p w14:paraId="2AAD50D5" w14:textId="77777777" w:rsidR="005B0DB7" w:rsidRPr="005B0DB7" w:rsidRDefault="005B0DB7" w:rsidP="005B0DB7">
            <w:pPr>
              <w:keepNext/>
              <w:keepLines/>
              <w:spacing w:after="0" w:line="240" w:lineRule="auto"/>
              <w:jc w:val="center"/>
              <w:rPr>
                <w:rFonts w:eastAsia="Times New Roman" w:cs="Times New Roman"/>
                <w:sz w:val="20"/>
                <w:szCs w:val="20"/>
                <w:lang w:eastAsia="en-US"/>
              </w:rPr>
            </w:pPr>
            <w:r w:rsidRPr="005B0DB7">
              <w:rPr>
                <w:rFonts w:eastAsia="Times New Roman" w:cs="Times New Roman"/>
                <w:sz w:val="20"/>
                <w:szCs w:val="20"/>
                <w:lang w:eastAsia="en-US"/>
              </w:rPr>
              <w:t>(NFIRS 100- 199)</w:t>
            </w:r>
          </w:p>
        </w:tc>
        <w:tc>
          <w:tcPr>
            <w:tcW w:w="1137" w:type="dxa"/>
            <w:tcBorders>
              <w:top w:val="single" w:sz="4" w:space="0" w:color="auto"/>
            </w:tcBorders>
            <w:shd w:val="clear" w:color="auto" w:fill="D9D9D9"/>
            <w:vAlign w:val="center"/>
          </w:tcPr>
          <w:p w14:paraId="5602D824" w14:textId="77777777" w:rsidR="005B0DB7" w:rsidRPr="005B0DB7" w:rsidRDefault="005B0DB7" w:rsidP="005B0DB7">
            <w:pPr>
              <w:keepNext/>
              <w:keepLines/>
              <w:spacing w:after="0" w:line="240" w:lineRule="auto"/>
              <w:jc w:val="center"/>
              <w:rPr>
                <w:rFonts w:eastAsia="Times New Roman" w:cs="Times New Roman"/>
                <w:sz w:val="20"/>
                <w:szCs w:val="20"/>
                <w:lang w:eastAsia="en-US"/>
              </w:rPr>
            </w:pPr>
            <w:r w:rsidRPr="005B0DB7">
              <w:rPr>
                <w:rFonts w:eastAsia="Times New Roman" w:cs="Times New Roman"/>
                <w:sz w:val="20"/>
                <w:szCs w:val="20"/>
                <w:lang w:eastAsia="en-US"/>
              </w:rPr>
              <w:t>2:00</w:t>
            </w:r>
          </w:p>
        </w:tc>
        <w:tc>
          <w:tcPr>
            <w:tcW w:w="1293" w:type="dxa"/>
            <w:tcBorders>
              <w:top w:val="single" w:sz="4" w:space="0" w:color="auto"/>
            </w:tcBorders>
            <w:shd w:val="clear" w:color="auto" w:fill="D9D9D9"/>
            <w:vAlign w:val="center"/>
          </w:tcPr>
          <w:p w14:paraId="462AB1F9" w14:textId="77777777" w:rsidR="005B0DB7" w:rsidRPr="005B0DB7" w:rsidRDefault="005B0DB7" w:rsidP="005B0DB7">
            <w:pPr>
              <w:keepNext/>
              <w:keepLines/>
              <w:spacing w:after="0" w:line="240" w:lineRule="auto"/>
              <w:jc w:val="center"/>
              <w:rPr>
                <w:rFonts w:eastAsia="Times New Roman" w:cs="Times New Roman"/>
                <w:sz w:val="20"/>
                <w:szCs w:val="20"/>
                <w:lang w:eastAsia="en-US"/>
              </w:rPr>
            </w:pPr>
            <w:r w:rsidRPr="005B0DB7">
              <w:rPr>
                <w:rFonts w:eastAsia="Times New Roman" w:cs="Times New Roman"/>
                <w:sz w:val="20"/>
                <w:szCs w:val="20"/>
                <w:lang w:eastAsia="en-US"/>
              </w:rPr>
              <w:t>2:53</w:t>
            </w:r>
          </w:p>
        </w:tc>
        <w:tc>
          <w:tcPr>
            <w:tcW w:w="990" w:type="dxa"/>
            <w:tcBorders>
              <w:top w:val="single" w:sz="4" w:space="0" w:color="auto"/>
            </w:tcBorders>
            <w:shd w:val="clear" w:color="auto" w:fill="D9D9D9"/>
            <w:vAlign w:val="center"/>
          </w:tcPr>
          <w:p w14:paraId="6EFA6F93" w14:textId="77777777" w:rsidR="005B0DB7" w:rsidRPr="005B0DB7" w:rsidRDefault="005B0DB7" w:rsidP="005B0DB7">
            <w:pPr>
              <w:keepNext/>
              <w:keepLines/>
              <w:spacing w:after="0" w:line="240" w:lineRule="auto"/>
              <w:jc w:val="center"/>
              <w:rPr>
                <w:rFonts w:eastAsia="Times New Roman" w:cs="Times New Roman"/>
                <w:sz w:val="20"/>
                <w:szCs w:val="20"/>
                <w:lang w:eastAsia="en-US"/>
              </w:rPr>
            </w:pPr>
            <w:r w:rsidRPr="005B0DB7">
              <w:rPr>
                <w:rFonts w:eastAsia="Times New Roman" w:cs="Times New Roman"/>
                <w:sz w:val="20"/>
                <w:szCs w:val="20"/>
                <w:lang w:eastAsia="en-US"/>
              </w:rPr>
              <w:t>63%</w:t>
            </w:r>
          </w:p>
        </w:tc>
        <w:tc>
          <w:tcPr>
            <w:tcW w:w="1137" w:type="dxa"/>
            <w:tcBorders>
              <w:top w:val="single" w:sz="4" w:space="0" w:color="auto"/>
            </w:tcBorders>
            <w:shd w:val="clear" w:color="auto" w:fill="D9D9D9"/>
            <w:vAlign w:val="center"/>
          </w:tcPr>
          <w:p w14:paraId="18975D9B" w14:textId="77777777" w:rsidR="005B0DB7" w:rsidRPr="005B0DB7" w:rsidRDefault="005B0DB7" w:rsidP="005B0DB7">
            <w:pPr>
              <w:keepNext/>
              <w:keepLines/>
              <w:spacing w:after="0" w:line="240" w:lineRule="auto"/>
              <w:jc w:val="center"/>
              <w:rPr>
                <w:rFonts w:eastAsia="Times New Roman" w:cs="Times New Roman"/>
                <w:sz w:val="20"/>
                <w:szCs w:val="20"/>
                <w:lang w:eastAsia="en-US"/>
              </w:rPr>
            </w:pPr>
            <w:r w:rsidRPr="005B0DB7">
              <w:rPr>
                <w:rFonts w:eastAsia="Times New Roman" w:cs="Times New Roman"/>
                <w:sz w:val="20"/>
                <w:szCs w:val="20"/>
                <w:lang w:eastAsia="en-US"/>
              </w:rPr>
              <w:t>6:00</w:t>
            </w:r>
          </w:p>
        </w:tc>
        <w:tc>
          <w:tcPr>
            <w:tcW w:w="1293" w:type="dxa"/>
            <w:tcBorders>
              <w:top w:val="single" w:sz="4" w:space="0" w:color="auto"/>
            </w:tcBorders>
            <w:shd w:val="clear" w:color="auto" w:fill="D9D9D9"/>
            <w:vAlign w:val="center"/>
          </w:tcPr>
          <w:p w14:paraId="01EEB8E3" w14:textId="77777777" w:rsidR="005B0DB7" w:rsidRPr="005B0DB7" w:rsidRDefault="005B0DB7" w:rsidP="005B0DB7">
            <w:pPr>
              <w:keepNext/>
              <w:keepLines/>
              <w:spacing w:after="0" w:line="240" w:lineRule="auto"/>
              <w:jc w:val="center"/>
              <w:rPr>
                <w:rFonts w:eastAsia="Times New Roman" w:cs="Times New Roman"/>
                <w:sz w:val="20"/>
                <w:szCs w:val="20"/>
                <w:lang w:eastAsia="en-US"/>
              </w:rPr>
            </w:pPr>
            <w:r w:rsidRPr="005B0DB7">
              <w:rPr>
                <w:rFonts w:eastAsia="Times New Roman" w:cs="Times New Roman"/>
                <w:sz w:val="20"/>
                <w:szCs w:val="20"/>
                <w:lang w:eastAsia="en-US"/>
              </w:rPr>
              <w:t>5:59</w:t>
            </w:r>
          </w:p>
        </w:tc>
        <w:tc>
          <w:tcPr>
            <w:tcW w:w="1078" w:type="dxa"/>
            <w:tcBorders>
              <w:top w:val="single" w:sz="4" w:space="0" w:color="auto"/>
            </w:tcBorders>
            <w:shd w:val="clear" w:color="auto" w:fill="D9D9D9"/>
            <w:vAlign w:val="center"/>
          </w:tcPr>
          <w:p w14:paraId="3E378B12" w14:textId="77777777" w:rsidR="005B0DB7" w:rsidRPr="005B0DB7" w:rsidRDefault="005B0DB7" w:rsidP="005B0DB7">
            <w:pPr>
              <w:keepNext/>
              <w:keepLines/>
              <w:spacing w:after="0" w:line="240" w:lineRule="auto"/>
              <w:jc w:val="center"/>
              <w:rPr>
                <w:rFonts w:eastAsia="Times New Roman" w:cs="Times New Roman"/>
                <w:sz w:val="20"/>
                <w:szCs w:val="20"/>
                <w:lang w:eastAsia="en-US"/>
              </w:rPr>
            </w:pPr>
            <w:r w:rsidRPr="005B0DB7">
              <w:rPr>
                <w:rFonts w:eastAsia="Times New Roman" w:cs="Times New Roman"/>
                <w:sz w:val="20"/>
                <w:szCs w:val="20"/>
                <w:lang w:eastAsia="en-US"/>
              </w:rPr>
              <w:t>90.1%</w:t>
            </w:r>
          </w:p>
        </w:tc>
      </w:tr>
      <w:tr w:rsidR="005B0DB7" w:rsidRPr="005B0DB7" w14:paraId="59DE08E7" w14:textId="77777777" w:rsidTr="001E310F">
        <w:trPr>
          <w:jc w:val="center"/>
        </w:trPr>
        <w:tc>
          <w:tcPr>
            <w:tcW w:w="1607" w:type="dxa"/>
            <w:shd w:val="clear" w:color="auto" w:fill="FFFFFF"/>
            <w:vAlign w:val="center"/>
          </w:tcPr>
          <w:p w14:paraId="4EA7B235" w14:textId="77777777" w:rsidR="005B0DB7" w:rsidRPr="005B0DB7" w:rsidRDefault="005B0DB7" w:rsidP="005B0DB7">
            <w:pPr>
              <w:keepNext/>
              <w:keepLines/>
              <w:spacing w:after="0" w:line="240" w:lineRule="auto"/>
              <w:jc w:val="center"/>
              <w:rPr>
                <w:rFonts w:eastAsia="Times New Roman" w:cs="Times New Roman"/>
                <w:sz w:val="20"/>
                <w:szCs w:val="20"/>
                <w:lang w:eastAsia="en-US"/>
              </w:rPr>
            </w:pPr>
            <w:r w:rsidRPr="005B0DB7">
              <w:rPr>
                <w:rFonts w:eastAsia="Times New Roman" w:cs="Times New Roman"/>
                <w:sz w:val="20"/>
                <w:szCs w:val="20"/>
                <w:lang w:eastAsia="en-US"/>
              </w:rPr>
              <w:t>Full First Alarm- Fire Suppression</w:t>
            </w:r>
          </w:p>
          <w:p w14:paraId="126C6E81" w14:textId="77777777" w:rsidR="005B0DB7" w:rsidRPr="005B0DB7" w:rsidRDefault="005B0DB7" w:rsidP="005B0DB7">
            <w:pPr>
              <w:keepNext/>
              <w:keepLines/>
              <w:spacing w:after="0" w:line="240" w:lineRule="auto"/>
              <w:jc w:val="center"/>
              <w:rPr>
                <w:rFonts w:eastAsia="Times New Roman" w:cs="Times New Roman"/>
                <w:sz w:val="20"/>
                <w:szCs w:val="20"/>
                <w:lang w:eastAsia="en-US"/>
              </w:rPr>
            </w:pPr>
            <w:r w:rsidRPr="005B0DB7">
              <w:rPr>
                <w:rFonts w:eastAsia="Times New Roman" w:cs="Times New Roman"/>
                <w:sz w:val="20"/>
                <w:szCs w:val="20"/>
                <w:lang w:eastAsia="en-US"/>
              </w:rPr>
              <w:t>Response</w:t>
            </w:r>
          </w:p>
        </w:tc>
        <w:tc>
          <w:tcPr>
            <w:tcW w:w="1137" w:type="dxa"/>
            <w:shd w:val="clear" w:color="auto" w:fill="FFFFFF"/>
            <w:vAlign w:val="center"/>
          </w:tcPr>
          <w:p w14:paraId="64D7F6C5" w14:textId="77777777" w:rsidR="005B0DB7" w:rsidRPr="005B0DB7" w:rsidRDefault="005B0DB7" w:rsidP="005B0DB7">
            <w:pPr>
              <w:keepNext/>
              <w:keepLines/>
              <w:spacing w:after="0" w:line="240" w:lineRule="auto"/>
              <w:jc w:val="center"/>
              <w:rPr>
                <w:rFonts w:eastAsia="Times New Roman" w:cs="Times New Roman"/>
                <w:sz w:val="20"/>
                <w:szCs w:val="20"/>
                <w:lang w:eastAsia="en-US"/>
              </w:rPr>
            </w:pPr>
            <w:r w:rsidRPr="005B0DB7">
              <w:rPr>
                <w:rFonts w:eastAsia="Times New Roman" w:cs="Times New Roman"/>
                <w:sz w:val="20"/>
                <w:szCs w:val="20"/>
                <w:lang w:eastAsia="en-US"/>
              </w:rPr>
              <w:t>NA</w:t>
            </w:r>
          </w:p>
        </w:tc>
        <w:tc>
          <w:tcPr>
            <w:tcW w:w="1293" w:type="dxa"/>
            <w:shd w:val="clear" w:color="auto" w:fill="FFFFFF"/>
            <w:vAlign w:val="center"/>
          </w:tcPr>
          <w:p w14:paraId="4C22CE57" w14:textId="77777777" w:rsidR="005B0DB7" w:rsidRPr="005B0DB7" w:rsidRDefault="005B0DB7" w:rsidP="005B0DB7">
            <w:pPr>
              <w:keepNext/>
              <w:keepLines/>
              <w:spacing w:after="0" w:line="240" w:lineRule="auto"/>
              <w:jc w:val="center"/>
              <w:rPr>
                <w:rFonts w:eastAsia="Times New Roman" w:cs="Times New Roman"/>
                <w:sz w:val="20"/>
                <w:szCs w:val="20"/>
                <w:lang w:eastAsia="en-US"/>
              </w:rPr>
            </w:pPr>
            <w:r w:rsidRPr="005B0DB7">
              <w:rPr>
                <w:rFonts w:eastAsia="Times New Roman" w:cs="Times New Roman"/>
                <w:sz w:val="20"/>
                <w:szCs w:val="20"/>
                <w:lang w:eastAsia="en-US"/>
              </w:rPr>
              <w:t>NA</w:t>
            </w:r>
          </w:p>
        </w:tc>
        <w:tc>
          <w:tcPr>
            <w:tcW w:w="990" w:type="dxa"/>
            <w:shd w:val="clear" w:color="auto" w:fill="FFFFFF"/>
            <w:vAlign w:val="center"/>
          </w:tcPr>
          <w:p w14:paraId="6E52B339" w14:textId="77777777" w:rsidR="005B0DB7" w:rsidRPr="005B0DB7" w:rsidRDefault="005B0DB7" w:rsidP="005B0DB7">
            <w:pPr>
              <w:keepNext/>
              <w:keepLines/>
              <w:spacing w:after="0" w:line="240" w:lineRule="auto"/>
              <w:jc w:val="center"/>
              <w:rPr>
                <w:rFonts w:eastAsia="Times New Roman" w:cs="Times New Roman"/>
                <w:sz w:val="20"/>
                <w:szCs w:val="20"/>
                <w:lang w:eastAsia="en-US"/>
              </w:rPr>
            </w:pPr>
            <w:r w:rsidRPr="005B0DB7">
              <w:rPr>
                <w:rFonts w:eastAsia="Times New Roman" w:cs="Times New Roman"/>
                <w:sz w:val="20"/>
                <w:szCs w:val="20"/>
                <w:lang w:eastAsia="en-US"/>
              </w:rPr>
              <w:t>NA</w:t>
            </w:r>
          </w:p>
        </w:tc>
        <w:tc>
          <w:tcPr>
            <w:tcW w:w="1137" w:type="dxa"/>
            <w:shd w:val="clear" w:color="auto" w:fill="FFFFFF"/>
            <w:vAlign w:val="center"/>
          </w:tcPr>
          <w:p w14:paraId="75B286D1" w14:textId="77777777" w:rsidR="005B0DB7" w:rsidRPr="005B0DB7" w:rsidRDefault="005B0DB7" w:rsidP="005B0DB7">
            <w:pPr>
              <w:keepNext/>
              <w:keepLines/>
              <w:spacing w:after="0" w:line="240" w:lineRule="auto"/>
              <w:jc w:val="center"/>
              <w:rPr>
                <w:rFonts w:eastAsia="Times New Roman" w:cs="Times New Roman"/>
                <w:sz w:val="20"/>
                <w:szCs w:val="20"/>
                <w:lang w:eastAsia="en-US"/>
              </w:rPr>
            </w:pPr>
            <w:r w:rsidRPr="005B0DB7">
              <w:rPr>
                <w:rFonts w:eastAsia="Times New Roman" w:cs="Times New Roman"/>
                <w:sz w:val="20"/>
                <w:szCs w:val="20"/>
                <w:lang w:eastAsia="en-US"/>
              </w:rPr>
              <w:t>12:00</w:t>
            </w:r>
          </w:p>
        </w:tc>
        <w:tc>
          <w:tcPr>
            <w:tcW w:w="1293" w:type="dxa"/>
            <w:shd w:val="clear" w:color="auto" w:fill="FFFFFF"/>
            <w:vAlign w:val="center"/>
          </w:tcPr>
          <w:p w14:paraId="5CEAFC88" w14:textId="77777777" w:rsidR="005B0DB7" w:rsidRPr="005B0DB7" w:rsidRDefault="005B0DB7" w:rsidP="005B0DB7">
            <w:pPr>
              <w:keepNext/>
              <w:keepLines/>
              <w:spacing w:after="0" w:line="240" w:lineRule="auto"/>
              <w:jc w:val="center"/>
              <w:rPr>
                <w:rFonts w:eastAsia="Times New Roman" w:cs="Times New Roman"/>
                <w:sz w:val="20"/>
                <w:szCs w:val="20"/>
                <w:lang w:eastAsia="en-US"/>
              </w:rPr>
            </w:pPr>
            <w:r w:rsidRPr="005B0DB7">
              <w:rPr>
                <w:rFonts w:eastAsia="Times New Roman" w:cs="Times New Roman"/>
                <w:sz w:val="20"/>
                <w:szCs w:val="20"/>
                <w:lang w:eastAsia="en-US"/>
              </w:rPr>
              <w:t>22:31</w:t>
            </w:r>
          </w:p>
        </w:tc>
        <w:tc>
          <w:tcPr>
            <w:tcW w:w="1078" w:type="dxa"/>
            <w:shd w:val="clear" w:color="auto" w:fill="FFFFFF"/>
            <w:vAlign w:val="center"/>
          </w:tcPr>
          <w:p w14:paraId="3DE6C9F1" w14:textId="77777777" w:rsidR="005B0DB7" w:rsidRPr="005B0DB7" w:rsidRDefault="005B0DB7" w:rsidP="005B0DB7">
            <w:pPr>
              <w:keepNext/>
              <w:keepLines/>
              <w:spacing w:after="0" w:line="240" w:lineRule="auto"/>
              <w:jc w:val="center"/>
              <w:rPr>
                <w:rFonts w:eastAsia="Times New Roman" w:cs="Times New Roman"/>
                <w:sz w:val="20"/>
                <w:szCs w:val="20"/>
                <w:lang w:eastAsia="en-US"/>
              </w:rPr>
            </w:pPr>
            <w:r w:rsidRPr="005B0DB7">
              <w:rPr>
                <w:rFonts w:eastAsia="Times New Roman" w:cs="Times New Roman"/>
                <w:sz w:val="20"/>
                <w:szCs w:val="20"/>
                <w:lang w:eastAsia="en-US"/>
              </w:rPr>
              <w:t>50%</w:t>
            </w:r>
          </w:p>
        </w:tc>
      </w:tr>
      <w:tr w:rsidR="005B0DB7" w:rsidRPr="005B0DB7" w14:paraId="39A3FA81" w14:textId="77777777" w:rsidTr="001E310F">
        <w:trPr>
          <w:jc w:val="center"/>
        </w:trPr>
        <w:tc>
          <w:tcPr>
            <w:tcW w:w="1607" w:type="dxa"/>
            <w:shd w:val="clear" w:color="auto" w:fill="D9D9D9"/>
            <w:vAlign w:val="center"/>
          </w:tcPr>
          <w:p w14:paraId="36086467" w14:textId="77777777" w:rsidR="005B0DB7" w:rsidRPr="005B0DB7" w:rsidRDefault="005B0DB7" w:rsidP="005B0DB7">
            <w:pPr>
              <w:keepNext/>
              <w:keepLines/>
              <w:spacing w:after="0" w:line="240" w:lineRule="auto"/>
              <w:jc w:val="center"/>
              <w:rPr>
                <w:rFonts w:eastAsia="Times New Roman" w:cs="Times New Roman"/>
                <w:sz w:val="20"/>
                <w:szCs w:val="20"/>
                <w:lang w:eastAsia="en-US"/>
              </w:rPr>
            </w:pPr>
            <w:r w:rsidRPr="005B0DB7">
              <w:rPr>
                <w:rFonts w:eastAsia="Times New Roman" w:cs="Times New Roman"/>
                <w:sz w:val="20"/>
                <w:szCs w:val="20"/>
                <w:lang w:eastAsia="en-US"/>
              </w:rPr>
              <w:t>First Arriving Medical Unit (BLS or ALS)</w:t>
            </w:r>
          </w:p>
        </w:tc>
        <w:tc>
          <w:tcPr>
            <w:tcW w:w="1137" w:type="dxa"/>
            <w:shd w:val="clear" w:color="auto" w:fill="D9D9D9"/>
            <w:vAlign w:val="center"/>
          </w:tcPr>
          <w:p w14:paraId="7B009F20" w14:textId="77777777" w:rsidR="005B0DB7" w:rsidRPr="005B0DB7" w:rsidRDefault="005B0DB7" w:rsidP="005B0DB7">
            <w:pPr>
              <w:keepNext/>
              <w:keepLines/>
              <w:spacing w:after="0" w:line="240" w:lineRule="auto"/>
              <w:jc w:val="center"/>
              <w:rPr>
                <w:rFonts w:eastAsia="Times New Roman" w:cs="Times New Roman"/>
                <w:sz w:val="20"/>
                <w:szCs w:val="20"/>
                <w:lang w:eastAsia="en-US"/>
              </w:rPr>
            </w:pPr>
            <w:r w:rsidRPr="005B0DB7">
              <w:rPr>
                <w:rFonts w:eastAsia="Times New Roman" w:cs="Times New Roman"/>
                <w:sz w:val="20"/>
                <w:szCs w:val="20"/>
                <w:lang w:eastAsia="en-US"/>
              </w:rPr>
              <w:t>2:00</w:t>
            </w:r>
          </w:p>
        </w:tc>
        <w:tc>
          <w:tcPr>
            <w:tcW w:w="1293" w:type="dxa"/>
            <w:shd w:val="clear" w:color="auto" w:fill="D9D9D9"/>
            <w:vAlign w:val="center"/>
          </w:tcPr>
          <w:p w14:paraId="61E59B6A" w14:textId="77777777" w:rsidR="005B0DB7" w:rsidRPr="005B0DB7" w:rsidRDefault="005B0DB7" w:rsidP="005B0DB7">
            <w:pPr>
              <w:keepNext/>
              <w:keepLines/>
              <w:spacing w:after="0" w:line="240" w:lineRule="auto"/>
              <w:jc w:val="center"/>
              <w:rPr>
                <w:rFonts w:eastAsia="Times New Roman" w:cs="Times New Roman"/>
                <w:sz w:val="20"/>
                <w:szCs w:val="20"/>
                <w:lang w:eastAsia="en-US"/>
              </w:rPr>
            </w:pPr>
            <w:r w:rsidRPr="005B0DB7">
              <w:rPr>
                <w:rFonts w:eastAsia="Times New Roman" w:cs="Times New Roman"/>
                <w:sz w:val="20"/>
                <w:szCs w:val="20"/>
                <w:lang w:eastAsia="en-US"/>
              </w:rPr>
              <w:t>1:51</w:t>
            </w:r>
          </w:p>
        </w:tc>
        <w:tc>
          <w:tcPr>
            <w:tcW w:w="990" w:type="dxa"/>
            <w:shd w:val="clear" w:color="auto" w:fill="D9D9D9"/>
            <w:vAlign w:val="center"/>
          </w:tcPr>
          <w:p w14:paraId="40881709" w14:textId="77777777" w:rsidR="005B0DB7" w:rsidRPr="005B0DB7" w:rsidRDefault="005B0DB7" w:rsidP="005B0DB7">
            <w:pPr>
              <w:keepNext/>
              <w:keepLines/>
              <w:spacing w:after="0" w:line="240" w:lineRule="auto"/>
              <w:jc w:val="center"/>
              <w:rPr>
                <w:rFonts w:eastAsia="Times New Roman" w:cs="Times New Roman"/>
                <w:sz w:val="20"/>
                <w:szCs w:val="20"/>
                <w:lang w:eastAsia="en-US"/>
              </w:rPr>
            </w:pPr>
          </w:p>
          <w:p w14:paraId="3FE892D4" w14:textId="77777777" w:rsidR="005B0DB7" w:rsidRPr="005B0DB7" w:rsidRDefault="005B0DB7" w:rsidP="005B0DB7">
            <w:pPr>
              <w:keepNext/>
              <w:keepLines/>
              <w:spacing w:after="0" w:line="240" w:lineRule="auto"/>
              <w:jc w:val="center"/>
              <w:rPr>
                <w:rFonts w:eastAsia="Times New Roman" w:cs="Times New Roman"/>
                <w:sz w:val="20"/>
                <w:szCs w:val="20"/>
                <w:lang w:eastAsia="en-US"/>
              </w:rPr>
            </w:pPr>
            <w:r w:rsidRPr="005B0DB7">
              <w:rPr>
                <w:rFonts w:eastAsia="Times New Roman" w:cs="Times New Roman"/>
                <w:sz w:val="20"/>
                <w:szCs w:val="20"/>
                <w:lang w:eastAsia="en-US"/>
              </w:rPr>
              <w:t>93.1%</w:t>
            </w:r>
          </w:p>
          <w:p w14:paraId="5855B1B2" w14:textId="77777777" w:rsidR="005B0DB7" w:rsidRPr="005B0DB7" w:rsidRDefault="005B0DB7" w:rsidP="005B0DB7">
            <w:pPr>
              <w:keepNext/>
              <w:keepLines/>
              <w:spacing w:after="0" w:line="240" w:lineRule="auto"/>
              <w:jc w:val="center"/>
              <w:rPr>
                <w:rFonts w:eastAsia="Times New Roman" w:cs="Times New Roman"/>
                <w:sz w:val="20"/>
                <w:szCs w:val="20"/>
                <w:lang w:eastAsia="en-US"/>
              </w:rPr>
            </w:pPr>
          </w:p>
        </w:tc>
        <w:tc>
          <w:tcPr>
            <w:tcW w:w="1137" w:type="dxa"/>
            <w:shd w:val="clear" w:color="auto" w:fill="D9D9D9"/>
            <w:vAlign w:val="center"/>
          </w:tcPr>
          <w:p w14:paraId="6A8EDBF8" w14:textId="77777777" w:rsidR="005B0DB7" w:rsidRPr="005B0DB7" w:rsidRDefault="005B0DB7" w:rsidP="005B0DB7">
            <w:pPr>
              <w:keepNext/>
              <w:keepLines/>
              <w:spacing w:after="0" w:line="240" w:lineRule="auto"/>
              <w:jc w:val="center"/>
              <w:rPr>
                <w:rFonts w:eastAsia="Times New Roman" w:cs="Times New Roman"/>
                <w:sz w:val="20"/>
                <w:szCs w:val="20"/>
                <w:lang w:eastAsia="en-US"/>
              </w:rPr>
            </w:pPr>
            <w:r w:rsidRPr="005B0DB7">
              <w:rPr>
                <w:rFonts w:eastAsia="Times New Roman" w:cs="Times New Roman"/>
                <w:sz w:val="20"/>
                <w:szCs w:val="20"/>
                <w:lang w:eastAsia="en-US"/>
              </w:rPr>
              <w:t>6:00</w:t>
            </w:r>
          </w:p>
        </w:tc>
        <w:tc>
          <w:tcPr>
            <w:tcW w:w="1293" w:type="dxa"/>
            <w:shd w:val="clear" w:color="auto" w:fill="D9D9D9"/>
            <w:vAlign w:val="center"/>
          </w:tcPr>
          <w:p w14:paraId="05999EED" w14:textId="77777777" w:rsidR="005B0DB7" w:rsidRPr="005B0DB7" w:rsidRDefault="005B0DB7" w:rsidP="005B0DB7">
            <w:pPr>
              <w:keepNext/>
              <w:keepLines/>
              <w:spacing w:after="0" w:line="240" w:lineRule="auto"/>
              <w:jc w:val="center"/>
              <w:rPr>
                <w:rFonts w:eastAsia="Times New Roman" w:cs="Times New Roman"/>
                <w:sz w:val="20"/>
                <w:szCs w:val="20"/>
                <w:lang w:eastAsia="en-US"/>
              </w:rPr>
            </w:pPr>
          </w:p>
          <w:p w14:paraId="717297CD" w14:textId="77777777" w:rsidR="005B0DB7" w:rsidRPr="005B0DB7" w:rsidRDefault="005B0DB7" w:rsidP="005B0DB7">
            <w:pPr>
              <w:keepNext/>
              <w:keepLines/>
              <w:spacing w:after="0" w:line="240" w:lineRule="auto"/>
              <w:jc w:val="center"/>
              <w:rPr>
                <w:rFonts w:eastAsia="Times New Roman" w:cs="Times New Roman"/>
                <w:sz w:val="20"/>
                <w:szCs w:val="20"/>
                <w:lang w:eastAsia="en-US"/>
              </w:rPr>
            </w:pPr>
            <w:r w:rsidRPr="005B0DB7">
              <w:rPr>
                <w:rFonts w:eastAsia="Times New Roman" w:cs="Times New Roman"/>
                <w:sz w:val="20"/>
                <w:szCs w:val="20"/>
                <w:lang w:eastAsia="en-US"/>
              </w:rPr>
              <w:t>6:20</w:t>
            </w:r>
          </w:p>
          <w:p w14:paraId="54368C08" w14:textId="77777777" w:rsidR="005B0DB7" w:rsidRPr="005B0DB7" w:rsidRDefault="005B0DB7" w:rsidP="005B0DB7">
            <w:pPr>
              <w:keepNext/>
              <w:keepLines/>
              <w:spacing w:after="0" w:line="240" w:lineRule="auto"/>
              <w:jc w:val="center"/>
              <w:rPr>
                <w:rFonts w:eastAsia="Times New Roman" w:cs="Times New Roman"/>
                <w:sz w:val="20"/>
                <w:szCs w:val="20"/>
                <w:lang w:eastAsia="en-US"/>
              </w:rPr>
            </w:pPr>
          </w:p>
        </w:tc>
        <w:tc>
          <w:tcPr>
            <w:tcW w:w="1078" w:type="dxa"/>
            <w:shd w:val="clear" w:color="auto" w:fill="D9D9D9"/>
            <w:vAlign w:val="center"/>
          </w:tcPr>
          <w:p w14:paraId="4BA6F2C9" w14:textId="77777777" w:rsidR="005B0DB7" w:rsidRPr="005B0DB7" w:rsidRDefault="005B0DB7" w:rsidP="005B0DB7">
            <w:pPr>
              <w:keepNext/>
              <w:keepLines/>
              <w:spacing w:after="0" w:line="240" w:lineRule="auto"/>
              <w:jc w:val="center"/>
              <w:rPr>
                <w:rFonts w:eastAsia="Times New Roman" w:cs="Times New Roman"/>
                <w:sz w:val="20"/>
                <w:szCs w:val="20"/>
                <w:lang w:eastAsia="en-US"/>
              </w:rPr>
            </w:pPr>
          </w:p>
          <w:p w14:paraId="5EBCE7BA" w14:textId="77777777" w:rsidR="005B0DB7" w:rsidRPr="005B0DB7" w:rsidRDefault="005B0DB7" w:rsidP="005B0DB7">
            <w:pPr>
              <w:keepNext/>
              <w:keepLines/>
              <w:spacing w:after="0" w:line="240" w:lineRule="auto"/>
              <w:jc w:val="center"/>
              <w:rPr>
                <w:rFonts w:eastAsia="Times New Roman" w:cs="Times New Roman"/>
                <w:sz w:val="20"/>
                <w:szCs w:val="20"/>
                <w:lang w:eastAsia="en-US"/>
              </w:rPr>
            </w:pPr>
            <w:r w:rsidRPr="005B0DB7">
              <w:rPr>
                <w:rFonts w:eastAsia="Times New Roman" w:cs="Times New Roman"/>
                <w:sz w:val="20"/>
                <w:szCs w:val="20"/>
                <w:lang w:eastAsia="en-US"/>
              </w:rPr>
              <w:t>88.1%</w:t>
            </w:r>
          </w:p>
          <w:p w14:paraId="1012BB31" w14:textId="77777777" w:rsidR="005B0DB7" w:rsidRPr="005B0DB7" w:rsidRDefault="005B0DB7" w:rsidP="005B0DB7">
            <w:pPr>
              <w:keepNext/>
              <w:keepLines/>
              <w:spacing w:after="0" w:line="240" w:lineRule="auto"/>
              <w:jc w:val="center"/>
              <w:rPr>
                <w:rFonts w:eastAsia="Times New Roman" w:cs="Times New Roman"/>
                <w:sz w:val="20"/>
                <w:szCs w:val="20"/>
                <w:lang w:eastAsia="en-US"/>
              </w:rPr>
            </w:pPr>
          </w:p>
        </w:tc>
      </w:tr>
      <w:tr w:rsidR="005B0DB7" w:rsidRPr="005B0DB7" w14:paraId="6E1CC478" w14:textId="77777777" w:rsidTr="001E310F">
        <w:trPr>
          <w:jc w:val="center"/>
        </w:trPr>
        <w:tc>
          <w:tcPr>
            <w:tcW w:w="1607" w:type="dxa"/>
            <w:shd w:val="clear" w:color="auto" w:fill="FFFFFF"/>
            <w:vAlign w:val="center"/>
          </w:tcPr>
          <w:p w14:paraId="62CDE713" w14:textId="77777777" w:rsidR="005B0DB7" w:rsidRPr="005B0DB7" w:rsidRDefault="005B0DB7" w:rsidP="005B0DB7">
            <w:pPr>
              <w:keepNext/>
              <w:keepLines/>
              <w:spacing w:after="0" w:line="240" w:lineRule="auto"/>
              <w:jc w:val="center"/>
              <w:rPr>
                <w:rFonts w:eastAsia="Times New Roman" w:cs="Times New Roman"/>
                <w:sz w:val="20"/>
                <w:szCs w:val="20"/>
                <w:lang w:eastAsia="en-US"/>
              </w:rPr>
            </w:pPr>
            <w:r w:rsidRPr="005B0DB7">
              <w:rPr>
                <w:rFonts w:eastAsia="Times New Roman" w:cs="Times New Roman"/>
                <w:sz w:val="20"/>
                <w:szCs w:val="20"/>
                <w:lang w:eastAsia="en-US"/>
              </w:rPr>
              <w:t>First Arriving ALS Unit</w:t>
            </w:r>
          </w:p>
        </w:tc>
        <w:tc>
          <w:tcPr>
            <w:tcW w:w="1137" w:type="dxa"/>
            <w:shd w:val="clear" w:color="auto" w:fill="FFFFFF"/>
            <w:vAlign w:val="center"/>
          </w:tcPr>
          <w:p w14:paraId="1026B74C" w14:textId="77777777" w:rsidR="005B0DB7" w:rsidRPr="005B0DB7" w:rsidRDefault="005B0DB7" w:rsidP="005B0DB7">
            <w:pPr>
              <w:keepNext/>
              <w:keepLines/>
              <w:spacing w:after="0" w:line="240" w:lineRule="auto"/>
              <w:jc w:val="center"/>
              <w:rPr>
                <w:rFonts w:eastAsia="Times New Roman" w:cs="Times New Roman"/>
                <w:sz w:val="20"/>
                <w:szCs w:val="20"/>
                <w:lang w:eastAsia="en-US"/>
              </w:rPr>
            </w:pPr>
            <w:r w:rsidRPr="005B0DB7">
              <w:rPr>
                <w:rFonts w:eastAsia="Times New Roman" w:cs="Times New Roman"/>
                <w:sz w:val="20"/>
                <w:szCs w:val="20"/>
                <w:lang w:eastAsia="en-US"/>
              </w:rPr>
              <w:t>2:00</w:t>
            </w:r>
          </w:p>
        </w:tc>
        <w:tc>
          <w:tcPr>
            <w:tcW w:w="1293" w:type="dxa"/>
            <w:shd w:val="clear" w:color="auto" w:fill="FFFFFF"/>
            <w:vAlign w:val="center"/>
          </w:tcPr>
          <w:p w14:paraId="38528799" w14:textId="77777777" w:rsidR="005B0DB7" w:rsidRPr="005B0DB7" w:rsidRDefault="005B0DB7" w:rsidP="005B0DB7">
            <w:pPr>
              <w:keepNext/>
              <w:keepLines/>
              <w:spacing w:after="0" w:line="240" w:lineRule="auto"/>
              <w:jc w:val="center"/>
              <w:rPr>
                <w:rFonts w:eastAsia="Times New Roman" w:cs="Times New Roman"/>
                <w:sz w:val="20"/>
                <w:szCs w:val="20"/>
                <w:lang w:eastAsia="en-US"/>
              </w:rPr>
            </w:pPr>
            <w:r w:rsidRPr="005B0DB7">
              <w:rPr>
                <w:rFonts w:eastAsia="Times New Roman" w:cs="Times New Roman"/>
                <w:sz w:val="20"/>
                <w:szCs w:val="20"/>
                <w:lang w:eastAsia="en-US"/>
              </w:rPr>
              <w:t>1:52</w:t>
            </w:r>
          </w:p>
        </w:tc>
        <w:tc>
          <w:tcPr>
            <w:tcW w:w="990" w:type="dxa"/>
            <w:shd w:val="clear" w:color="auto" w:fill="FFFFFF"/>
            <w:vAlign w:val="center"/>
          </w:tcPr>
          <w:p w14:paraId="5128B9C5" w14:textId="77777777" w:rsidR="005B0DB7" w:rsidRPr="005B0DB7" w:rsidRDefault="005B0DB7" w:rsidP="005B0DB7">
            <w:pPr>
              <w:keepNext/>
              <w:keepLines/>
              <w:spacing w:after="0" w:line="240" w:lineRule="auto"/>
              <w:jc w:val="center"/>
              <w:rPr>
                <w:rFonts w:eastAsia="Times New Roman" w:cs="Times New Roman"/>
                <w:sz w:val="20"/>
                <w:szCs w:val="20"/>
                <w:lang w:eastAsia="en-US"/>
              </w:rPr>
            </w:pPr>
            <w:r w:rsidRPr="005B0DB7">
              <w:rPr>
                <w:rFonts w:eastAsia="Times New Roman" w:cs="Times New Roman"/>
                <w:sz w:val="20"/>
                <w:szCs w:val="20"/>
                <w:lang w:eastAsia="en-US"/>
              </w:rPr>
              <w:t>93.2%</w:t>
            </w:r>
          </w:p>
        </w:tc>
        <w:tc>
          <w:tcPr>
            <w:tcW w:w="1137" w:type="dxa"/>
            <w:shd w:val="clear" w:color="auto" w:fill="FFFFFF"/>
            <w:vAlign w:val="center"/>
          </w:tcPr>
          <w:p w14:paraId="226B9575" w14:textId="77777777" w:rsidR="005B0DB7" w:rsidRPr="005B0DB7" w:rsidRDefault="005B0DB7" w:rsidP="005B0DB7">
            <w:pPr>
              <w:keepNext/>
              <w:keepLines/>
              <w:spacing w:after="0" w:line="240" w:lineRule="auto"/>
              <w:jc w:val="center"/>
              <w:rPr>
                <w:rFonts w:eastAsia="Times New Roman" w:cs="Times New Roman"/>
                <w:sz w:val="20"/>
                <w:szCs w:val="20"/>
                <w:lang w:eastAsia="en-US"/>
              </w:rPr>
            </w:pPr>
            <w:r w:rsidRPr="005B0DB7">
              <w:rPr>
                <w:rFonts w:eastAsia="Times New Roman" w:cs="Times New Roman"/>
                <w:sz w:val="20"/>
                <w:szCs w:val="20"/>
                <w:lang w:eastAsia="en-US"/>
              </w:rPr>
              <w:t>6:00</w:t>
            </w:r>
          </w:p>
        </w:tc>
        <w:tc>
          <w:tcPr>
            <w:tcW w:w="1293" w:type="dxa"/>
            <w:shd w:val="clear" w:color="auto" w:fill="FFFFFF"/>
            <w:vAlign w:val="center"/>
          </w:tcPr>
          <w:p w14:paraId="145169A5" w14:textId="77777777" w:rsidR="005B0DB7" w:rsidRPr="005B0DB7" w:rsidRDefault="005B0DB7" w:rsidP="005B0DB7">
            <w:pPr>
              <w:keepNext/>
              <w:keepLines/>
              <w:spacing w:after="0" w:line="240" w:lineRule="auto"/>
              <w:jc w:val="center"/>
              <w:rPr>
                <w:rFonts w:eastAsia="Times New Roman" w:cs="Times New Roman"/>
                <w:sz w:val="20"/>
                <w:szCs w:val="20"/>
                <w:lang w:eastAsia="en-US"/>
              </w:rPr>
            </w:pPr>
            <w:r w:rsidRPr="005B0DB7">
              <w:rPr>
                <w:rFonts w:eastAsia="Times New Roman" w:cs="Times New Roman"/>
                <w:sz w:val="20"/>
                <w:szCs w:val="20"/>
                <w:lang w:eastAsia="en-US"/>
              </w:rPr>
              <w:t>5:21</w:t>
            </w:r>
          </w:p>
        </w:tc>
        <w:tc>
          <w:tcPr>
            <w:tcW w:w="1078" w:type="dxa"/>
            <w:shd w:val="clear" w:color="auto" w:fill="FFFFFF"/>
            <w:vAlign w:val="center"/>
          </w:tcPr>
          <w:p w14:paraId="124EA501" w14:textId="77777777" w:rsidR="005B0DB7" w:rsidRPr="005B0DB7" w:rsidRDefault="005B0DB7" w:rsidP="005B0DB7">
            <w:pPr>
              <w:keepNext/>
              <w:keepLines/>
              <w:spacing w:after="0" w:line="240" w:lineRule="auto"/>
              <w:jc w:val="center"/>
              <w:rPr>
                <w:rFonts w:eastAsia="Times New Roman" w:cs="Times New Roman"/>
                <w:sz w:val="20"/>
                <w:szCs w:val="20"/>
                <w:lang w:eastAsia="en-US"/>
              </w:rPr>
            </w:pPr>
            <w:r w:rsidRPr="005B0DB7">
              <w:rPr>
                <w:rFonts w:eastAsia="Times New Roman" w:cs="Times New Roman"/>
                <w:sz w:val="20"/>
                <w:szCs w:val="20"/>
                <w:lang w:eastAsia="en-US"/>
              </w:rPr>
              <w:t>92.9%</w:t>
            </w:r>
          </w:p>
        </w:tc>
      </w:tr>
      <w:tr w:rsidR="005B0DB7" w:rsidRPr="005B0DB7" w14:paraId="39925379" w14:textId="77777777" w:rsidTr="001E310F">
        <w:trPr>
          <w:jc w:val="center"/>
        </w:trPr>
        <w:tc>
          <w:tcPr>
            <w:tcW w:w="1607" w:type="dxa"/>
            <w:shd w:val="clear" w:color="auto" w:fill="D9D9D9"/>
            <w:vAlign w:val="center"/>
          </w:tcPr>
          <w:p w14:paraId="60AA16C5" w14:textId="77777777" w:rsidR="005B0DB7" w:rsidRPr="005B0DB7" w:rsidRDefault="005B0DB7" w:rsidP="005B0DB7">
            <w:pPr>
              <w:keepNext/>
              <w:keepLines/>
              <w:spacing w:after="0" w:line="240" w:lineRule="auto"/>
              <w:jc w:val="center"/>
              <w:rPr>
                <w:rFonts w:eastAsia="Times New Roman" w:cs="Times New Roman"/>
                <w:sz w:val="20"/>
                <w:szCs w:val="20"/>
                <w:lang w:eastAsia="en-US"/>
              </w:rPr>
            </w:pPr>
            <w:r w:rsidRPr="005B0DB7">
              <w:rPr>
                <w:rFonts w:eastAsia="Times New Roman" w:cs="Times New Roman"/>
                <w:sz w:val="20"/>
                <w:szCs w:val="20"/>
                <w:lang w:eastAsia="en-US"/>
              </w:rPr>
              <w:t>Hazardous</w:t>
            </w:r>
          </w:p>
          <w:p w14:paraId="7838620C" w14:textId="77777777" w:rsidR="005B0DB7" w:rsidRPr="005B0DB7" w:rsidRDefault="005B0DB7" w:rsidP="005B0DB7">
            <w:pPr>
              <w:keepNext/>
              <w:keepLines/>
              <w:spacing w:after="0" w:line="240" w:lineRule="auto"/>
              <w:jc w:val="center"/>
              <w:rPr>
                <w:rFonts w:eastAsia="Times New Roman" w:cs="Times New Roman"/>
                <w:sz w:val="20"/>
                <w:szCs w:val="20"/>
                <w:lang w:eastAsia="en-US"/>
              </w:rPr>
            </w:pPr>
            <w:r w:rsidRPr="005B0DB7">
              <w:rPr>
                <w:rFonts w:eastAsia="Times New Roman" w:cs="Times New Roman"/>
                <w:sz w:val="20"/>
                <w:szCs w:val="20"/>
                <w:lang w:eastAsia="en-US"/>
              </w:rPr>
              <w:t>Material</w:t>
            </w:r>
          </w:p>
        </w:tc>
        <w:tc>
          <w:tcPr>
            <w:tcW w:w="1137" w:type="dxa"/>
            <w:shd w:val="clear" w:color="auto" w:fill="D9D9D9"/>
            <w:vAlign w:val="center"/>
          </w:tcPr>
          <w:p w14:paraId="26166870" w14:textId="77777777" w:rsidR="005B0DB7" w:rsidRPr="005B0DB7" w:rsidRDefault="005B0DB7" w:rsidP="005B0DB7">
            <w:pPr>
              <w:keepNext/>
              <w:keepLines/>
              <w:spacing w:after="0" w:line="240" w:lineRule="auto"/>
              <w:jc w:val="center"/>
              <w:rPr>
                <w:rFonts w:eastAsia="Times New Roman" w:cs="Times New Roman"/>
                <w:sz w:val="20"/>
                <w:szCs w:val="20"/>
                <w:lang w:eastAsia="en-US"/>
              </w:rPr>
            </w:pPr>
            <w:r w:rsidRPr="005B0DB7">
              <w:rPr>
                <w:rFonts w:eastAsia="Times New Roman" w:cs="Times New Roman"/>
                <w:sz w:val="20"/>
                <w:szCs w:val="20"/>
                <w:lang w:eastAsia="en-US"/>
              </w:rPr>
              <w:t>2:00</w:t>
            </w:r>
          </w:p>
        </w:tc>
        <w:tc>
          <w:tcPr>
            <w:tcW w:w="1293" w:type="dxa"/>
            <w:shd w:val="clear" w:color="auto" w:fill="D9D9D9"/>
            <w:vAlign w:val="center"/>
          </w:tcPr>
          <w:p w14:paraId="44B150C0" w14:textId="77777777" w:rsidR="005B0DB7" w:rsidRPr="005B0DB7" w:rsidRDefault="005B0DB7" w:rsidP="005B0DB7">
            <w:pPr>
              <w:keepNext/>
              <w:keepLines/>
              <w:spacing w:after="0" w:line="240" w:lineRule="auto"/>
              <w:jc w:val="center"/>
              <w:rPr>
                <w:rFonts w:eastAsia="Times New Roman" w:cs="Times New Roman"/>
                <w:sz w:val="20"/>
                <w:szCs w:val="20"/>
                <w:lang w:eastAsia="en-US"/>
              </w:rPr>
            </w:pPr>
          </w:p>
          <w:p w14:paraId="6173BB34" w14:textId="77777777" w:rsidR="005B0DB7" w:rsidRPr="005B0DB7" w:rsidRDefault="005B0DB7" w:rsidP="005B0DB7">
            <w:pPr>
              <w:keepNext/>
              <w:keepLines/>
              <w:spacing w:after="0" w:line="240" w:lineRule="auto"/>
              <w:jc w:val="center"/>
              <w:rPr>
                <w:rFonts w:eastAsia="Times New Roman" w:cs="Times New Roman"/>
                <w:sz w:val="20"/>
                <w:szCs w:val="20"/>
                <w:lang w:eastAsia="en-US"/>
              </w:rPr>
            </w:pPr>
            <w:r w:rsidRPr="005B0DB7">
              <w:rPr>
                <w:rFonts w:eastAsia="Times New Roman" w:cs="Times New Roman"/>
                <w:sz w:val="20"/>
                <w:szCs w:val="20"/>
                <w:lang w:eastAsia="en-US"/>
              </w:rPr>
              <w:t>3:14</w:t>
            </w:r>
          </w:p>
          <w:p w14:paraId="2FE1917C" w14:textId="77777777" w:rsidR="005B0DB7" w:rsidRPr="005B0DB7" w:rsidRDefault="005B0DB7" w:rsidP="005B0DB7">
            <w:pPr>
              <w:keepNext/>
              <w:keepLines/>
              <w:spacing w:after="0" w:line="240" w:lineRule="auto"/>
              <w:jc w:val="center"/>
              <w:rPr>
                <w:rFonts w:eastAsia="Times New Roman" w:cs="Times New Roman"/>
                <w:sz w:val="20"/>
                <w:szCs w:val="20"/>
                <w:lang w:eastAsia="en-US"/>
              </w:rPr>
            </w:pPr>
          </w:p>
        </w:tc>
        <w:tc>
          <w:tcPr>
            <w:tcW w:w="990" w:type="dxa"/>
            <w:shd w:val="clear" w:color="auto" w:fill="D9D9D9"/>
            <w:vAlign w:val="center"/>
          </w:tcPr>
          <w:p w14:paraId="7B97027B" w14:textId="77777777" w:rsidR="005B0DB7" w:rsidRPr="005B0DB7" w:rsidRDefault="005B0DB7" w:rsidP="005B0DB7">
            <w:pPr>
              <w:keepNext/>
              <w:keepLines/>
              <w:spacing w:after="0" w:line="240" w:lineRule="auto"/>
              <w:jc w:val="center"/>
              <w:rPr>
                <w:rFonts w:eastAsia="Times New Roman" w:cs="Times New Roman"/>
                <w:sz w:val="20"/>
                <w:szCs w:val="20"/>
                <w:lang w:eastAsia="en-US"/>
              </w:rPr>
            </w:pPr>
          </w:p>
          <w:p w14:paraId="6B4730FA" w14:textId="77777777" w:rsidR="005B0DB7" w:rsidRPr="005B0DB7" w:rsidRDefault="005B0DB7" w:rsidP="005B0DB7">
            <w:pPr>
              <w:keepNext/>
              <w:keepLines/>
              <w:spacing w:after="0" w:line="240" w:lineRule="auto"/>
              <w:jc w:val="center"/>
              <w:rPr>
                <w:rFonts w:eastAsia="Times New Roman" w:cs="Times New Roman"/>
                <w:sz w:val="20"/>
                <w:szCs w:val="20"/>
                <w:lang w:eastAsia="en-US"/>
              </w:rPr>
            </w:pPr>
            <w:r w:rsidRPr="005B0DB7">
              <w:rPr>
                <w:rFonts w:eastAsia="Times New Roman" w:cs="Times New Roman"/>
                <w:sz w:val="20"/>
                <w:szCs w:val="20"/>
                <w:lang w:eastAsia="en-US"/>
              </w:rPr>
              <w:t>50%</w:t>
            </w:r>
          </w:p>
          <w:p w14:paraId="252ED03F" w14:textId="77777777" w:rsidR="005B0DB7" w:rsidRPr="005B0DB7" w:rsidRDefault="005B0DB7" w:rsidP="005B0DB7">
            <w:pPr>
              <w:keepNext/>
              <w:keepLines/>
              <w:spacing w:after="0" w:line="240" w:lineRule="auto"/>
              <w:jc w:val="center"/>
              <w:rPr>
                <w:rFonts w:eastAsia="Times New Roman" w:cs="Times New Roman"/>
                <w:sz w:val="20"/>
                <w:szCs w:val="20"/>
                <w:lang w:eastAsia="en-US"/>
              </w:rPr>
            </w:pPr>
          </w:p>
        </w:tc>
        <w:tc>
          <w:tcPr>
            <w:tcW w:w="1137" w:type="dxa"/>
            <w:shd w:val="clear" w:color="auto" w:fill="D9D9D9"/>
            <w:vAlign w:val="center"/>
          </w:tcPr>
          <w:p w14:paraId="0FF7CA3F" w14:textId="77777777" w:rsidR="005B0DB7" w:rsidRPr="005B0DB7" w:rsidRDefault="005B0DB7" w:rsidP="005B0DB7">
            <w:pPr>
              <w:keepNext/>
              <w:keepLines/>
              <w:spacing w:after="0" w:line="240" w:lineRule="auto"/>
              <w:jc w:val="center"/>
              <w:rPr>
                <w:rFonts w:eastAsia="Times New Roman" w:cs="Times New Roman"/>
                <w:sz w:val="20"/>
                <w:szCs w:val="20"/>
                <w:lang w:eastAsia="en-US"/>
              </w:rPr>
            </w:pPr>
            <w:r w:rsidRPr="005B0DB7">
              <w:rPr>
                <w:rFonts w:eastAsia="Times New Roman" w:cs="Times New Roman"/>
                <w:sz w:val="20"/>
                <w:szCs w:val="20"/>
                <w:lang w:eastAsia="en-US"/>
              </w:rPr>
              <w:t>6:00</w:t>
            </w:r>
          </w:p>
        </w:tc>
        <w:tc>
          <w:tcPr>
            <w:tcW w:w="1293" w:type="dxa"/>
            <w:shd w:val="clear" w:color="auto" w:fill="D9D9D9"/>
            <w:vAlign w:val="center"/>
          </w:tcPr>
          <w:p w14:paraId="30167FB2" w14:textId="77777777" w:rsidR="005B0DB7" w:rsidRPr="005B0DB7" w:rsidRDefault="005B0DB7" w:rsidP="005B0DB7">
            <w:pPr>
              <w:keepNext/>
              <w:keepLines/>
              <w:spacing w:after="0" w:line="240" w:lineRule="auto"/>
              <w:jc w:val="center"/>
              <w:rPr>
                <w:rFonts w:eastAsia="Times New Roman" w:cs="Times New Roman"/>
                <w:sz w:val="20"/>
                <w:szCs w:val="20"/>
                <w:lang w:eastAsia="en-US"/>
              </w:rPr>
            </w:pPr>
          </w:p>
          <w:p w14:paraId="6A2D9AF7" w14:textId="77777777" w:rsidR="005B0DB7" w:rsidRPr="005B0DB7" w:rsidRDefault="005B0DB7" w:rsidP="005B0DB7">
            <w:pPr>
              <w:keepNext/>
              <w:keepLines/>
              <w:spacing w:after="0" w:line="240" w:lineRule="auto"/>
              <w:jc w:val="center"/>
              <w:rPr>
                <w:rFonts w:eastAsia="Times New Roman" w:cs="Times New Roman"/>
                <w:sz w:val="20"/>
                <w:szCs w:val="20"/>
                <w:lang w:eastAsia="en-US"/>
              </w:rPr>
            </w:pPr>
            <w:r w:rsidRPr="005B0DB7">
              <w:rPr>
                <w:rFonts w:eastAsia="Times New Roman" w:cs="Times New Roman"/>
                <w:sz w:val="20"/>
                <w:szCs w:val="20"/>
                <w:lang w:eastAsia="en-US"/>
              </w:rPr>
              <w:t>5:21</w:t>
            </w:r>
          </w:p>
          <w:p w14:paraId="729EE49F" w14:textId="77777777" w:rsidR="005B0DB7" w:rsidRPr="005B0DB7" w:rsidRDefault="005B0DB7" w:rsidP="005B0DB7">
            <w:pPr>
              <w:keepNext/>
              <w:keepLines/>
              <w:spacing w:after="0" w:line="240" w:lineRule="auto"/>
              <w:jc w:val="center"/>
              <w:rPr>
                <w:rFonts w:eastAsia="Times New Roman" w:cs="Times New Roman"/>
                <w:sz w:val="20"/>
                <w:szCs w:val="20"/>
                <w:lang w:eastAsia="en-US"/>
              </w:rPr>
            </w:pPr>
          </w:p>
        </w:tc>
        <w:tc>
          <w:tcPr>
            <w:tcW w:w="1078" w:type="dxa"/>
            <w:shd w:val="clear" w:color="auto" w:fill="D9D9D9"/>
            <w:vAlign w:val="center"/>
          </w:tcPr>
          <w:p w14:paraId="54B5A15F" w14:textId="77777777" w:rsidR="005B0DB7" w:rsidRPr="005B0DB7" w:rsidRDefault="005B0DB7" w:rsidP="005B0DB7">
            <w:pPr>
              <w:keepNext/>
              <w:keepLines/>
              <w:spacing w:after="0" w:line="240" w:lineRule="auto"/>
              <w:jc w:val="center"/>
              <w:rPr>
                <w:rFonts w:eastAsia="Times New Roman" w:cs="Times New Roman"/>
                <w:sz w:val="20"/>
                <w:szCs w:val="20"/>
                <w:lang w:eastAsia="en-US"/>
              </w:rPr>
            </w:pPr>
          </w:p>
          <w:p w14:paraId="56FC8BDB" w14:textId="77777777" w:rsidR="005B0DB7" w:rsidRPr="005B0DB7" w:rsidRDefault="005B0DB7" w:rsidP="005B0DB7">
            <w:pPr>
              <w:keepNext/>
              <w:keepLines/>
              <w:spacing w:after="0" w:line="240" w:lineRule="auto"/>
              <w:jc w:val="center"/>
              <w:rPr>
                <w:rFonts w:eastAsia="Times New Roman" w:cs="Times New Roman"/>
                <w:sz w:val="20"/>
                <w:szCs w:val="20"/>
                <w:lang w:eastAsia="en-US"/>
              </w:rPr>
            </w:pPr>
            <w:r w:rsidRPr="005B0DB7">
              <w:rPr>
                <w:rFonts w:eastAsia="Times New Roman" w:cs="Times New Roman"/>
                <w:sz w:val="20"/>
                <w:szCs w:val="20"/>
                <w:lang w:eastAsia="en-US"/>
              </w:rPr>
              <w:t>92.9%</w:t>
            </w:r>
          </w:p>
          <w:p w14:paraId="318E424D" w14:textId="77777777" w:rsidR="005B0DB7" w:rsidRPr="005B0DB7" w:rsidRDefault="005B0DB7" w:rsidP="005B0DB7">
            <w:pPr>
              <w:keepNext/>
              <w:keepLines/>
              <w:spacing w:after="0" w:line="240" w:lineRule="auto"/>
              <w:jc w:val="center"/>
              <w:rPr>
                <w:rFonts w:eastAsia="Times New Roman" w:cs="Times New Roman"/>
                <w:sz w:val="20"/>
                <w:szCs w:val="20"/>
                <w:lang w:eastAsia="en-US"/>
              </w:rPr>
            </w:pPr>
          </w:p>
        </w:tc>
      </w:tr>
      <w:tr w:rsidR="005B0DB7" w:rsidRPr="005B0DB7" w14:paraId="11BD69B6" w14:textId="77777777" w:rsidTr="001E310F">
        <w:trPr>
          <w:jc w:val="center"/>
        </w:trPr>
        <w:tc>
          <w:tcPr>
            <w:tcW w:w="1607" w:type="dxa"/>
            <w:shd w:val="clear" w:color="auto" w:fill="FFFFFF"/>
            <w:vAlign w:val="center"/>
          </w:tcPr>
          <w:p w14:paraId="3D991815" w14:textId="77777777" w:rsidR="005B0DB7" w:rsidRPr="005B0DB7" w:rsidRDefault="005B0DB7" w:rsidP="005B0DB7">
            <w:pPr>
              <w:keepNext/>
              <w:keepLines/>
              <w:spacing w:after="0" w:line="240" w:lineRule="auto"/>
              <w:jc w:val="center"/>
              <w:rPr>
                <w:rFonts w:eastAsia="Times New Roman" w:cs="Times New Roman"/>
                <w:sz w:val="20"/>
                <w:szCs w:val="20"/>
                <w:lang w:eastAsia="en-US"/>
              </w:rPr>
            </w:pPr>
            <w:r w:rsidRPr="005B0DB7">
              <w:rPr>
                <w:rFonts w:eastAsia="Times New Roman" w:cs="Times New Roman"/>
                <w:sz w:val="20"/>
                <w:szCs w:val="20"/>
                <w:lang w:eastAsia="en-US"/>
              </w:rPr>
              <w:t>Technical</w:t>
            </w:r>
          </w:p>
          <w:p w14:paraId="353DB047" w14:textId="77777777" w:rsidR="005B0DB7" w:rsidRPr="005B0DB7" w:rsidRDefault="005B0DB7" w:rsidP="005B0DB7">
            <w:pPr>
              <w:keepNext/>
              <w:keepLines/>
              <w:spacing w:after="0" w:line="240" w:lineRule="auto"/>
              <w:jc w:val="center"/>
              <w:rPr>
                <w:rFonts w:eastAsia="Times New Roman" w:cs="Times New Roman"/>
                <w:sz w:val="20"/>
                <w:szCs w:val="20"/>
                <w:lang w:eastAsia="en-US"/>
              </w:rPr>
            </w:pPr>
            <w:r w:rsidRPr="005B0DB7">
              <w:rPr>
                <w:rFonts w:eastAsia="Times New Roman" w:cs="Times New Roman"/>
                <w:sz w:val="20"/>
                <w:szCs w:val="20"/>
                <w:lang w:eastAsia="en-US"/>
              </w:rPr>
              <w:t>Rescue</w:t>
            </w:r>
          </w:p>
        </w:tc>
        <w:tc>
          <w:tcPr>
            <w:tcW w:w="1137" w:type="dxa"/>
            <w:shd w:val="clear" w:color="auto" w:fill="FFFFFF"/>
            <w:vAlign w:val="center"/>
          </w:tcPr>
          <w:p w14:paraId="1AA054AF" w14:textId="77777777" w:rsidR="005B0DB7" w:rsidRPr="005B0DB7" w:rsidRDefault="005B0DB7" w:rsidP="005B0DB7">
            <w:pPr>
              <w:keepNext/>
              <w:keepLines/>
              <w:spacing w:after="0" w:line="240" w:lineRule="auto"/>
              <w:jc w:val="center"/>
              <w:rPr>
                <w:rFonts w:eastAsia="Times New Roman" w:cs="Times New Roman"/>
                <w:sz w:val="20"/>
                <w:szCs w:val="20"/>
                <w:lang w:eastAsia="en-US"/>
              </w:rPr>
            </w:pPr>
            <w:r w:rsidRPr="005B0DB7">
              <w:rPr>
                <w:rFonts w:eastAsia="Times New Roman" w:cs="Times New Roman"/>
                <w:sz w:val="20"/>
                <w:szCs w:val="20"/>
                <w:lang w:eastAsia="en-US"/>
              </w:rPr>
              <w:t>2:00</w:t>
            </w:r>
          </w:p>
        </w:tc>
        <w:tc>
          <w:tcPr>
            <w:tcW w:w="1293" w:type="dxa"/>
            <w:shd w:val="clear" w:color="auto" w:fill="FFFFFF"/>
            <w:vAlign w:val="center"/>
          </w:tcPr>
          <w:p w14:paraId="13DD7C98" w14:textId="77777777" w:rsidR="005B0DB7" w:rsidRPr="005B0DB7" w:rsidRDefault="005B0DB7" w:rsidP="005B0DB7">
            <w:pPr>
              <w:keepNext/>
              <w:keepLines/>
              <w:spacing w:after="0" w:line="240" w:lineRule="auto"/>
              <w:jc w:val="center"/>
              <w:rPr>
                <w:rFonts w:eastAsia="Times New Roman" w:cs="Times New Roman"/>
                <w:sz w:val="20"/>
                <w:szCs w:val="20"/>
                <w:lang w:eastAsia="en-US"/>
              </w:rPr>
            </w:pPr>
            <w:r w:rsidRPr="005B0DB7">
              <w:rPr>
                <w:rFonts w:eastAsia="Times New Roman" w:cs="Times New Roman"/>
                <w:sz w:val="20"/>
                <w:szCs w:val="20"/>
                <w:lang w:eastAsia="en-US"/>
              </w:rPr>
              <w:t>1:37</w:t>
            </w:r>
          </w:p>
        </w:tc>
        <w:tc>
          <w:tcPr>
            <w:tcW w:w="990" w:type="dxa"/>
            <w:shd w:val="clear" w:color="auto" w:fill="FFFFFF"/>
            <w:vAlign w:val="center"/>
          </w:tcPr>
          <w:p w14:paraId="33017D7B" w14:textId="77777777" w:rsidR="005B0DB7" w:rsidRPr="005B0DB7" w:rsidRDefault="005B0DB7" w:rsidP="005B0DB7">
            <w:pPr>
              <w:keepNext/>
              <w:keepLines/>
              <w:spacing w:after="0" w:line="240" w:lineRule="auto"/>
              <w:jc w:val="center"/>
              <w:rPr>
                <w:rFonts w:eastAsia="Times New Roman" w:cs="Times New Roman"/>
                <w:sz w:val="20"/>
                <w:szCs w:val="20"/>
                <w:lang w:eastAsia="en-US"/>
              </w:rPr>
            </w:pPr>
            <w:r w:rsidRPr="005B0DB7">
              <w:rPr>
                <w:rFonts w:eastAsia="Times New Roman" w:cs="Times New Roman"/>
                <w:sz w:val="20"/>
                <w:szCs w:val="20"/>
                <w:lang w:eastAsia="en-US"/>
              </w:rPr>
              <w:t>91.7%</w:t>
            </w:r>
          </w:p>
        </w:tc>
        <w:tc>
          <w:tcPr>
            <w:tcW w:w="1137" w:type="dxa"/>
            <w:shd w:val="clear" w:color="auto" w:fill="FFFFFF"/>
            <w:vAlign w:val="center"/>
          </w:tcPr>
          <w:p w14:paraId="5B379C3E" w14:textId="77777777" w:rsidR="005B0DB7" w:rsidRPr="005B0DB7" w:rsidRDefault="005B0DB7" w:rsidP="005B0DB7">
            <w:pPr>
              <w:keepNext/>
              <w:keepLines/>
              <w:spacing w:after="0" w:line="240" w:lineRule="auto"/>
              <w:jc w:val="center"/>
              <w:rPr>
                <w:rFonts w:eastAsia="Times New Roman" w:cs="Times New Roman"/>
                <w:sz w:val="20"/>
                <w:szCs w:val="20"/>
                <w:lang w:eastAsia="en-US"/>
              </w:rPr>
            </w:pPr>
            <w:r w:rsidRPr="005B0DB7">
              <w:rPr>
                <w:rFonts w:eastAsia="Times New Roman" w:cs="Times New Roman"/>
                <w:sz w:val="20"/>
                <w:szCs w:val="20"/>
                <w:lang w:eastAsia="en-US"/>
              </w:rPr>
              <w:t>6:00</w:t>
            </w:r>
          </w:p>
        </w:tc>
        <w:tc>
          <w:tcPr>
            <w:tcW w:w="1293" w:type="dxa"/>
            <w:shd w:val="clear" w:color="auto" w:fill="FFFFFF"/>
            <w:vAlign w:val="center"/>
          </w:tcPr>
          <w:p w14:paraId="7F71D814" w14:textId="77777777" w:rsidR="005B0DB7" w:rsidRPr="005B0DB7" w:rsidRDefault="005B0DB7" w:rsidP="005B0DB7">
            <w:pPr>
              <w:keepNext/>
              <w:keepLines/>
              <w:spacing w:after="0" w:line="240" w:lineRule="auto"/>
              <w:jc w:val="center"/>
              <w:rPr>
                <w:rFonts w:eastAsia="Times New Roman" w:cs="Times New Roman"/>
                <w:sz w:val="20"/>
                <w:szCs w:val="20"/>
                <w:lang w:eastAsia="en-US"/>
              </w:rPr>
            </w:pPr>
            <w:r w:rsidRPr="005B0DB7">
              <w:rPr>
                <w:rFonts w:eastAsia="Times New Roman" w:cs="Times New Roman"/>
                <w:sz w:val="20"/>
                <w:szCs w:val="20"/>
                <w:lang w:eastAsia="en-US"/>
              </w:rPr>
              <w:t>8:11</w:t>
            </w:r>
          </w:p>
        </w:tc>
        <w:tc>
          <w:tcPr>
            <w:tcW w:w="1078" w:type="dxa"/>
            <w:shd w:val="clear" w:color="auto" w:fill="FFFFFF"/>
            <w:vAlign w:val="center"/>
          </w:tcPr>
          <w:p w14:paraId="4D7B6423" w14:textId="77777777" w:rsidR="005B0DB7" w:rsidRPr="005B0DB7" w:rsidRDefault="005B0DB7" w:rsidP="005B0DB7">
            <w:pPr>
              <w:keepNext/>
              <w:keepLines/>
              <w:spacing w:after="0" w:line="240" w:lineRule="auto"/>
              <w:jc w:val="center"/>
              <w:rPr>
                <w:rFonts w:eastAsia="Times New Roman" w:cs="Times New Roman"/>
                <w:sz w:val="20"/>
                <w:szCs w:val="20"/>
                <w:lang w:eastAsia="en-US"/>
              </w:rPr>
            </w:pPr>
            <w:r w:rsidRPr="005B0DB7">
              <w:rPr>
                <w:rFonts w:eastAsia="Times New Roman" w:cs="Times New Roman"/>
                <w:sz w:val="20"/>
                <w:szCs w:val="20"/>
                <w:lang w:eastAsia="en-US"/>
              </w:rPr>
              <w:t>67.6%</w:t>
            </w:r>
          </w:p>
        </w:tc>
      </w:tr>
      <w:tr w:rsidR="005B0DB7" w:rsidRPr="005B0DB7" w14:paraId="0322EC22" w14:textId="77777777" w:rsidTr="001E310F">
        <w:trPr>
          <w:jc w:val="center"/>
        </w:trPr>
        <w:tc>
          <w:tcPr>
            <w:tcW w:w="1607" w:type="dxa"/>
            <w:shd w:val="clear" w:color="auto" w:fill="D9D9D9"/>
            <w:vAlign w:val="center"/>
          </w:tcPr>
          <w:p w14:paraId="2A8D1A2C" w14:textId="77777777" w:rsidR="005B0DB7" w:rsidRPr="005B0DB7" w:rsidRDefault="005B0DB7" w:rsidP="005B0DB7">
            <w:pPr>
              <w:keepNext/>
              <w:keepLines/>
              <w:spacing w:after="0" w:line="240" w:lineRule="auto"/>
              <w:jc w:val="center"/>
              <w:rPr>
                <w:rFonts w:eastAsia="Times New Roman" w:cs="Times New Roman"/>
                <w:sz w:val="20"/>
                <w:szCs w:val="20"/>
                <w:lang w:eastAsia="en-US"/>
              </w:rPr>
            </w:pPr>
            <w:r w:rsidRPr="005B0DB7">
              <w:rPr>
                <w:rFonts w:eastAsia="Times New Roman" w:cs="Times New Roman"/>
                <w:sz w:val="20"/>
                <w:szCs w:val="20"/>
                <w:lang w:eastAsia="en-US"/>
              </w:rPr>
              <w:t>ARFF</w:t>
            </w:r>
          </w:p>
        </w:tc>
        <w:tc>
          <w:tcPr>
            <w:tcW w:w="1137" w:type="dxa"/>
            <w:shd w:val="clear" w:color="auto" w:fill="D9D9D9"/>
            <w:vAlign w:val="center"/>
          </w:tcPr>
          <w:p w14:paraId="0231E686" w14:textId="77777777" w:rsidR="005B0DB7" w:rsidRPr="005B0DB7" w:rsidRDefault="005B0DB7" w:rsidP="005B0DB7">
            <w:pPr>
              <w:keepNext/>
              <w:keepLines/>
              <w:spacing w:after="0" w:line="240" w:lineRule="auto"/>
              <w:jc w:val="center"/>
              <w:rPr>
                <w:rFonts w:eastAsia="Times New Roman" w:cs="Times New Roman"/>
                <w:sz w:val="20"/>
                <w:szCs w:val="20"/>
                <w:lang w:eastAsia="en-US"/>
              </w:rPr>
            </w:pPr>
            <w:r w:rsidRPr="005B0DB7">
              <w:rPr>
                <w:rFonts w:eastAsia="Times New Roman" w:cs="Times New Roman"/>
                <w:sz w:val="20"/>
                <w:szCs w:val="20"/>
                <w:lang w:eastAsia="en-US"/>
              </w:rPr>
              <w:t>N/A</w:t>
            </w:r>
          </w:p>
        </w:tc>
        <w:tc>
          <w:tcPr>
            <w:tcW w:w="1293" w:type="dxa"/>
            <w:shd w:val="clear" w:color="auto" w:fill="D9D9D9"/>
            <w:vAlign w:val="center"/>
          </w:tcPr>
          <w:p w14:paraId="4F6562AB" w14:textId="77777777" w:rsidR="005B0DB7" w:rsidRPr="005B0DB7" w:rsidRDefault="005B0DB7" w:rsidP="005B0DB7">
            <w:pPr>
              <w:keepNext/>
              <w:keepLines/>
              <w:spacing w:after="0" w:line="240" w:lineRule="auto"/>
              <w:jc w:val="center"/>
              <w:rPr>
                <w:rFonts w:eastAsia="Times New Roman" w:cs="Times New Roman"/>
                <w:sz w:val="20"/>
                <w:szCs w:val="20"/>
                <w:lang w:eastAsia="en-US"/>
              </w:rPr>
            </w:pPr>
            <w:r w:rsidRPr="005B0DB7">
              <w:rPr>
                <w:rFonts w:eastAsia="Times New Roman" w:cs="Times New Roman"/>
                <w:sz w:val="20"/>
                <w:szCs w:val="20"/>
                <w:lang w:eastAsia="en-US"/>
              </w:rPr>
              <w:t>N/A</w:t>
            </w:r>
          </w:p>
        </w:tc>
        <w:tc>
          <w:tcPr>
            <w:tcW w:w="990" w:type="dxa"/>
            <w:shd w:val="clear" w:color="auto" w:fill="D9D9D9"/>
            <w:vAlign w:val="center"/>
          </w:tcPr>
          <w:p w14:paraId="7F87189B" w14:textId="77777777" w:rsidR="005B0DB7" w:rsidRPr="005B0DB7" w:rsidRDefault="005B0DB7" w:rsidP="005B0DB7">
            <w:pPr>
              <w:keepNext/>
              <w:keepLines/>
              <w:spacing w:after="0" w:line="240" w:lineRule="auto"/>
              <w:jc w:val="center"/>
              <w:rPr>
                <w:rFonts w:eastAsia="Times New Roman" w:cs="Times New Roman"/>
                <w:sz w:val="20"/>
                <w:szCs w:val="20"/>
                <w:lang w:eastAsia="en-US"/>
              </w:rPr>
            </w:pPr>
            <w:r w:rsidRPr="005B0DB7">
              <w:rPr>
                <w:rFonts w:eastAsia="Times New Roman" w:cs="Times New Roman"/>
                <w:sz w:val="20"/>
                <w:szCs w:val="20"/>
                <w:lang w:eastAsia="en-US"/>
              </w:rPr>
              <w:t>N/A</w:t>
            </w:r>
          </w:p>
        </w:tc>
        <w:tc>
          <w:tcPr>
            <w:tcW w:w="1137" w:type="dxa"/>
            <w:shd w:val="clear" w:color="auto" w:fill="D9D9D9"/>
            <w:vAlign w:val="center"/>
          </w:tcPr>
          <w:p w14:paraId="7CC7E505" w14:textId="77777777" w:rsidR="005B0DB7" w:rsidRPr="005B0DB7" w:rsidRDefault="005B0DB7" w:rsidP="005B0DB7">
            <w:pPr>
              <w:keepNext/>
              <w:keepLines/>
              <w:spacing w:after="0" w:line="240" w:lineRule="auto"/>
              <w:jc w:val="center"/>
              <w:rPr>
                <w:rFonts w:eastAsia="Times New Roman" w:cs="Times New Roman"/>
                <w:sz w:val="20"/>
                <w:szCs w:val="20"/>
                <w:lang w:eastAsia="en-US"/>
              </w:rPr>
            </w:pPr>
            <w:r w:rsidRPr="005B0DB7">
              <w:rPr>
                <w:rFonts w:eastAsia="Times New Roman" w:cs="Times New Roman"/>
                <w:sz w:val="20"/>
                <w:szCs w:val="20"/>
                <w:lang w:eastAsia="en-US"/>
              </w:rPr>
              <w:t>3:00</w:t>
            </w:r>
          </w:p>
        </w:tc>
        <w:tc>
          <w:tcPr>
            <w:tcW w:w="1293" w:type="dxa"/>
            <w:shd w:val="clear" w:color="auto" w:fill="D9D9D9"/>
            <w:vAlign w:val="center"/>
          </w:tcPr>
          <w:p w14:paraId="1BA9F49E" w14:textId="77777777" w:rsidR="005B0DB7" w:rsidRPr="005B0DB7" w:rsidRDefault="005B0DB7" w:rsidP="005B0DB7">
            <w:pPr>
              <w:keepNext/>
              <w:keepLines/>
              <w:spacing w:after="0" w:line="240" w:lineRule="auto"/>
              <w:jc w:val="center"/>
              <w:rPr>
                <w:rFonts w:eastAsia="Times New Roman" w:cs="Times New Roman"/>
                <w:sz w:val="20"/>
                <w:szCs w:val="20"/>
                <w:lang w:eastAsia="en-US"/>
              </w:rPr>
            </w:pPr>
          </w:p>
          <w:p w14:paraId="621A185B" w14:textId="77777777" w:rsidR="005B0DB7" w:rsidRPr="005B0DB7" w:rsidRDefault="005B0DB7" w:rsidP="005B0DB7">
            <w:pPr>
              <w:keepNext/>
              <w:keepLines/>
              <w:spacing w:after="0" w:line="240" w:lineRule="auto"/>
              <w:jc w:val="center"/>
              <w:rPr>
                <w:rFonts w:eastAsia="Times New Roman" w:cs="Times New Roman"/>
                <w:sz w:val="20"/>
                <w:szCs w:val="20"/>
                <w:lang w:eastAsia="en-US"/>
              </w:rPr>
            </w:pPr>
            <w:r w:rsidRPr="005B0DB7">
              <w:rPr>
                <w:rFonts w:eastAsia="Times New Roman" w:cs="Times New Roman"/>
                <w:sz w:val="20"/>
                <w:szCs w:val="20"/>
                <w:lang w:eastAsia="en-US"/>
              </w:rPr>
              <w:t>2:15</w:t>
            </w:r>
          </w:p>
          <w:p w14:paraId="1E25356D" w14:textId="77777777" w:rsidR="005B0DB7" w:rsidRPr="005B0DB7" w:rsidRDefault="005B0DB7" w:rsidP="005B0DB7">
            <w:pPr>
              <w:keepNext/>
              <w:keepLines/>
              <w:spacing w:after="0" w:line="240" w:lineRule="auto"/>
              <w:jc w:val="center"/>
              <w:rPr>
                <w:rFonts w:eastAsia="Times New Roman" w:cs="Times New Roman"/>
                <w:sz w:val="20"/>
                <w:szCs w:val="20"/>
                <w:lang w:eastAsia="en-US"/>
              </w:rPr>
            </w:pPr>
          </w:p>
        </w:tc>
        <w:tc>
          <w:tcPr>
            <w:tcW w:w="1078" w:type="dxa"/>
            <w:shd w:val="clear" w:color="auto" w:fill="D9D9D9"/>
            <w:vAlign w:val="center"/>
          </w:tcPr>
          <w:p w14:paraId="147F4C53" w14:textId="77777777" w:rsidR="005B0DB7" w:rsidRPr="005B0DB7" w:rsidRDefault="005B0DB7" w:rsidP="005B0DB7">
            <w:pPr>
              <w:keepNext/>
              <w:keepLines/>
              <w:spacing w:after="0" w:line="240" w:lineRule="auto"/>
              <w:jc w:val="center"/>
              <w:rPr>
                <w:rFonts w:eastAsia="Times New Roman" w:cs="Times New Roman"/>
                <w:sz w:val="20"/>
                <w:szCs w:val="20"/>
                <w:lang w:eastAsia="en-US"/>
              </w:rPr>
            </w:pPr>
          </w:p>
          <w:p w14:paraId="729FC8B1" w14:textId="77777777" w:rsidR="005B0DB7" w:rsidRPr="005B0DB7" w:rsidRDefault="005B0DB7" w:rsidP="005B0DB7">
            <w:pPr>
              <w:keepNext/>
              <w:keepLines/>
              <w:spacing w:after="0" w:line="240" w:lineRule="auto"/>
              <w:jc w:val="center"/>
              <w:rPr>
                <w:rFonts w:eastAsia="Times New Roman" w:cs="Times New Roman"/>
                <w:sz w:val="20"/>
                <w:szCs w:val="20"/>
                <w:lang w:eastAsia="en-US"/>
              </w:rPr>
            </w:pPr>
            <w:r w:rsidRPr="005B0DB7">
              <w:rPr>
                <w:rFonts w:eastAsia="Times New Roman" w:cs="Times New Roman"/>
                <w:sz w:val="20"/>
                <w:szCs w:val="20"/>
                <w:lang w:eastAsia="en-US"/>
              </w:rPr>
              <w:t>100%</w:t>
            </w:r>
          </w:p>
          <w:p w14:paraId="76E32582" w14:textId="77777777" w:rsidR="005B0DB7" w:rsidRPr="005B0DB7" w:rsidRDefault="005B0DB7" w:rsidP="005B0DB7">
            <w:pPr>
              <w:keepNext/>
              <w:keepLines/>
              <w:spacing w:after="0" w:line="240" w:lineRule="auto"/>
              <w:jc w:val="center"/>
              <w:rPr>
                <w:rFonts w:eastAsia="Times New Roman" w:cs="Times New Roman"/>
                <w:sz w:val="20"/>
                <w:szCs w:val="20"/>
                <w:lang w:eastAsia="en-US"/>
              </w:rPr>
            </w:pPr>
          </w:p>
        </w:tc>
      </w:tr>
      <w:tr w:rsidR="005B0DB7" w:rsidRPr="005B0DB7" w14:paraId="23806742" w14:textId="77777777" w:rsidTr="001E310F">
        <w:trPr>
          <w:jc w:val="center"/>
        </w:trPr>
        <w:tc>
          <w:tcPr>
            <w:tcW w:w="1607" w:type="dxa"/>
            <w:shd w:val="clear" w:color="auto" w:fill="FFFFFF"/>
            <w:vAlign w:val="center"/>
          </w:tcPr>
          <w:p w14:paraId="6DC98A39" w14:textId="77777777" w:rsidR="005B0DB7" w:rsidRPr="005B0DB7" w:rsidRDefault="005B0DB7" w:rsidP="005B0DB7">
            <w:pPr>
              <w:keepNext/>
              <w:keepLines/>
              <w:spacing w:after="0" w:line="240" w:lineRule="auto"/>
              <w:jc w:val="center"/>
              <w:rPr>
                <w:rFonts w:eastAsia="Times New Roman" w:cs="Times New Roman"/>
                <w:sz w:val="20"/>
                <w:szCs w:val="20"/>
                <w:lang w:eastAsia="en-US"/>
              </w:rPr>
            </w:pPr>
            <w:r w:rsidRPr="005B0DB7">
              <w:rPr>
                <w:rFonts w:eastAsia="Times New Roman" w:cs="Times New Roman"/>
                <w:sz w:val="20"/>
                <w:szCs w:val="20"/>
                <w:lang w:eastAsia="en-US"/>
              </w:rPr>
              <w:t>Wildland</w:t>
            </w:r>
          </w:p>
        </w:tc>
        <w:tc>
          <w:tcPr>
            <w:tcW w:w="1137" w:type="dxa"/>
            <w:shd w:val="clear" w:color="auto" w:fill="FFFFFF"/>
            <w:vAlign w:val="center"/>
          </w:tcPr>
          <w:p w14:paraId="67C89D8D" w14:textId="77777777" w:rsidR="005B0DB7" w:rsidRPr="005B0DB7" w:rsidRDefault="005B0DB7" w:rsidP="005B0DB7">
            <w:pPr>
              <w:keepNext/>
              <w:keepLines/>
              <w:spacing w:after="0" w:line="240" w:lineRule="auto"/>
              <w:jc w:val="center"/>
              <w:rPr>
                <w:rFonts w:eastAsia="Times New Roman" w:cs="Times New Roman"/>
                <w:sz w:val="20"/>
                <w:szCs w:val="20"/>
                <w:lang w:eastAsia="en-US"/>
              </w:rPr>
            </w:pPr>
            <w:r w:rsidRPr="005B0DB7">
              <w:rPr>
                <w:rFonts w:eastAsia="Times New Roman" w:cs="Times New Roman"/>
                <w:sz w:val="20"/>
                <w:szCs w:val="20"/>
                <w:lang w:eastAsia="en-US"/>
              </w:rPr>
              <w:t>2:00</w:t>
            </w:r>
          </w:p>
        </w:tc>
        <w:tc>
          <w:tcPr>
            <w:tcW w:w="1293" w:type="dxa"/>
            <w:shd w:val="clear" w:color="auto" w:fill="FFFFFF"/>
            <w:vAlign w:val="center"/>
          </w:tcPr>
          <w:p w14:paraId="165109E9" w14:textId="77777777" w:rsidR="005B0DB7" w:rsidRPr="005B0DB7" w:rsidRDefault="005B0DB7" w:rsidP="005B0DB7">
            <w:pPr>
              <w:keepNext/>
              <w:keepLines/>
              <w:spacing w:after="0" w:line="240" w:lineRule="auto"/>
              <w:jc w:val="center"/>
              <w:rPr>
                <w:rFonts w:eastAsia="Times New Roman" w:cs="Times New Roman"/>
                <w:sz w:val="20"/>
                <w:szCs w:val="20"/>
                <w:lang w:eastAsia="en-US"/>
              </w:rPr>
            </w:pPr>
          </w:p>
          <w:p w14:paraId="3DF5E166" w14:textId="77777777" w:rsidR="005B0DB7" w:rsidRPr="005B0DB7" w:rsidRDefault="005B0DB7" w:rsidP="005B0DB7">
            <w:pPr>
              <w:keepNext/>
              <w:keepLines/>
              <w:spacing w:after="0" w:line="240" w:lineRule="auto"/>
              <w:jc w:val="center"/>
              <w:rPr>
                <w:rFonts w:eastAsia="Times New Roman" w:cs="Times New Roman"/>
                <w:sz w:val="20"/>
                <w:szCs w:val="20"/>
                <w:lang w:eastAsia="en-US"/>
              </w:rPr>
            </w:pPr>
            <w:r w:rsidRPr="005B0DB7">
              <w:rPr>
                <w:rFonts w:eastAsia="Times New Roman" w:cs="Times New Roman"/>
                <w:sz w:val="20"/>
                <w:szCs w:val="20"/>
                <w:lang w:eastAsia="en-US"/>
              </w:rPr>
              <w:t>3:28</w:t>
            </w:r>
          </w:p>
          <w:p w14:paraId="1CD4D0E9" w14:textId="77777777" w:rsidR="005B0DB7" w:rsidRPr="005B0DB7" w:rsidRDefault="005B0DB7" w:rsidP="005B0DB7">
            <w:pPr>
              <w:keepNext/>
              <w:keepLines/>
              <w:spacing w:after="0" w:line="240" w:lineRule="auto"/>
              <w:jc w:val="center"/>
              <w:rPr>
                <w:rFonts w:eastAsia="Times New Roman" w:cs="Times New Roman"/>
                <w:sz w:val="20"/>
                <w:szCs w:val="20"/>
                <w:lang w:eastAsia="en-US"/>
              </w:rPr>
            </w:pPr>
          </w:p>
        </w:tc>
        <w:tc>
          <w:tcPr>
            <w:tcW w:w="990" w:type="dxa"/>
            <w:shd w:val="clear" w:color="auto" w:fill="FFFFFF"/>
            <w:vAlign w:val="center"/>
          </w:tcPr>
          <w:p w14:paraId="2B5F3FBB" w14:textId="77777777" w:rsidR="005B0DB7" w:rsidRPr="005B0DB7" w:rsidRDefault="005B0DB7" w:rsidP="005B0DB7">
            <w:pPr>
              <w:keepNext/>
              <w:keepLines/>
              <w:spacing w:after="0" w:line="240" w:lineRule="auto"/>
              <w:jc w:val="center"/>
              <w:rPr>
                <w:rFonts w:eastAsia="Times New Roman" w:cs="Times New Roman"/>
                <w:sz w:val="20"/>
                <w:szCs w:val="20"/>
                <w:lang w:eastAsia="en-US"/>
              </w:rPr>
            </w:pPr>
          </w:p>
          <w:p w14:paraId="001CAE8C" w14:textId="77777777" w:rsidR="005B0DB7" w:rsidRPr="005B0DB7" w:rsidRDefault="005B0DB7" w:rsidP="005B0DB7">
            <w:pPr>
              <w:keepNext/>
              <w:keepLines/>
              <w:spacing w:after="0" w:line="240" w:lineRule="auto"/>
              <w:jc w:val="center"/>
              <w:rPr>
                <w:rFonts w:eastAsia="Times New Roman" w:cs="Times New Roman"/>
                <w:sz w:val="20"/>
                <w:szCs w:val="20"/>
                <w:lang w:eastAsia="en-US"/>
              </w:rPr>
            </w:pPr>
            <w:r w:rsidRPr="005B0DB7">
              <w:rPr>
                <w:rFonts w:eastAsia="Times New Roman" w:cs="Times New Roman"/>
                <w:sz w:val="20"/>
                <w:szCs w:val="20"/>
                <w:lang w:eastAsia="en-US"/>
              </w:rPr>
              <w:t>58%</w:t>
            </w:r>
          </w:p>
          <w:p w14:paraId="6760DA84" w14:textId="77777777" w:rsidR="005B0DB7" w:rsidRPr="005B0DB7" w:rsidRDefault="005B0DB7" w:rsidP="005B0DB7">
            <w:pPr>
              <w:keepNext/>
              <w:keepLines/>
              <w:spacing w:after="0" w:line="240" w:lineRule="auto"/>
              <w:jc w:val="center"/>
              <w:rPr>
                <w:rFonts w:eastAsia="Times New Roman" w:cs="Times New Roman"/>
                <w:sz w:val="20"/>
                <w:szCs w:val="20"/>
                <w:lang w:eastAsia="en-US"/>
              </w:rPr>
            </w:pPr>
          </w:p>
        </w:tc>
        <w:tc>
          <w:tcPr>
            <w:tcW w:w="1137" w:type="dxa"/>
            <w:shd w:val="clear" w:color="auto" w:fill="FFFFFF"/>
            <w:vAlign w:val="center"/>
          </w:tcPr>
          <w:p w14:paraId="09ABF9DC" w14:textId="77777777" w:rsidR="005B0DB7" w:rsidRPr="005B0DB7" w:rsidRDefault="005B0DB7" w:rsidP="005B0DB7">
            <w:pPr>
              <w:keepNext/>
              <w:keepLines/>
              <w:spacing w:after="0" w:line="240" w:lineRule="auto"/>
              <w:jc w:val="center"/>
              <w:rPr>
                <w:rFonts w:eastAsia="Times New Roman" w:cs="Times New Roman"/>
                <w:sz w:val="20"/>
                <w:szCs w:val="20"/>
                <w:lang w:eastAsia="en-US"/>
              </w:rPr>
            </w:pPr>
            <w:r w:rsidRPr="005B0DB7">
              <w:rPr>
                <w:rFonts w:eastAsia="Times New Roman" w:cs="Times New Roman"/>
                <w:sz w:val="20"/>
                <w:szCs w:val="20"/>
                <w:lang w:eastAsia="en-US"/>
              </w:rPr>
              <w:t>6:00</w:t>
            </w:r>
          </w:p>
        </w:tc>
        <w:tc>
          <w:tcPr>
            <w:tcW w:w="1293" w:type="dxa"/>
            <w:shd w:val="clear" w:color="auto" w:fill="FFFFFF"/>
            <w:vAlign w:val="center"/>
          </w:tcPr>
          <w:p w14:paraId="259D311C" w14:textId="77777777" w:rsidR="005B0DB7" w:rsidRPr="005B0DB7" w:rsidRDefault="005B0DB7" w:rsidP="005B0DB7">
            <w:pPr>
              <w:keepNext/>
              <w:keepLines/>
              <w:spacing w:after="0" w:line="240" w:lineRule="auto"/>
              <w:jc w:val="center"/>
              <w:rPr>
                <w:rFonts w:eastAsia="Times New Roman" w:cs="Times New Roman"/>
                <w:sz w:val="20"/>
                <w:szCs w:val="20"/>
                <w:lang w:eastAsia="en-US"/>
              </w:rPr>
            </w:pPr>
            <w:r w:rsidRPr="005B0DB7">
              <w:rPr>
                <w:rFonts w:eastAsia="Times New Roman" w:cs="Times New Roman"/>
                <w:sz w:val="20"/>
                <w:szCs w:val="20"/>
                <w:lang w:eastAsia="en-US"/>
              </w:rPr>
              <w:t>7:48</w:t>
            </w:r>
          </w:p>
        </w:tc>
        <w:tc>
          <w:tcPr>
            <w:tcW w:w="1078" w:type="dxa"/>
            <w:shd w:val="clear" w:color="auto" w:fill="FFFFFF"/>
            <w:vAlign w:val="center"/>
          </w:tcPr>
          <w:p w14:paraId="1A71BDE4" w14:textId="77777777" w:rsidR="005B0DB7" w:rsidRPr="005B0DB7" w:rsidRDefault="005B0DB7" w:rsidP="005B0DB7">
            <w:pPr>
              <w:keepNext/>
              <w:keepLines/>
              <w:spacing w:after="0" w:line="240" w:lineRule="auto"/>
              <w:jc w:val="center"/>
              <w:rPr>
                <w:rFonts w:eastAsia="Times New Roman" w:cs="Times New Roman"/>
                <w:sz w:val="20"/>
                <w:szCs w:val="20"/>
                <w:lang w:eastAsia="en-US"/>
              </w:rPr>
            </w:pPr>
          </w:p>
          <w:p w14:paraId="188E8895" w14:textId="77777777" w:rsidR="005B0DB7" w:rsidRPr="005B0DB7" w:rsidRDefault="005B0DB7" w:rsidP="005B0DB7">
            <w:pPr>
              <w:keepNext/>
              <w:keepLines/>
              <w:spacing w:after="0" w:line="240" w:lineRule="auto"/>
              <w:jc w:val="center"/>
              <w:rPr>
                <w:rFonts w:eastAsia="Times New Roman" w:cs="Times New Roman"/>
                <w:sz w:val="20"/>
                <w:szCs w:val="20"/>
                <w:lang w:eastAsia="en-US"/>
              </w:rPr>
            </w:pPr>
            <w:r w:rsidRPr="005B0DB7">
              <w:rPr>
                <w:rFonts w:eastAsia="Times New Roman" w:cs="Times New Roman"/>
                <w:sz w:val="20"/>
                <w:szCs w:val="20"/>
                <w:lang w:eastAsia="en-US"/>
              </w:rPr>
              <w:t>84.6%</w:t>
            </w:r>
          </w:p>
          <w:p w14:paraId="2F1A6AD0" w14:textId="77777777" w:rsidR="005B0DB7" w:rsidRPr="005B0DB7" w:rsidRDefault="005B0DB7" w:rsidP="005B0DB7">
            <w:pPr>
              <w:keepNext/>
              <w:keepLines/>
              <w:spacing w:after="0" w:line="240" w:lineRule="auto"/>
              <w:jc w:val="center"/>
              <w:rPr>
                <w:rFonts w:eastAsia="Times New Roman" w:cs="Times New Roman"/>
                <w:sz w:val="20"/>
                <w:szCs w:val="20"/>
                <w:lang w:eastAsia="en-US"/>
              </w:rPr>
            </w:pPr>
          </w:p>
        </w:tc>
      </w:tr>
      <w:tr w:rsidR="005B0DB7" w:rsidRPr="005B0DB7" w14:paraId="5A8A06B1" w14:textId="77777777" w:rsidTr="001E310F">
        <w:trPr>
          <w:jc w:val="center"/>
        </w:trPr>
        <w:tc>
          <w:tcPr>
            <w:tcW w:w="1607" w:type="dxa"/>
            <w:shd w:val="clear" w:color="auto" w:fill="D9D9D9"/>
            <w:vAlign w:val="center"/>
          </w:tcPr>
          <w:p w14:paraId="10062393" w14:textId="77777777" w:rsidR="005B0DB7" w:rsidRPr="005B0DB7" w:rsidRDefault="005B0DB7" w:rsidP="005B0DB7">
            <w:pPr>
              <w:keepNext/>
              <w:keepLines/>
              <w:spacing w:after="0" w:line="240" w:lineRule="auto"/>
              <w:jc w:val="center"/>
              <w:rPr>
                <w:rFonts w:eastAsia="Times New Roman" w:cs="Times New Roman"/>
                <w:sz w:val="20"/>
                <w:szCs w:val="20"/>
                <w:lang w:eastAsia="en-US"/>
              </w:rPr>
            </w:pPr>
            <w:r w:rsidRPr="005B0DB7">
              <w:rPr>
                <w:rFonts w:eastAsia="Times New Roman" w:cs="Times New Roman"/>
                <w:sz w:val="20"/>
                <w:szCs w:val="20"/>
                <w:lang w:eastAsia="en-US"/>
              </w:rPr>
              <w:t>Overall 2015 Response Performance</w:t>
            </w:r>
          </w:p>
        </w:tc>
        <w:tc>
          <w:tcPr>
            <w:tcW w:w="1137" w:type="dxa"/>
            <w:shd w:val="clear" w:color="auto" w:fill="D9D9D9"/>
            <w:vAlign w:val="center"/>
          </w:tcPr>
          <w:p w14:paraId="568F74A6" w14:textId="77777777" w:rsidR="005B0DB7" w:rsidRPr="005B0DB7" w:rsidRDefault="005B0DB7" w:rsidP="005B0DB7">
            <w:pPr>
              <w:keepNext/>
              <w:keepLines/>
              <w:spacing w:after="0" w:line="240" w:lineRule="auto"/>
              <w:jc w:val="center"/>
              <w:rPr>
                <w:rFonts w:eastAsia="Times New Roman" w:cs="Times New Roman"/>
                <w:sz w:val="20"/>
                <w:szCs w:val="20"/>
                <w:lang w:eastAsia="en-US"/>
              </w:rPr>
            </w:pPr>
            <w:r w:rsidRPr="005B0DB7">
              <w:rPr>
                <w:rFonts w:eastAsia="Times New Roman" w:cs="Times New Roman"/>
                <w:sz w:val="20"/>
                <w:szCs w:val="20"/>
                <w:lang w:eastAsia="en-US"/>
              </w:rPr>
              <w:t>2:00</w:t>
            </w:r>
          </w:p>
        </w:tc>
        <w:tc>
          <w:tcPr>
            <w:tcW w:w="1293" w:type="dxa"/>
            <w:shd w:val="clear" w:color="auto" w:fill="D9D9D9"/>
            <w:vAlign w:val="center"/>
          </w:tcPr>
          <w:p w14:paraId="587AF1A0" w14:textId="77777777" w:rsidR="005B0DB7" w:rsidRPr="005B0DB7" w:rsidRDefault="005B0DB7" w:rsidP="005B0DB7">
            <w:pPr>
              <w:keepNext/>
              <w:keepLines/>
              <w:spacing w:after="0" w:line="240" w:lineRule="auto"/>
              <w:jc w:val="center"/>
              <w:rPr>
                <w:rFonts w:eastAsia="Times New Roman" w:cs="Times New Roman"/>
                <w:sz w:val="20"/>
                <w:szCs w:val="20"/>
                <w:lang w:eastAsia="en-US"/>
              </w:rPr>
            </w:pPr>
            <w:r w:rsidRPr="005B0DB7">
              <w:rPr>
                <w:rFonts w:eastAsia="Times New Roman" w:cs="Times New Roman"/>
                <w:sz w:val="20"/>
                <w:szCs w:val="20"/>
                <w:lang w:eastAsia="en-US"/>
              </w:rPr>
              <w:t>2:06</w:t>
            </w:r>
          </w:p>
        </w:tc>
        <w:tc>
          <w:tcPr>
            <w:tcW w:w="990" w:type="dxa"/>
            <w:shd w:val="clear" w:color="auto" w:fill="D9D9D9"/>
            <w:vAlign w:val="center"/>
          </w:tcPr>
          <w:p w14:paraId="7F94617C" w14:textId="77777777" w:rsidR="005B0DB7" w:rsidRPr="005B0DB7" w:rsidRDefault="005B0DB7" w:rsidP="005B0DB7">
            <w:pPr>
              <w:keepNext/>
              <w:keepLines/>
              <w:spacing w:after="0" w:line="240" w:lineRule="auto"/>
              <w:jc w:val="center"/>
              <w:rPr>
                <w:rFonts w:eastAsia="Times New Roman" w:cs="Times New Roman"/>
                <w:sz w:val="20"/>
                <w:szCs w:val="20"/>
                <w:lang w:eastAsia="en-US"/>
              </w:rPr>
            </w:pPr>
            <w:r w:rsidRPr="005B0DB7">
              <w:rPr>
                <w:rFonts w:eastAsia="Times New Roman" w:cs="Times New Roman"/>
                <w:sz w:val="20"/>
                <w:szCs w:val="20"/>
                <w:lang w:eastAsia="en-US"/>
              </w:rPr>
              <w:t>88%</w:t>
            </w:r>
          </w:p>
        </w:tc>
        <w:tc>
          <w:tcPr>
            <w:tcW w:w="1137" w:type="dxa"/>
            <w:shd w:val="clear" w:color="auto" w:fill="D9D9D9"/>
            <w:vAlign w:val="center"/>
          </w:tcPr>
          <w:p w14:paraId="7A6CD47E" w14:textId="77777777" w:rsidR="005B0DB7" w:rsidRPr="005B0DB7" w:rsidRDefault="005B0DB7" w:rsidP="005B0DB7">
            <w:pPr>
              <w:keepNext/>
              <w:keepLines/>
              <w:spacing w:after="0" w:line="240" w:lineRule="auto"/>
              <w:jc w:val="center"/>
              <w:rPr>
                <w:rFonts w:eastAsia="Times New Roman" w:cs="Times New Roman"/>
                <w:sz w:val="20"/>
                <w:szCs w:val="20"/>
                <w:lang w:eastAsia="en-US"/>
              </w:rPr>
            </w:pPr>
            <w:r w:rsidRPr="005B0DB7">
              <w:rPr>
                <w:rFonts w:eastAsia="Times New Roman" w:cs="Times New Roman"/>
                <w:sz w:val="20"/>
                <w:szCs w:val="20"/>
                <w:lang w:eastAsia="en-US"/>
              </w:rPr>
              <w:t>6:00</w:t>
            </w:r>
          </w:p>
        </w:tc>
        <w:tc>
          <w:tcPr>
            <w:tcW w:w="1293" w:type="dxa"/>
            <w:shd w:val="clear" w:color="auto" w:fill="D9D9D9"/>
            <w:vAlign w:val="center"/>
          </w:tcPr>
          <w:p w14:paraId="3C20EF1E" w14:textId="77777777" w:rsidR="005B0DB7" w:rsidRPr="005B0DB7" w:rsidRDefault="005B0DB7" w:rsidP="005B0DB7">
            <w:pPr>
              <w:keepNext/>
              <w:keepLines/>
              <w:spacing w:after="0" w:line="240" w:lineRule="auto"/>
              <w:jc w:val="center"/>
              <w:rPr>
                <w:rFonts w:eastAsia="Times New Roman" w:cs="Times New Roman"/>
                <w:sz w:val="20"/>
                <w:szCs w:val="20"/>
                <w:lang w:eastAsia="en-US"/>
              </w:rPr>
            </w:pPr>
            <w:r w:rsidRPr="005B0DB7">
              <w:rPr>
                <w:rFonts w:eastAsia="Times New Roman" w:cs="Times New Roman"/>
                <w:sz w:val="20"/>
                <w:szCs w:val="20"/>
                <w:lang w:eastAsia="en-US"/>
              </w:rPr>
              <w:t>6:02</w:t>
            </w:r>
          </w:p>
        </w:tc>
        <w:tc>
          <w:tcPr>
            <w:tcW w:w="1078" w:type="dxa"/>
            <w:shd w:val="clear" w:color="auto" w:fill="D9D9D9"/>
            <w:vAlign w:val="center"/>
          </w:tcPr>
          <w:p w14:paraId="568229CA" w14:textId="77777777" w:rsidR="005B0DB7" w:rsidRPr="005B0DB7" w:rsidRDefault="005B0DB7" w:rsidP="005B0DB7">
            <w:pPr>
              <w:keepNext/>
              <w:keepLines/>
              <w:spacing w:after="0" w:line="240" w:lineRule="auto"/>
              <w:jc w:val="center"/>
              <w:rPr>
                <w:rFonts w:eastAsia="Times New Roman" w:cs="Times New Roman"/>
                <w:sz w:val="20"/>
                <w:szCs w:val="20"/>
                <w:lang w:eastAsia="en-US"/>
              </w:rPr>
            </w:pPr>
            <w:r w:rsidRPr="005B0DB7">
              <w:rPr>
                <w:rFonts w:eastAsia="Times New Roman" w:cs="Times New Roman"/>
                <w:sz w:val="20"/>
                <w:szCs w:val="20"/>
                <w:lang w:eastAsia="en-US"/>
              </w:rPr>
              <w:t>89.8%</w:t>
            </w:r>
          </w:p>
        </w:tc>
      </w:tr>
    </w:tbl>
    <w:p w14:paraId="7C2FAC1C" w14:textId="77777777" w:rsidR="005B0DB7" w:rsidRPr="005B0DB7" w:rsidRDefault="005B0DB7" w:rsidP="005B0DB7">
      <w:pPr>
        <w:rPr>
          <w:rFonts w:eastAsia="Calibri" w:cs="Times New Roman"/>
        </w:rPr>
      </w:pPr>
    </w:p>
    <w:p w14:paraId="4BEA9905" w14:textId="77777777" w:rsidR="005B0DB7" w:rsidRPr="005B0DB7" w:rsidRDefault="005B0DB7" w:rsidP="005B0DB7">
      <w:pPr>
        <w:spacing w:after="200"/>
        <w:jc w:val="left"/>
        <w:rPr>
          <w:rFonts w:ascii="Cambria" w:eastAsia="Cambria" w:hAnsi="Cambria" w:cs="Times New Roman"/>
          <w:b/>
          <w:i/>
          <w:iCs/>
          <w:color w:val="A6A6A6"/>
        </w:rPr>
      </w:pPr>
      <w:r w:rsidRPr="005B0DB7">
        <w:rPr>
          <w:rFonts w:eastAsia="Calibri" w:cs="Times New Roman"/>
          <w:lang w:eastAsia="en-US"/>
        </w:rPr>
        <w:br w:type="page"/>
      </w:r>
    </w:p>
    <w:p w14:paraId="01FD2F8F" w14:textId="77777777" w:rsidR="005B0DB7" w:rsidRPr="005B0DB7" w:rsidRDefault="005B0DB7" w:rsidP="005B0DB7">
      <w:pPr>
        <w:keepNext/>
        <w:keepLines/>
        <w:spacing w:before="40" w:after="0"/>
        <w:jc w:val="left"/>
        <w:outlineLvl w:val="3"/>
        <w:rPr>
          <w:rFonts w:ascii="Cambria" w:eastAsia="Cambria" w:hAnsi="Cambria" w:cs="Times New Roman"/>
          <w:b/>
          <w:i/>
          <w:iCs/>
          <w:color w:val="A6A6A6"/>
        </w:rPr>
      </w:pPr>
      <w:r w:rsidRPr="005B0DB7">
        <w:rPr>
          <w:rFonts w:ascii="Cambria" w:eastAsia="Cambria" w:hAnsi="Cambria" w:cs="Times New Roman"/>
          <w:b/>
          <w:i/>
          <w:iCs/>
          <w:color w:val="A6A6A6"/>
        </w:rPr>
        <w:lastRenderedPageBreak/>
        <w:t>Short-term Strategies</w:t>
      </w:r>
    </w:p>
    <w:p w14:paraId="69163326" w14:textId="77777777" w:rsidR="005B0DB7" w:rsidRPr="005B0DB7" w:rsidRDefault="005B0DB7" w:rsidP="005B0DB7">
      <w:pPr>
        <w:rPr>
          <w:rFonts w:eastAsia="Cambria" w:cs="Times New Roman"/>
        </w:rPr>
      </w:pPr>
      <w:r w:rsidRPr="005B0DB7">
        <w:rPr>
          <w:rFonts w:eastAsia="Cambria" w:cs="Times New Roman"/>
        </w:rPr>
        <w:t>The short term strategies listed in this report are a compilation of the recommendations aimed at improving the current conditions of the Pasco Fire Department.  While the consulting team felt that PFD was a highly skilled, well managed and professional organization, there is always room for improvement.  The recommendations compiled in the current conditions section of the report are distributed among five categories.  The five categories, along with a brief definition and the number of recommendations in that category are as follows:</w:t>
      </w:r>
    </w:p>
    <w:p w14:paraId="13B52D79" w14:textId="77777777" w:rsidR="005B0DB7" w:rsidRPr="005B0DB7" w:rsidRDefault="005B0DB7" w:rsidP="005B0DB7">
      <w:pPr>
        <w:numPr>
          <w:ilvl w:val="0"/>
          <w:numId w:val="63"/>
        </w:numPr>
        <w:contextualSpacing/>
        <w:jc w:val="left"/>
        <w:rPr>
          <w:rFonts w:eastAsia="Cambria" w:cs="Times New Roman"/>
        </w:rPr>
      </w:pPr>
      <w:r w:rsidRPr="005B0DB7">
        <w:rPr>
          <w:rFonts w:eastAsia="Cambria" w:cs="Times New Roman"/>
        </w:rPr>
        <w:t>Priority 1 – Items Involving Immediate Internal Safety Concerns (0)</w:t>
      </w:r>
    </w:p>
    <w:p w14:paraId="289E3E52" w14:textId="77777777" w:rsidR="005B0DB7" w:rsidRPr="005B0DB7" w:rsidRDefault="005B0DB7" w:rsidP="005B0DB7">
      <w:pPr>
        <w:numPr>
          <w:ilvl w:val="0"/>
          <w:numId w:val="63"/>
        </w:numPr>
        <w:contextualSpacing/>
        <w:jc w:val="left"/>
        <w:rPr>
          <w:rFonts w:eastAsia="Cambria" w:cs="Times New Roman"/>
        </w:rPr>
      </w:pPr>
      <w:r w:rsidRPr="005B0DB7">
        <w:rPr>
          <w:rFonts w:eastAsia="Cambria" w:cs="Times New Roman"/>
        </w:rPr>
        <w:t>Priority 2 – Considerations That May Present Legal or Financial Exposure (1)</w:t>
      </w:r>
    </w:p>
    <w:p w14:paraId="59C98E94" w14:textId="77777777" w:rsidR="005B0DB7" w:rsidRPr="005B0DB7" w:rsidRDefault="005B0DB7" w:rsidP="005B0DB7">
      <w:pPr>
        <w:numPr>
          <w:ilvl w:val="0"/>
          <w:numId w:val="63"/>
        </w:numPr>
        <w:contextualSpacing/>
        <w:jc w:val="left"/>
        <w:rPr>
          <w:rFonts w:eastAsia="Cambria" w:cs="Times New Roman"/>
        </w:rPr>
      </w:pPr>
      <w:r w:rsidRPr="005B0DB7">
        <w:rPr>
          <w:rFonts w:eastAsia="Cambria" w:cs="Times New Roman"/>
        </w:rPr>
        <w:t>Priority 3 – Matters That Address a Service Delivery Issue (8)</w:t>
      </w:r>
    </w:p>
    <w:p w14:paraId="246FA5D9" w14:textId="77777777" w:rsidR="005B0DB7" w:rsidRPr="005B0DB7" w:rsidRDefault="005B0DB7" w:rsidP="005B0DB7">
      <w:pPr>
        <w:numPr>
          <w:ilvl w:val="0"/>
          <w:numId w:val="63"/>
        </w:numPr>
        <w:contextualSpacing/>
        <w:jc w:val="left"/>
        <w:rPr>
          <w:rFonts w:eastAsia="Cambria" w:cs="Times New Roman"/>
        </w:rPr>
      </w:pPr>
      <w:r w:rsidRPr="005B0DB7">
        <w:rPr>
          <w:rFonts w:eastAsia="Cambria" w:cs="Times New Roman"/>
        </w:rPr>
        <w:t>Priority 4 – Considerations to Enhance the Delivery of Services (20)</w:t>
      </w:r>
    </w:p>
    <w:p w14:paraId="6A3A46C1" w14:textId="77777777" w:rsidR="005B0DB7" w:rsidRPr="005B0DB7" w:rsidRDefault="005B0DB7" w:rsidP="005B0DB7">
      <w:pPr>
        <w:numPr>
          <w:ilvl w:val="0"/>
          <w:numId w:val="63"/>
        </w:numPr>
        <w:contextualSpacing/>
        <w:jc w:val="left"/>
        <w:rPr>
          <w:rFonts w:eastAsia="Cambria" w:cs="Times New Roman"/>
        </w:rPr>
      </w:pPr>
      <w:r w:rsidRPr="005B0DB7">
        <w:rPr>
          <w:rFonts w:eastAsia="Cambria" w:cs="Times New Roman"/>
        </w:rPr>
        <w:t>Priority 5 – An Important Thing to Do (17)</w:t>
      </w:r>
    </w:p>
    <w:p w14:paraId="58B93A8B" w14:textId="77777777" w:rsidR="005B0DB7" w:rsidRPr="005B0DB7" w:rsidRDefault="005B0DB7" w:rsidP="001259A2">
      <w:pPr>
        <w:keepNext/>
        <w:keepLines/>
        <w:spacing w:before="360" w:after="0"/>
        <w:jc w:val="left"/>
        <w:outlineLvl w:val="3"/>
        <w:rPr>
          <w:rFonts w:ascii="Cambria" w:eastAsia="Cambria" w:hAnsi="Cambria" w:cs="Times New Roman"/>
          <w:b/>
          <w:i/>
          <w:iCs/>
          <w:color w:val="A6A6A6"/>
        </w:rPr>
      </w:pPr>
      <w:r w:rsidRPr="005B0DB7">
        <w:rPr>
          <w:rFonts w:ascii="Cambria" w:eastAsia="Cambria" w:hAnsi="Cambria" w:cs="Times New Roman"/>
          <w:b/>
          <w:i/>
          <w:iCs/>
          <w:color w:val="A6A6A6"/>
        </w:rPr>
        <w:t>Mid-Term Strategies</w:t>
      </w:r>
    </w:p>
    <w:p w14:paraId="5507DDEE" w14:textId="77777777" w:rsidR="005B0DB7" w:rsidRPr="005B0DB7" w:rsidRDefault="005B0DB7" w:rsidP="005B0DB7">
      <w:pPr>
        <w:rPr>
          <w:rFonts w:eastAsia="Cambria" w:cs="Times New Roman"/>
        </w:rPr>
      </w:pPr>
      <w:r w:rsidRPr="005B0DB7">
        <w:rPr>
          <w:rFonts w:eastAsia="Cambria" w:cs="Times New Roman"/>
        </w:rPr>
        <w:t>The mid-term strategies are progressive enhancements of the current conditions and net improvements to the status quo.  Many will likely require policy consideration and budget allocation.</w:t>
      </w:r>
    </w:p>
    <w:p w14:paraId="29D9E1D5" w14:textId="77777777" w:rsidR="005B0DB7" w:rsidRPr="005B0DB7" w:rsidRDefault="005B0DB7" w:rsidP="005B0DB7">
      <w:pPr>
        <w:spacing w:after="0"/>
        <w:jc w:val="left"/>
        <w:rPr>
          <w:rFonts w:eastAsia="Calibri" w:cs="Times New Roman"/>
          <w:b/>
          <w:lang w:eastAsia="en-US"/>
        </w:rPr>
      </w:pPr>
      <w:r w:rsidRPr="005B0DB7">
        <w:rPr>
          <w:rFonts w:eastAsia="Calibri" w:cs="Times New Roman"/>
          <w:b/>
          <w:lang w:eastAsia="en-US"/>
        </w:rPr>
        <w:t xml:space="preserve">Training Center/Training Manual </w:t>
      </w:r>
    </w:p>
    <w:p w14:paraId="26B97136" w14:textId="77777777" w:rsidR="005B0DB7" w:rsidRPr="005B0DB7" w:rsidRDefault="005B0DB7" w:rsidP="005B0DB7">
      <w:pPr>
        <w:rPr>
          <w:rFonts w:eastAsia="Calibri" w:cs="Times New Roman"/>
          <w:lang w:eastAsia="en-US"/>
        </w:rPr>
      </w:pPr>
      <w:r w:rsidRPr="005B0DB7">
        <w:rPr>
          <w:rFonts w:eastAsia="Calibri" w:cs="Times New Roman"/>
          <w:lang w:eastAsia="en-US"/>
        </w:rPr>
        <w:t xml:space="preserve">Fire departments in Benton and Franklin counties historically have unilaterally selected training manuals from a variety of options or developed their own, resulting in diverse training efforts and on-scene performance which varied within the region.  The creation and application of a single standardized training manual will provide for a more consistent training, better on-scene coordination, and improved firefighter safety.  With firefighters of Benton and Franklin County fire departments trained in the same techniques, responders to emergency incidents can have the confidence that they will be prepared to work effectively as a team.  </w:t>
      </w:r>
    </w:p>
    <w:p w14:paraId="3338ED60" w14:textId="77777777" w:rsidR="005B0DB7" w:rsidRPr="005B0DB7" w:rsidRDefault="005B0DB7" w:rsidP="005B0DB7">
      <w:pPr>
        <w:rPr>
          <w:rFonts w:eastAsia="Calibri" w:cs="Times New Roman"/>
          <w:lang w:eastAsia="en-US"/>
        </w:rPr>
      </w:pPr>
      <w:r w:rsidRPr="005B0DB7">
        <w:rPr>
          <w:rFonts w:eastAsia="Calibri" w:cs="Times New Roman"/>
          <w:lang w:eastAsia="en-US"/>
        </w:rPr>
        <w:t>ESCI recommends that all fire agencies in Benton and Franklin counties develop and adopt common training standards as well as a single training manual.  Currently, the Tri-Cities fire departments are in the infancy stages of developing a training manual for adoption by all of the agencies.  To expedite the process, ESCI recommends that material from accredited existing model training manuals, hose evolutions, and standard operating guidelines be adopted, with modifications as necessary for local conditions.</w:t>
      </w:r>
    </w:p>
    <w:p w14:paraId="29F73DAA" w14:textId="77777777" w:rsidR="005B0DB7" w:rsidRPr="005B0DB7" w:rsidRDefault="005B0DB7" w:rsidP="005B0DB7">
      <w:pPr>
        <w:rPr>
          <w:rFonts w:eastAsia="Calibri" w:cs="Times New Roman"/>
          <w:lang w:eastAsia="en-US"/>
        </w:rPr>
      </w:pPr>
      <w:r w:rsidRPr="005B0DB7">
        <w:rPr>
          <w:rFonts w:eastAsia="Calibri" w:cs="Times New Roman"/>
          <w:lang w:eastAsia="en-US"/>
        </w:rPr>
        <w:t xml:space="preserve">PFD has inadequate facilities to conduct training. Training facilities should offer a controlled and safe environment where simulations can develop and test the skill sets of emergency workers.  Training involves individual, company, and multi company skills development in evolutions, the operation of firefighting equipment and apparatus. </w:t>
      </w:r>
    </w:p>
    <w:p w14:paraId="0D0568AB" w14:textId="77777777" w:rsidR="005B0DB7" w:rsidRPr="005B0DB7" w:rsidRDefault="005B0DB7" w:rsidP="005B0DB7">
      <w:pPr>
        <w:rPr>
          <w:rFonts w:eastAsia="Calibri" w:cs="Times New Roman"/>
          <w:lang w:eastAsia="en-US"/>
        </w:rPr>
      </w:pPr>
      <w:r w:rsidRPr="005B0DB7">
        <w:rPr>
          <w:rFonts w:eastAsia="Calibri" w:cs="Times New Roman"/>
          <w:lang w:eastAsia="en-US"/>
        </w:rPr>
        <w:t xml:space="preserve">Best practices suggest that emergency workers have regular access to training grounds for repetitive drills and to develop new skills.  PFD has contracted with WWCFD #5 for use of the training center in Burbank and has been granted rights to use the City of Kennewick’s training facilities, however the arrangement has constraints and limitations to their use.  Without a cooperative effort, PFD has used </w:t>
      </w:r>
      <w:r w:rsidRPr="005B0DB7">
        <w:rPr>
          <w:rFonts w:eastAsia="Calibri" w:cs="Times New Roman"/>
          <w:lang w:eastAsia="en-US"/>
        </w:rPr>
        <w:lastRenderedPageBreak/>
        <w:t xml:space="preserve">whatever space is available for apparatus operator skills training, practicing hose evolutions, and other manipulative undertakings.  </w:t>
      </w:r>
    </w:p>
    <w:p w14:paraId="238D2DA8" w14:textId="77777777" w:rsidR="005B0DB7" w:rsidRPr="005B0DB7" w:rsidRDefault="005B0DB7" w:rsidP="005B0DB7">
      <w:pPr>
        <w:rPr>
          <w:rFonts w:eastAsia="Calibri" w:cs="Times New Roman"/>
          <w:lang w:eastAsia="en-US"/>
        </w:rPr>
      </w:pPr>
      <w:r w:rsidRPr="005B0DB7">
        <w:rPr>
          <w:rFonts w:eastAsia="Calibri" w:cs="Times New Roman"/>
          <w:lang w:eastAsia="en-US"/>
        </w:rPr>
        <w:t xml:space="preserve">ESCI recommends that at a minimum the three municipal fire departments cooperate on fire training facilities.  Ideally a cooperative venture would involve all Benton and Franklin County emergency service providers.  It is financially unrealistic to expect that every fire department in the area build and maintain an independent training facility.  </w:t>
      </w:r>
    </w:p>
    <w:p w14:paraId="7A1D4F15" w14:textId="77777777" w:rsidR="005B0DB7" w:rsidRPr="005B0DB7" w:rsidRDefault="005B0DB7" w:rsidP="005B0DB7">
      <w:pPr>
        <w:spacing w:after="0"/>
        <w:jc w:val="left"/>
        <w:rPr>
          <w:rFonts w:eastAsia="Calibri" w:cs="Times New Roman"/>
          <w:b/>
          <w:lang w:eastAsia="en-US"/>
        </w:rPr>
      </w:pPr>
      <w:r w:rsidRPr="005B0DB7">
        <w:rPr>
          <w:rFonts w:eastAsia="Calibri" w:cs="Times New Roman"/>
          <w:b/>
          <w:lang w:eastAsia="en-US"/>
        </w:rPr>
        <w:t>Shared System Status Manager</w:t>
      </w:r>
    </w:p>
    <w:p w14:paraId="516FDCA7" w14:textId="77777777" w:rsidR="005B0DB7" w:rsidRPr="005B0DB7" w:rsidRDefault="005B0DB7" w:rsidP="005B0DB7">
      <w:pPr>
        <w:rPr>
          <w:rFonts w:eastAsia="Calibri" w:cs="Times New Roman"/>
          <w:lang w:eastAsia="en-US"/>
        </w:rPr>
      </w:pPr>
      <w:r w:rsidRPr="005B0DB7">
        <w:rPr>
          <w:rFonts w:eastAsia="Calibri" w:cs="Times New Roman"/>
          <w:lang w:eastAsia="en-US"/>
        </w:rPr>
        <w:t>The three municipal fire departments that make up the Tri-Cities each perform a necessary but redundant function as it relates to EMS response and medical transportation. Those redundant activities include managing and maintaining balanced coverage of medic units to ensure rapid response time and immediate availability. The Tri-Cities fire departments have cooperated with each other on various EMS functions, including joint protocols, a shared EMS Medical Program Director, and EMS training activities.  ESCI believes that it is in the best interest of the three fire departments to have a single, shared individual to manage EMS resources without regard to boundary.  While it would be fiscally unfeasible for each fire department to employ a 24-hour EMS supervisor (System Status Manager), it is practical for them to collectively employ personnel for this function.</w:t>
      </w:r>
    </w:p>
    <w:p w14:paraId="4B70CE9B" w14:textId="77777777" w:rsidR="005B0DB7" w:rsidRPr="005B0DB7" w:rsidRDefault="005B0DB7" w:rsidP="005B0DB7">
      <w:pPr>
        <w:rPr>
          <w:rFonts w:eastAsia="Calibri" w:cs="Times New Roman"/>
          <w:lang w:eastAsia="en-US"/>
        </w:rPr>
      </w:pPr>
      <w:r w:rsidRPr="005B0DB7">
        <w:rPr>
          <w:rFonts w:eastAsia="Calibri" w:cs="Times New Roman"/>
          <w:lang w:eastAsia="en-US"/>
        </w:rPr>
        <w:t xml:space="preserve">This System Status Manager (SSM) can use their advanced paramedic training and leadership skills to oversee paramedics, monitor and coordinate resources, provide on-scene management at EMS incidents, and maintain a safe working environment.  The SSM assist the Medical Program Director with personnel training and develop work improvement plans.  Other duties include coordinating EMS unit deployment, providing backup, and promoting positive customer relations.  They interact with the Medical Program Director, receiving hospitals, battalion chiefs, medical officers, and dispatch centers to intervene and solve problems or answer questions.  </w:t>
      </w:r>
    </w:p>
    <w:p w14:paraId="41B2E547" w14:textId="77777777" w:rsidR="005B0DB7" w:rsidRPr="005B0DB7" w:rsidRDefault="005B0DB7" w:rsidP="005B0DB7">
      <w:pPr>
        <w:spacing w:after="0"/>
        <w:jc w:val="left"/>
        <w:rPr>
          <w:rFonts w:eastAsia="Calibri" w:cs="Times New Roman"/>
          <w:b/>
          <w:lang w:eastAsia="en-US"/>
        </w:rPr>
      </w:pPr>
      <w:r w:rsidRPr="005B0DB7">
        <w:rPr>
          <w:rFonts w:eastAsia="Calibri" w:cs="Times New Roman"/>
          <w:b/>
          <w:lang w:eastAsia="en-US"/>
        </w:rPr>
        <w:t>Develop a Combined Dispatch Center for Benton and Franklin Counties</w:t>
      </w:r>
    </w:p>
    <w:p w14:paraId="0712ADE3" w14:textId="77777777" w:rsidR="005B0DB7" w:rsidRPr="005B0DB7" w:rsidRDefault="005B0DB7" w:rsidP="005B0DB7">
      <w:pPr>
        <w:rPr>
          <w:rFonts w:eastAsia="Calibri" w:cs="Times New Roman"/>
          <w:lang w:eastAsia="en-US"/>
        </w:rPr>
      </w:pPr>
      <w:r w:rsidRPr="005B0DB7">
        <w:rPr>
          <w:rFonts w:eastAsia="Calibri" w:cs="Times New Roman"/>
          <w:lang w:eastAsia="en-US"/>
        </w:rPr>
        <w:t>During periods of high call volume, EMS resources are essentially depleted.  On one morning in April 2016, eight medic units were responding, transporting, or at the scene of a medical incident at the same time in the Tri-Cities area.  This illustration points out the need for coordinating fire and EMS response.  One obstacle to establishing a seamless regional EMS response is the two Public Safety Answering Points (PSAPs).  This was also a concern echoed by those interviewed by ESCI.  Fire, hazardous materials, water rescue, and technical rescue responses consistently require responses from fire agencies from both counties, yet are handled by two PSAPs that have difficulty communicating and coordinating with each other.</w:t>
      </w:r>
    </w:p>
    <w:p w14:paraId="72A58FD0" w14:textId="77777777" w:rsidR="005B0DB7" w:rsidRPr="005B0DB7" w:rsidRDefault="005B0DB7" w:rsidP="005B0DB7">
      <w:pPr>
        <w:rPr>
          <w:rFonts w:eastAsia="Calibri" w:cs="Times New Roman"/>
          <w:lang w:eastAsia="en-US"/>
        </w:rPr>
      </w:pPr>
      <w:r w:rsidRPr="005B0DB7">
        <w:rPr>
          <w:rFonts w:eastAsia="Calibri" w:cs="Times New Roman"/>
          <w:lang w:eastAsia="en-US"/>
        </w:rPr>
        <w:t>Currently, the Franklin and Benton County PSAPs are unable to automatically transfer calls to each other and instead rely on dialing a seven-digit phone number and transferring information verbally.  This outdated communication method elongates the time to dispatch emergency calls and can lead to missing information or lost calls.  Existing information technology (IT) resources lack the capability to automatically transfer 9-1-1 calls or automatically requesting resources from neighboring agencies.</w:t>
      </w:r>
    </w:p>
    <w:p w14:paraId="548B2129" w14:textId="77777777" w:rsidR="005B0DB7" w:rsidRPr="005B0DB7" w:rsidRDefault="005B0DB7" w:rsidP="005B0DB7">
      <w:pPr>
        <w:rPr>
          <w:rFonts w:eastAsia="Calibri" w:cs="Times New Roman"/>
          <w:lang w:eastAsia="en-US"/>
        </w:rPr>
      </w:pPr>
      <w:r w:rsidRPr="005B0DB7">
        <w:rPr>
          <w:rFonts w:eastAsia="Calibri" w:cs="Times New Roman"/>
          <w:lang w:eastAsia="en-US"/>
        </w:rPr>
        <w:lastRenderedPageBreak/>
        <w:t>Although consolidation of dispatch functions for Benton and Franklin Counties is almost universally supported and has been discussed for years, little progress towards a merger or consolidation has occurred.  ESCI believes that a critical element of delivering timely, effective and efficient emergency services is to provide timely, effective and efficient communications and coordination.  This is not currently being performed due in large part to the two PSAP system.  Consolidating the two systems into one and taking advantage of new technologies will enhance regional emergency services perhaps more than any other single action.</w:t>
      </w:r>
    </w:p>
    <w:p w14:paraId="788412CF" w14:textId="77777777" w:rsidR="005B0DB7" w:rsidRPr="005B0DB7" w:rsidRDefault="005B0DB7" w:rsidP="005B0DB7">
      <w:pPr>
        <w:spacing w:after="0"/>
        <w:jc w:val="left"/>
        <w:rPr>
          <w:rFonts w:eastAsia="Calibri" w:cs="Times New Roman"/>
          <w:b/>
          <w:lang w:eastAsia="en-US"/>
        </w:rPr>
      </w:pPr>
      <w:r w:rsidRPr="005B0DB7">
        <w:rPr>
          <w:rFonts w:eastAsia="Calibri" w:cs="Times New Roman"/>
          <w:b/>
          <w:lang w:eastAsia="en-US"/>
        </w:rPr>
        <w:t>Peak Activity Units</w:t>
      </w:r>
    </w:p>
    <w:p w14:paraId="7DD28522" w14:textId="77777777" w:rsidR="005B0DB7" w:rsidRPr="005B0DB7" w:rsidRDefault="005B0DB7" w:rsidP="005B0DB7">
      <w:pPr>
        <w:rPr>
          <w:rFonts w:eastAsia="Calibri" w:cs="Times New Roman"/>
          <w:lang w:eastAsia="en-US"/>
        </w:rPr>
      </w:pPr>
      <w:r w:rsidRPr="005B0DB7">
        <w:rPr>
          <w:rFonts w:eastAsia="Calibri" w:cs="Times New Roman"/>
          <w:lang w:eastAsia="en-US"/>
        </w:rPr>
        <w:t xml:space="preserve">Staffing is typically a fire agency’s single most expensive resource.  A significant factor that drive cost are the 24-hour nature of the fire service demand. The rationale for staffing and deploying in this manner is the unpredictable nature of emergencies.  Once a base emergency response capability is achieved throughout the 24-hour cycle, however, additional capacity can be gained with a more flexibly staffed and deployed model.  </w:t>
      </w:r>
    </w:p>
    <w:p w14:paraId="104A65F6" w14:textId="77777777" w:rsidR="005B0DB7" w:rsidRPr="005B0DB7" w:rsidRDefault="005B0DB7" w:rsidP="005B0DB7">
      <w:pPr>
        <w:rPr>
          <w:rFonts w:eastAsia="Calibri" w:cs="Times New Roman"/>
          <w:lang w:eastAsia="en-US"/>
        </w:rPr>
      </w:pPr>
      <w:r w:rsidRPr="005B0DB7">
        <w:rPr>
          <w:rFonts w:eastAsia="Calibri" w:cs="Times New Roman"/>
          <w:lang w:eastAsia="en-US"/>
        </w:rPr>
        <w:t xml:space="preserve">This efficient and effective model includes resources which augment the traditional deployment of response resources.  This flexible unit follows the observable trends in emergency calls for service (demand) which dictates to a significant degree the distribution of that flexible resource. Implementing this flexible unit reduces response times where demand is high or when prescheduled vacancies (i.e., training) occur. These flexible resources (Peak Activity Units, or PAUs) are deployed in a manner that mirrors the ebb and flow of emergency demand. </w:t>
      </w:r>
    </w:p>
    <w:p w14:paraId="1136448B" w14:textId="77777777" w:rsidR="005B0DB7" w:rsidRPr="005B0DB7" w:rsidRDefault="005B0DB7" w:rsidP="005B0DB7">
      <w:pPr>
        <w:rPr>
          <w:rFonts w:eastAsia="Calibri" w:cs="Times New Roman"/>
          <w:lang w:eastAsia="en-US"/>
        </w:rPr>
      </w:pPr>
      <w:r w:rsidRPr="005B0DB7">
        <w:rPr>
          <w:rFonts w:eastAsia="Calibri" w:cs="Times New Roman"/>
          <w:lang w:eastAsia="en-US"/>
        </w:rPr>
        <w:t xml:space="preserve">PAUs are typically staffed and deployed during the most statistically busy times of the day and week, which make the unit less costly and more flexibly deployed, both by time of day and geographically.  PAUs can be staffed with a medical crew if that is its primary purpose, with a fire suppression crew if that is tis primary purpose, or both.  </w:t>
      </w:r>
    </w:p>
    <w:p w14:paraId="69F0487C" w14:textId="77777777" w:rsidR="005B0DB7" w:rsidRPr="005B0DB7" w:rsidRDefault="005B0DB7" w:rsidP="005B0DB7">
      <w:pPr>
        <w:rPr>
          <w:rFonts w:eastAsia="Calibri" w:cs="Times New Roman"/>
          <w:lang w:eastAsia="en-US"/>
        </w:rPr>
      </w:pPr>
      <w:r w:rsidRPr="005B0DB7">
        <w:rPr>
          <w:rFonts w:eastAsia="Calibri" w:cs="Times New Roman"/>
          <w:lang w:eastAsia="en-US"/>
        </w:rPr>
        <w:t xml:space="preserve">Regardless of staff capability, the staff can be obtained by hiring new personnel, by using callback crews on overtime, or converting a regularly assigned crew to a PAU.  Staffing of a PAU should not be done through the use of cross-staffing (thereby taking a critical resource out of service), as it depletes the core resources and reduces agency capability. </w:t>
      </w:r>
    </w:p>
    <w:p w14:paraId="42199B88" w14:textId="77777777" w:rsidR="005B0DB7" w:rsidRPr="005B0DB7" w:rsidRDefault="005B0DB7" w:rsidP="005B0DB7">
      <w:pPr>
        <w:rPr>
          <w:rFonts w:eastAsia="Calibri" w:cs="Times New Roman"/>
          <w:lang w:eastAsia="en-US"/>
        </w:rPr>
      </w:pPr>
      <w:r w:rsidRPr="005B0DB7">
        <w:rPr>
          <w:rFonts w:eastAsia="Calibri" w:cs="Times New Roman"/>
          <w:lang w:eastAsia="en-US"/>
        </w:rPr>
        <w:t xml:space="preserve">PAUs are not only assigned as an additional resource based on statistically busy times and locations. They can also be used as an incremental enhancement to service growth, to manage gaps in coverage (such as training activities), and could even be cooperatively staffed with a neighboring agency(s). Adding PAUs as an adjunct to existing staffing patterns adds flexibility to fire department emergency operations.  </w:t>
      </w:r>
    </w:p>
    <w:p w14:paraId="6B708C1E" w14:textId="77777777" w:rsidR="005B0DB7" w:rsidRPr="005B0DB7" w:rsidRDefault="005B0DB7" w:rsidP="005B0DB7">
      <w:pPr>
        <w:rPr>
          <w:rFonts w:eastAsia="Calibri" w:cs="Times New Roman"/>
          <w:lang w:eastAsia="en-US"/>
        </w:rPr>
      </w:pPr>
      <w:r w:rsidRPr="005B0DB7">
        <w:rPr>
          <w:rFonts w:eastAsia="Calibri" w:cs="Times New Roman"/>
          <w:lang w:eastAsia="en-US"/>
        </w:rPr>
        <w:t xml:space="preserve">ESCI recommends PFD evaluates the potential benefits of establishing a PAU jointly with its neighbors within the Tri-Cities area. If this configuration is deemed mutually beneficial, discussions should ensue with interested parties to implement this unit and share in the costs of operating the unit.  If not deemed mutually beneficial, PFD should consider implementing a PAU by itself to be operated within the Pasco service area. </w:t>
      </w:r>
    </w:p>
    <w:p w14:paraId="57BC4153" w14:textId="77777777" w:rsidR="005B0DB7" w:rsidRPr="005B0DB7" w:rsidRDefault="005B0DB7" w:rsidP="005B0DB7">
      <w:pPr>
        <w:keepNext/>
        <w:keepLines/>
        <w:spacing w:after="0"/>
        <w:jc w:val="left"/>
        <w:rPr>
          <w:rFonts w:eastAsia="Calibri" w:cs="Times New Roman"/>
          <w:b/>
          <w:lang w:eastAsia="en-US"/>
        </w:rPr>
      </w:pPr>
      <w:r w:rsidRPr="005B0DB7">
        <w:rPr>
          <w:rFonts w:eastAsia="Calibri" w:cs="Times New Roman"/>
          <w:b/>
          <w:lang w:eastAsia="en-US"/>
        </w:rPr>
        <w:lastRenderedPageBreak/>
        <w:t>Alternate Response Units</w:t>
      </w:r>
    </w:p>
    <w:p w14:paraId="6C22F2AE" w14:textId="77777777" w:rsidR="005B0DB7" w:rsidRPr="005B0DB7" w:rsidRDefault="005B0DB7" w:rsidP="005B0DB7">
      <w:pPr>
        <w:rPr>
          <w:rFonts w:eastAsia="Calibri" w:cs="Times New Roman"/>
          <w:lang w:eastAsia="en-US"/>
        </w:rPr>
      </w:pPr>
      <w:r w:rsidRPr="005B0DB7">
        <w:rPr>
          <w:rFonts w:eastAsia="Calibri" w:cs="Times New Roman"/>
          <w:lang w:eastAsia="en-US"/>
        </w:rPr>
        <w:t xml:space="preserve">Non-emergent calls for service represent a drain on emergency service capability throughout the United States.  A more cost effective and efficient model should be implemented, whose primary mission is focused on non-emergency, lower acuity emergency medical calls.  Its purpose is to keep the primary fleet of emergency response vehicles and crews in service and available for the higher acuity, true emergency calls.  Tualatin Valley Fire &amp; Rescue (TVF&amp;R) in Washington County, Oregon, implemented a 12-month pilot of this program in 2011.  The agency experienced positive results, so TVF&amp;R permanently incorporated the units into its daily operation. </w:t>
      </w:r>
    </w:p>
    <w:p w14:paraId="13C4DBC6" w14:textId="77777777" w:rsidR="005B0DB7" w:rsidRPr="005B0DB7" w:rsidRDefault="005B0DB7" w:rsidP="005B0DB7">
      <w:pPr>
        <w:rPr>
          <w:rFonts w:eastAsia="Calibri" w:cs="Times New Roman"/>
          <w:lang w:eastAsia="en-US"/>
        </w:rPr>
      </w:pPr>
      <w:r w:rsidRPr="005B0DB7">
        <w:rPr>
          <w:rFonts w:eastAsia="Calibri" w:cs="Times New Roman"/>
          <w:lang w:eastAsia="en-US"/>
        </w:rPr>
        <w:t xml:space="preserve">The premise behind the unit is to reduce the expensive staffing and vehicle response to likely non-life-threatening calls for service.  The units are sport utility vehicles, staffed by one Firefighter/Paramedic.  The units are dispatched according to a protocol used by the dispatch centers, which medically triages the calling party.  </w:t>
      </w:r>
    </w:p>
    <w:p w14:paraId="022FF767" w14:textId="77777777" w:rsidR="005B0DB7" w:rsidRPr="005B0DB7" w:rsidRDefault="005B0DB7" w:rsidP="005B0DB7">
      <w:pPr>
        <w:rPr>
          <w:rFonts w:eastAsia="Calibri" w:cs="Times New Roman"/>
          <w:lang w:eastAsia="en-US"/>
        </w:rPr>
      </w:pPr>
      <w:r w:rsidRPr="005B0DB7">
        <w:rPr>
          <w:rFonts w:eastAsia="Calibri" w:cs="Times New Roman"/>
          <w:lang w:eastAsia="en-US"/>
        </w:rPr>
        <w:t xml:space="preserve">ARUs respond to lower acuity call types.  In TVF&amp;R, the ARUs also respond to minor non-medical calls such as lockouts, smoke detector problems, and burning complaint investigations.  The four TVF&amp;R ARUs deployed during the pilot responded to 2,134 incidents in 12 months, which represented 7.2 percent of the agency’s total call volume for that year.   </w:t>
      </w:r>
    </w:p>
    <w:p w14:paraId="0532CDF0" w14:textId="77777777" w:rsidR="005B0DB7" w:rsidRPr="005B0DB7" w:rsidRDefault="005B0DB7" w:rsidP="005B0DB7">
      <w:pPr>
        <w:rPr>
          <w:rFonts w:eastAsia="Calibri" w:cs="Times New Roman"/>
          <w:lang w:eastAsia="en-US"/>
        </w:rPr>
      </w:pPr>
      <w:r w:rsidRPr="005B0DB7">
        <w:rPr>
          <w:rFonts w:eastAsia="Calibri" w:cs="Times New Roman"/>
          <w:lang w:eastAsia="en-US"/>
        </w:rPr>
        <w:t xml:space="preserve">It is important to understand, however, that ARUs do not provide recognized credit through the Washington Surveying and Rating Bureau. Emergency medical services response capability is not evaluated by WSRB since it is focused on property conservation and property risk. However, response time and unit reliability are improved by the use of ARUs, and the Spokane Fire Department, who also has recently implemented ARUs stated that, “…the public perception of the program has been overwhelmingly supportive and accepted throughout the community as simply, ‘smart government’”. </w:t>
      </w:r>
    </w:p>
    <w:p w14:paraId="0913276A" w14:textId="77777777" w:rsidR="005B0DB7" w:rsidRPr="005B0DB7" w:rsidRDefault="005B0DB7" w:rsidP="005B0DB7">
      <w:pPr>
        <w:spacing w:after="0"/>
        <w:jc w:val="left"/>
        <w:rPr>
          <w:rFonts w:eastAsia="Calibri" w:cs="Times New Roman"/>
          <w:b/>
          <w:lang w:eastAsia="en-US"/>
        </w:rPr>
      </w:pPr>
      <w:r w:rsidRPr="005B0DB7">
        <w:rPr>
          <w:rFonts w:eastAsia="Calibri" w:cs="Times New Roman"/>
          <w:b/>
          <w:lang w:eastAsia="en-US"/>
        </w:rPr>
        <w:t>Staffing Increases</w:t>
      </w:r>
    </w:p>
    <w:p w14:paraId="3EDBD2F5" w14:textId="77777777" w:rsidR="005B0DB7" w:rsidRPr="005B0DB7" w:rsidRDefault="005B0DB7" w:rsidP="005B0DB7">
      <w:pPr>
        <w:rPr>
          <w:rFonts w:eastAsia="Cambria" w:cs="Times New Roman"/>
        </w:rPr>
      </w:pPr>
      <w:r w:rsidRPr="005B0DB7">
        <w:rPr>
          <w:rFonts w:eastAsia="Cambria" w:cs="Times New Roman"/>
        </w:rPr>
        <w:t xml:space="preserve">The PFD is on the low end of the spectrum for administrative staffing for municipalities its size as a ratio to line personnel.  There has been concern about the assistant chief’s position not being appointed as a regular position.  This leads to instability and a lack of clarity administratively.  This is a critical position in the management team and must be solidified.  </w:t>
      </w:r>
    </w:p>
    <w:p w14:paraId="1238DA33" w14:textId="77777777" w:rsidR="005B0DB7" w:rsidRPr="005B0DB7" w:rsidRDefault="005B0DB7" w:rsidP="005B0DB7">
      <w:pPr>
        <w:rPr>
          <w:rFonts w:eastAsia="Cambria" w:cs="Times New Roman"/>
        </w:rPr>
      </w:pPr>
      <w:r w:rsidRPr="005B0DB7">
        <w:rPr>
          <w:rFonts w:eastAsia="Cambria" w:cs="Times New Roman"/>
        </w:rPr>
        <w:t>The line staffing does not meet national standards and, more significantly, do not meet state or local norms.  Two-person engine companies, augmented by a two-person medic unit (if available), creates an unreliable staff deployment for structure fires and therefore places a substantial burden on responders during emergencies.  ESCI recommends that the City of Pasco follow a plan of ramping up staffing in the fire department over successive years.  This improves incident safety, reduces worker fatigue, and increases the likelihood of PFD receiving a Class 4 rating from the Washington Surveying and Rating Bureau.</w:t>
      </w:r>
    </w:p>
    <w:p w14:paraId="2A179744" w14:textId="77777777" w:rsidR="005B0DB7" w:rsidRPr="005B0DB7" w:rsidRDefault="005B0DB7" w:rsidP="005B0DB7">
      <w:pPr>
        <w:rPr>
          <w:rFonts w:eastAsia="Cambria" w:cs="Times New Roman"/>
        </w:rPr>
      </w:pPr>
      <w:r w:rsidRPr="005B0DB7">
        <w:rPr>
          <w:rFonts w:eastAsia="Cambria" w:cs="Times New Roman"/>
        </w:rPr>
        <w:t xml:space="preserve">It should be the goal of PFD to achieve three-person engine companies and two-person ambulances, discontinuing the practice of cross-staffing these two critical pieces of equipment.  The cross-staffing of critical first response units creates a routine response compromise.  The cross-staffing of brush units </w:t>
      </w:r>
      <w:r w:rsidRPr="005B0DB7">
        <w:rPr>
          <w:rFonts w:eastAsia="Cambria" w:cs="Times New Roman"/>
        </w:rPr>
        <w:lastRenderedPageBreak/>
        <w:t>(type 6 engines) or other support units is, however, an efficient practice to follow.  As Unit Hour Utilization increases for the medic units, the urgency becomes greater to separate these two assets from required tandem responses.</w:t>
      </w:r>
    </w:p>
    <w:p w14:paraId="6612E324" w14:textId="77777777" w:rsidR="005B0DB7" w:rsidRPr="005B0DB7" w:rsidRDefault="005B0DB7" w:rsidP="005B0DB7">
      <w:pPr>
        <w:spacing w:after="0"/>
        <w:jc w:val="left"/>
        <w:rPr>
          <w:rFonts w:eastAsia="Calibri" w:cs="Times New Roman"/>
          <w:b/>
          <w:lang w:eastAsia="en-US"/>
        </w:rPr>
      </w:pPr>
      <w:r w:rsidRPr="005B0DB7">
        <w:rPr>
          <w:rFonts w:eastAsia="Calibri" w:cs="Times New Roman"/>
          <w:b/>
          <w:lang w:eastAsia="en-US"/>
        </w:rPr>
        <w:t>Logistics Center</w:t>
      </w:r>
    </w:p>
    <w:p w14:paraId="7DA0DB4E" w14:textId="77777777" w:rsidR="005B0DB7" w:rsidRPr="005B0DB7" w:rsidRDefault="005B0DB7" w:rsidP="005B0DB7">
      <w:pPr>
        <w:outlineLvl w:val="4"/>
        <w:rPr>
          <w:rFonts w:eastAsia="Times New Roman" w:cs="Times New Roman"/>
          <w:lang w:eastAsia="en-US"/>
        </w:rPr>
      </w:pPr>
      <w:r w:rsidRPr="005B0DB7">
        <w:rPr>
          <w:rFonts w:eastAsia="Times New Roman" w:cs="Times New Roman"/>
          <w:lang w:eastAsia="en-US"/>
        </w:rPr>
        <w:t xml:space="preserve">PFD sits in an urbanized core area where inefficient duplication exists as each of the municipal fire departments which make up the Tri-Cities provides logistical support to keep their assets in operational readiness and ensures that enough supplies, tools, and equipment are available.  These siloed systems lend themselves to a regional approach.  </w:t>
      </w:r>
    </w:p>
    <w:p w14:paraId="1F0A2983" w14:textId="77777777" w:rsidR="005B0DB7" w:rsidRPr="005B0DB7" w:rsidRDefault="005B0DB7" w:rsidP="005B0DB7">
      <w:pPr>
        <w:outlineLvl w:val="4"/>
        <w:rPr>
          <w:rFonts w:eastAsia="Times New Roman" w:cs="Times New Roman"/>
          <w:lang w:eastAsia="en-US"/>
        </w:rPr>
      </w:pPr>
      <w:r w:rsidRPr="005B0DB7">
        <w:rPr>
          <w:rFonts w:eastAsia="Times New Roman" w:cs="Times New Roman"/>
          <w:lang w:eastAsia="en-US"/>
        </w:rPr>
        <w:t>The agencies can jointly determine the proper level of inventory to maintain within the system.  The use of system-wide inventory planning ensures that the most cost-effective inventory management can be established for the system participants.  This is referred to as “Just-In-Time” Inventory.  To a great degree, a just-in-time inventory process relies on the efficient monitoring of the usage of materials and ordering replacement goods that arrive shortly before they are needed. This simple strategy helps to prevent incurring the costs associated with carrying large inventories of raw materials at any given point.</w:t>
      </w:r>
    </w:p>
    <w:p w14:paraId="63E748E6" w14:textId="77777777" w:rsidR="005B0DB7" w:rsidRPr="005B0DB7" w:rsidRDefault="005B0DB7" w:rsidP="005B0DB7">
      <w:pPr>
        <w:spacing w:before="360"/>
        <w:rPr>
          <w:rFonts w:eastAsia="Times New Roman" w:cs="Times New Roman"/>
          <w:lang w:eastAsia="en-US"/>
        </w:rPr>
      </w:pPr>
      <w:r w:rsidRPr="005B0DB7">
        <w:rPr>
          <w:rFonts w:eastAsia="Times New Roman" w:cs="Times New Roman"/>
          <w:lang w:eastAsia="en-US"/>
        </w:rPr>
        <w:t xml:space="preserve">Standardizing specifications for the purchase, repair, and maintenance of apparatus, self-contained breathing apparatus (SCBA), communication devices, Personal Protective Equipment (PPE), uniforms, replenishable supplies and miscellaneous equipment often equates to less out-of-service time.  Support personnel setting up a requisition and delivery system is a key efficiency of this type of approach.  These economies of scale accrue to the benefit of each participating agency.  </w:t>
      </w:r>
    </w:p>
    <w:p w14:paraId="3AE4963E" w14:textId="77777777" w:rsidR="005B0DB7" w:rsidRPr="005B0DB7" w:rsidRDefault="005B0DB7" w:rsidP="005B0DB7">
      <w:pPr>
        <w:spacing w:after="0"/>
        <w:jc w:val="left"/>
        <w:rPr>
          <w:rFonts w:eastAsia="Calibri" w:cs="Times New Roman"/>
          <w:b/>
          <w:lang w:eastAsia="en-US"/>
        </w:rPr>
      </w:pPr>
      <w:r w:rsidRPr="005B0DB7">
        <w:rPr>
          <w:rFonts w:eastAsia="Calibri" w:cs="Times New Roman"/>
          <w:b/>
          <w:lang w:eastAsia="en-US"/>
        </w:rPr>
        <w:t>Station Redeployment</w:t>
      </w:r>
    </w:p>
    <w:p w14:paraId="6E649792" w14:textId="77777777" w:rsidR="005B0DB7" w:rsidRPr="005B0DB7" w:rsidRDefault="005B0DB7" w:rsidP="005B0DB7">
      <w:pPr>
        <w:spacing w:after="0"/>
        <w:rPr>
          <w:rFonts w:eastAsia="Cambria" w:cs="Times New Roman"/>
        </w:rPr>
      </w:pPr>
      <w:r w:rsidRPr="005B0DB7">
        <w:rPr>
          <w:rFonts w:eastAsia="Cambria" w:cs="Times New Roman"/>
        </w:rPr>
        <w:t>While PFD has done amazing work, it is clearly straining to keep up.  The service level and capability are not sustainable without commensurate growth of resources to match the unprecedented growth of emergency demand and of the city itself. ESCI sees indications of the system declining in the following ways:</w:t>
      </w:r>
    </w:p>
    <w:p w14:paraId="2417AE15" w14:textId="77777777" w:rsidR="005B0DB7" w:rsidRPr="005B0DB7" w:rsidRDefault="005B0DB7" w:rsidP="005B0DB7">
      <w:pPr>
        <w:numPr>
          <w:ilvl w:val="0"/>
          <w:numId w:val="35"/>
        </w:numPr>
        <w:adjustRightInd w:val="0"/>
        <w:spacing w:after="120" w:line="240" w:lineRule="auto"/>
        <w:jc w:val="left"/>
        <w:rPr>
          <w:rFonts w:eastAsia="Cambria" w:cs="Times New Roman"/>
        </w:rPr>
      </w:pPr>
      <w:r w:rsidRPr="005B0DB7">
        <w:rPr>
          <w:rFonts w:eastAsia="Cambria" w:cs="Times New Roman"/>
        </w:rPr>
        <w:t xml:space="preserve">PFD is at the </w:t>
      </w:r>
      <w:r w:rsidRPr="005B0DB7">
        <w:rPr>
          <w:rFonts w:eastAsia="Cambria" w:cs="Times New Roman"/>
          <w:b/>
          <w:i/>
          <w:u w:val="single"/>
        </w:rPr>
        <w:t>minimum</w:t>
      </w:r>
      <w:r w:rsidRPr="005B0DB7">
        <w:rPr>
          <w:rFonts w:eastAsia="Cambria" w:cs="Times New Roman"/>
        </w:rPr>
        <w:t xml:space="preserve"> performance for its own goal of the first apparatus on scene (89.7 percent).</w:t>
      </w:r>
    </w:p>
    <w:p w14:paraId="3B7E20CA" w14:textId="77777777" w:rsidR="005B0DB7" w:rsidRPr="005B0DB7" w:rsidRDefault="005B0DB7" w:rsidP="005B0DB7">
      <w:pPr>
        <w:numPr>
          <w:ilvl w:val="0"/>
          <w:numId w:val="35"/>
        </w:numPr>
        <w:adjustRightInd w:val="0"/>
        <w:spacing w:after="120" w:line="240" w:lineRule="auto"/>
        <w:jc w:val="left"/>
        <w:rPr>
          <w:rFonts w:eastAsia="Cambria" w:cs="Times New Roman"/>
        </w:rPr>
      </w:pPr>
      <w:r w:rsidRPr="005B0DB7">
        <w:rPr>
          <w:rFonts w:eastAsia="Cambria" w:cs="Times New Roman"/>
        </w:rPr>
        <w:t xml:space="preserve">PFD is currently only able to assemble a full first alarm in 12 minutes or less travel time (its self-imposed performance goal) at 50 percent of fire suppression events. The goal is 90 percent. Current service demand and the lack of additional resources negatively affects the time required to assemble a full first alarm.  </w:t>
      </w:r>
    </w:p>
    <w:p w14:paraId="70BCB1F5" w14:textId="77777777" w:rsidR="005B0DB7" w:rsidRPr="005B0DB7" w:rsidRDefault="005B0DB7" w:rsidP="005B0DB7">
      <w:pPr>
        <w:numPr>
          <w:ilvl w:val="0"/>
          <w:numId w:val="35"/>
        </w:numPr>
        <w:adjustRightInd w:val="0"/>
        <w:spacing w:after="120" w:line="240" w:lineRule="auto"/>
        <w:jc w:val="left"/>
        <w:rPr>
          <w:rFonts w:eastAsia="Cambria" w:cs="Times New Roman"/>
        </w:rPr>
      </w:pPr>
      <w:r w:rsidRPr="005B0DB7">
        <w:rPr>
          <w:rFonts w:eastAsia="Cambria" w:cs="Times New Roman"/>
        </w:rPr>
        <w:t>PFD is currently rated as a Class 5 fire department by WSRB. Lack of engine companies and their staffing has been identified as a deficiency.</w:t>
      </w:r>
    </w:p>
    <w:p w14:paraId="1203F646" w14:textId="77777777" w:rsidR="005B0DB7" w:rsidRPr="005B0DB7" w:rsidRDefault="005B0DB7" w:rsidP="005B0DB7">
      <w:pPr>
        <w:numPr>
          <w:ilvl w:val="0"/>
          <w:numId w:val="35"/>
        </w:numPr>
        <w:adjustRightInd w:val="0"/>
        <w:spacing w:after="120" w:line="240" w:lineRule="auto"/>
        <w:jc w:val="left"/>
        <w:rPr>
          <w:rFonts w:eastAsia="Cambria" w:cs="Times New Roman"/>
        </w:rPr>
      </w:pPr>
      <w:r w:rsidRPr="005B0DB7">
        <w:rPr>
          <w:rFonts w:eastAsia="Cambria" w:cs="Times New Roman"/>
        </w:rPr>
        <w:t>The population within the service area has increased by over 14 percent since 2010.</w:t>
      </w:r>
    </w:p>
    <w:p w14:paraId="3D0B8F0E" w14:textId="77777777" w:rsidR="005B0DB7" w:rsidRPr="005B0DB7" w:rsidRDefault="005B0DB7" w:rsidP="005B0DB7">
      <w:pPr>
        <w:numPr>
          <w:ilvl w:val="0"/>
          <w:numId w:val="35"/>
        </w:numPr>
        <w:adjustRightInd w:val="0"/>
        <w:spacing w:after="120" w:line="240" w:lineRule="auto"/>
        <w:jc w:val="left"/>
        <w:rPr>
          <w:rFonts w:eastAsia="Cambria" w:cs="Times New Roman"/>
        </w:rPr>
      </w:pPr>
      <w:r w:rsidRPr="005B0DB7">
        <w:rPr>
          <w:rFonts w:eastAsia="Cambria" w:cs="Times New Roman"/>
        </w:rPr>
        <w:t xml:space="preserve">New development and population growth are projected to continue increasing, both in the near future and long term. </w:t>
      </w:r>
    </w:p>
    <w:p w14:paraId="7F7BEBB1" w14:textId="77777777" w:rsidR="005B0DB7" w:rsidRPr="005B0DB7" w:rsidRDefault="005B0DB7" w:rsidP="005B0DB7">
      <w:pPr>
        <w:numPr>
          <w:ilvl w:val="0"/>
          <w:numId w:val="35"/>
        </w:numPr>
        <w:adjustRightInd w:val="0"/>
        <w:spacing w:after="120" w:line="240" w:lineRule="auto"/>
        <w:jc w:val="left"/>
        <w:rPr>
          <w:rFonts w:eastAsia="Cambria" w:cs="Times New Roman"/>
        </w:rPr>
      </w:pPr>
      <w:r w:rsidRPr="005B0DB7">
        <w:rPr>
          <w:rFonts w:eastAsia="Cambria" w:cs="Times New Roman"/>
        </w:rPr>
        <w:t>Service demand has steadily increased and is projected to continue increasing; it will negatively affect response performance in the near future.</w:t>
      </w:r>
    </w:p>
    <w:p w14:paraId="500DDCD0" w14:textId="77777777" w:rsidR="005B0DB7" w:rsidRPr="005B0DB7" w:rsidRDefault="005B0DB7" w:rsidP="005B0DB7">
      <w:pPr>
        <w:spacing w:after="200"/>
        <w:rPr>
          <w:rFonts w:eastAsia="Cambria" w:cs="Times New Roman"/>
        </w:rPr>
      </w:pPr>
      <w:r w:rsidRPr="005B0DB7">
        <w:rPr>
          <w:rFonts w:eastAsia="Cambria" w:cs="Times New Roman"/>
        </w:rPr>
        <w:lastRenderedPageBreak/>
        <w:t>Currently, the three staffed PFD stations are physically located within six minutes or less travel time to over 95 percent of current service demand inside the Pasco UGB. However, the fact that PFD actually achieves this travel time less than 90 percent of the time is an indication that concurrent calls are negatively impacting service.</w:t>
      </w:r>
    </w:p>
    <w:p w14:paraId="3EDCE69D" w14:textId="77777777" w:rsidR="005B0DB7" w:rsidRPr="005B0DB7" w:rsidRDefault="005B0DB7" w:rsidP="005B0DB7">
      <w:pPr>
        <w:keepNext/>
        <w:keepLines/>
        <w:spacing w:after="120" w:line="240" w:lineRule="auto"/>
        <w:jc w:val="center"/>
        <w:rPr>
          <w:rFonts w:eastAsia="Cambria" w:cs="Times New Roman"/>
          <w:b/>
          <w:bCs/>
          <w:sz w:val="20"/>
          <w:szCs w:val="20"/>
          <w:lang w:eastAsia="en-US"/>
        </w:rPr>
      </w:pPr>
      <w:r w:rsidRPr="005B0DB7">
        <w:rPr>
          <w:rFonts w:eastAsia="Cambria" w:cs="Times New Roman"/>
          <w:b/>
          <w:bCs/>
          <w:sz w:val="20"/>
          <w:szCs w:val="20"/>
          <w:lang w:eastAsia="en-US"/>
        </w:rPr>
        <w:t>Current Staffed Station Deployment</w:t>
      </w:r>
    </w:p>
    <w:p w14:paraId="3B87E0B7" w14:textId="77777777" w:rsidR="005B0DB7" w:rsidRPr="005B0DB7" w:rsidRDefault="005B0DB7" w:rsidP="005B0DB7">
      <w:pPr>
        <w:rPr>
          <w:rFonts w:eastAsia="Cambria" w:cs="Times New Roman"/>
          <w:highlight w:val="yellow"/>
        </w:rPr>
      </w:pPr>
      <w:r w:rsidRPr="005B0DB7">
        <w:rPr>
          <w:rFonts w:eastAsia="Cambria" w:cs="Times New Roman"/>
          <w:noProof/>
          <w:highlight w:val="yellow"/>
          <w:lang w:eastAsia="en-US"/>
        </w:rPr>
        <w:drawing>
          <wp:inline distT="0" distB="0" distL="0" distR="0" wp14:anchorId="3684819D" wp14:editId="146D39C2">
            <wp:extent cx="5943600" cy="4245610"/>
            <wp:effectExtent l="0" t="0" r="0" b="254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FD Incidents and Travel Time_6 Minutes.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4245610"/>
                    </a:xfrm>
                    <a:prstGeom prst="rect">
                      <a:avLst/>
                    </a:prstGeom>
                  </pic:spPr>
                </pic:pic>
              </a:graphicData>
            </a:graphic>
          </wp:inline>
        </w:drawing>
      </w:r>
    </w:p>
    <w:p w14:paraId="66C4917D" w14:textId="77777777" w:rsidR="005B0DB7" w:rsidRPr="005B0DB7" w:rsidRDefault="005B0DB7" w:rsidP="005B0DB7">
      <w:pPr>
        <w:rPr>
          <w:rFonts w:eastAsia="Cambria" w:cs="Times New Roman"/>
        </w:rPr>
      </w:pPr>
      <w:r w:rsidRPr="005B0DB7">
        <w:rPr>
          <w:rFonts w:eastAsia="Cambria" w:cs="Times New Roman"/>
        </w:rPr>
        <w:t xml:space="preserve">ESCI believes that Station 84 should be staffed but not at its current location. As depicted in the following map, ESCI recommends relocating Station 84 west of its current location to the area of West Court Street and Road 68.  Further, ESCI recommends relocating Station 83 north to the area of Sandifur Parkway and Road 68.  By making these changes, approximately 99 percent of current service demand inside the Pasco UGB is within six minutes or less travel time of a staffed station.  </w:t>
      </w:r>
    </w:p>
    <w:p w14:paraId="1E0E4D6A" w14:textId="77777777" w:rsidR="005B0DB7" w:rsidRPr="005B0DB7" w:rsidRDefault="005B0DB7" w:rsidP="005B0DB7">
      <w:pPr>
        <w:rPr>
          <w:rFonts w:eastAsia="Cambria" w:cs="Times New Roman"/>
        </w:rPr>
      </w:pPr>
      <w:r w:rsidRPr="005B0DB7">
        <w:rPr>
          <w:rFonts w:eastAsia="Cambria" w:cs="Times New Roman"/>
        </w:rPr>
        <w:t>The relocation of these two stations also provides PFD with the opportunity to construct either station with administrative offices in mind. Designing one of the stations to also house administrative offices with proper flow and separation can be done without compromising its function as an active fire station.</w:t>
      </w:r>
    </w:p>
    <w:p w14:paraId="25BCAFA7" w14:textId="77777777" w:rsidR="005B0DB7" w:rsidRPr="005B0DB7" w:rsidRDefault="005B0DB7" w:rsidP="005B0DB7">
      <w:pPr>
        <w:keepNext/>
        <w:keepLines/>
        <w:spacing w:after="120" w:line="240" w:lineRule="auto"/>
        <w:jc w:val="center"/>
        <w:rPr>
          <w:rFonts w:eastAsia="Cambria" w:cs="Times New Roman"/>
          <w:b/>
          <w:bCs/>
          <w:sz w:val="20"/>
          <w:szCs w:val="20"/>
          <w:highlight w:val="yellow"/>
          <w:lang w:eastAsia="en-US"/>
        </w:rPr>
      </w:pPr>
      <w:r w:rsidRPr="005B0DB7">
        <w:rPr>
          <w:rFonts w:eastAsia="Cambria" w:cs="Times New Roman"/>
          <w:b/>
          <w:bCs/>
          <w:sz w:val="20"/>
          <w:szCs w:val="20"/>
          <w:lang w:eastAsia="en-US"/>
        </w:rPr>
        <w:lastRenderedPageBreak/>
        <w:t>Proposed Four Staffed Station Deployment &amp; Reconfiguration</w:t>
      </w:r>
    </w:p>
    <w:p w14:paraId="52AB72D5" w14:textId="77777777" w:rsidR="005B0DB7" w:rsidRPr="005B0DB7" w:rsidRDefault="005B0DB7" w:rsidP="005B0DB7">
      <w:pPr>
        <w:rPr>
          <w:rFonts w:eastAsia="Cambria" w:cs="Times New Roman"/>
          <w:color w:val="000000"/>
          <w:szCs w:val="20"/>
          <w:highlight w:val="yellow"/>
        </w:rPr>
      </w:pPr>
      <w:r w:rsidRPr="005B0DB7">
        <w:rPr>
          <w:rFonts w:eastAsia="Calibri" w:cs="Times New Roman"/>
          <w:noProof/>
          <w:lang w:eastAsia="en-US"/>
        </w:rPr>
        <w:drawing>
          <wp:inline distT="0" distB="0" distL="0" distR="0" wp14:anchorId="3D4D7329" wp14:editId="5F47C1C3">
            <wp:extent cx="5943600" cy="4245610"/>
            <wp:effectExtent l="0" t="0" r="0" b="254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FD Proposed 4 Station_81,82,83 Relocated,Relocated 84.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4245610"/>
                    </a:xfrm>
                    <a:prstGeom prst="rect">
                      <a:avLst/>
                    </a:prstGeom>
                  </pic:spPr>
                </pic:pic>
              </a:graphicData>
            </a:graphic>
          </wp:inline>
        </w:drawing>
      </w:r>
    </w:p>
    <w:p w14:paraId="16613511" w14:textId="77777777" w:rsidR="005B0DB7" w:rsidRPr="005B0DB7" w:rsidRDefault="005B0DB7" w:rsidP="005B0DB7">
      <w:pPr>
        <w:rPr>
          <w:rFonts w:eastAsia="Cambria" w:cs="Times New Roman"/>
          <w:color w:val="000000"/>
          <w:szCs w:val="20"/>
        </w:rPr>
      </w:pPr>
      <w:r w:rsidRPr="005B0DB7">
        <w:rPr>
          <w:rFonts w:eastAsia="Cambria" w:cs="Times New Roman"/>
          <w:color w:val="000000"/>
          <w:szCs w:val="20"/>
        </w:rPr>
        <w:t>This station redeployment anticipates increased future demand in the Riverview are as well as north of Interstate 82.  The redeployment also increases the concentration of PFD resources available for concurrent (simultaneous) or higher risk incidents and increases the area covered in a balanced manner.</w:t>
      </w:r>
    </w:p>
    <w:p w14:paraId="2A3D7EEE" w14:textId="77777777" w:rsidR="005B0DB7" w:rsidRPr="005B0DB7" w:rsidRDefault="005B0DB7" w:rsidP="005B0DB7">
      <w:pPr>
        <w:rPr>
          <w:rFonts w:eastAsia="Cambria" w:cs="Times New Roman"/>
          <w:color w:val="000000"/>
          <w:szCs w:val="20"/>
        </w:rPr>
      </w:pPr>
      <w:r w:rsidRPr="005B0DB7">
        <w:rPr>
          <w:rFonts w:eastAsia="Cambria" w:cs="Times New Roman"/>
          <w:color w:val="000000"/>
          <w:szCs w:val="20"/>
        </w:rPr>
        <w:t xml:space="preserve">Staffing of Station 84 can begin earlier than the time it takes to acquire a new site and construct the new station.  ESCI believes it would be prudent to implement a Peak Activity Unit (see description earlier in this executive summary), temporarily housed at the existing Station 84 until such time as the new station is constructed and ready for staffing with an engine, which should then become part of the Pasco Fire Department’s core response system and staffed traditionally.  </w:t>
      </w:r>
    </w:p>
    <w:p w14:paraId="143B3B51" w14:textId="77777777" w:rsidR="005B0DB7" w:rsidRPr="005B0DB7" w:rsidRDefault="005B0DB7" w:rsidP="005B0DB7">
      <w:pPr>
        <w:keepNext/>
        <w:keepLines/>
        <w:pageBreakBefore/>
        <w:spacing w:before="200" w:after="0"/>
        <w:outlineLvl w:val="1"/>
        <w:rPr>
          <w:rFonts w:eastAsia="Times New Roman" w:cs="Calibri"/>
          <w:bCs/>
          <w:caps/>
          <w:color w:val="808080"/>
          <w:sz w:val="24"/>
          <w:szCs w:val="26"/>
        </w:rPr>
        <w:sectPr w:rsidR="005B0DB7" w:rsidRPr="005B0DB7" w:rsidSect="005B0DB7">
          <w:type w:val="oddPage"/>
          <w:pgSz w:w="12240" w:h="15840"/>
          <w:pgMar w:top="1440" w:right="1440" w:bottom="1440" w:left="1440" w:header="720" w:footer="720" w:gutter="0"/>
          <w:cols w:space="720"/>
          <w:docGrid w:linePitch="299"/>
        </w:sectPr>
      </w:pPr>
    </w:p>
    <w:p w14:paraId="3F5F5783" w14:textId="77777777" w:rsidR="005B0DB7" w:rsidRPr="005B0DB7" w:rsidRDefault="005B0DB7" w:rsidP="005B0DB7">
      <w:pPr>
        <w:rPr>
          <w:rFonts w:eastAsia="Cambria" w:cs="Times New Roman"/>
          <w:b/>
        </w:rPr>
      </w:pPr>
    </w:p>
    <w:p w14:paraId="47AD0233" w14:textId="77777777" w:rsidR="005B0DB7" w:rsidRPr="005B0DB7" w:rsidRDefault="005B0DB7" w:rsidP="005B0DB7">
      <w:pPr>
        <w:keepNext/>
        <w:keepLines/>
        <w:spacing w:before="40" w:after="0"/>
        <w:jc w:val="left"/>
        <w:outlineLvl w:val="3"/>
        <w:rPr>
          <w:rFonts w:ascii="Cambria" w:eastAsia="Cambria" w:hAnsi="Cambria" w:cs="Times New Roman"/>
          <w:b/>
          <w:i/>
          <w:iCs/>
          <w:color w:val="A6A6A6"/>
        </w:rPr>
      </w:pPr>
      <w:r w:rsidRPr="005B0DB7">
        <w:rPr>
          <w:rFonts w:ascii="Cambria" w:eastAsia="Cambria" w:hAnsi="Cambria" w:cs="Times New Roman"/>
          <w:b/>
          <w:i/>
          <w:iCs/>
          <w:color w:val="A6A6A6"/>
        </w:rPr>
        <w:t>Long-Term Strategies</w:t>
      </w:r>
    </w:p>
    <w:p w14:paraId="533A2E8D" w14:textId="77777777" w:rsidR="005B0DB7" w:rsidRPr="005B0DB7" w:rsidRDefault="005B0DB7" w:rsidP="005B0DB7">
      <w:pPr>
        <w:spacing w:after="240"/>
        <w:rPr>
          <w:rFonts w:eastAsia="Cambria" w:cs="Calibri"/>
        </w:rPr>
      </w:pPr>
      <w:r w:rsidRPr="005B0DB7">
        <w:rPr>
          <w:rFonts w:eastAsia="Cambria" w:cs="Calibri"/>
        </w:rPr>
        <w:t xml:space="preserve">The short and mid-term strategies discussed will move the organization forward substantially. A longer-term, high-level view of future needs is also important to provide a “big picture” view of how the organization may continue with future initiatives. Primarily, long-term strategies are centered around community growth and related workload and how both impact the future deployment of fire stations and personnel. </w:t>
      </w:r>
    </w:p>
    <w:p w14:paraId="7A18B0C2" w14:textId="77777777" w:rsidR="005B0DB7" w:rsidRPr="005B0DB7" w:rsidRDefault="005B0DB7" w:rsidP="005B0DB7">
      <w:pPr>
        <w:spacing w:after="0"/>
        <w:jc w:val="left"/>
        <w:rPr>
          <w:rFonts w:eastAsia="Calibri" w:cs="Times New Roman"/>
          <w:b/>
          <w:lang w:eastAsia="en-US"/>
        </w:rPr>
      </w:pPr>
      <w:r w:rsidRPr="005B0DB7">
        <w:rPr>
          <w:rFonts w:eastAsia="Calibri" w:cs="Times New Roman"/>
          <w:b/>
          <w:lang w:eastAsia="en-US"/>
        </w:rPr>
        <w:t>Additional Fire Station</w:t>
      </w:r>
    </w:p>
    <w:p w14:paraId="20420501" w14:textId="77777777" w:rsidR="005B0DB7" w:rsidRPr="005B0DB7" w:rsidRDefault="005B0DB7" w:rsidP="005B0DB7">
      <w:pPr>
        <w:widowControl w:val="0"/>
        <w:rPr>
          <w:rFonts w:eastAsia="Times New Roman" w:cs="Times New Roman"/>
          <w:szCs w:val="24"/>
          <w:lang w:eastAsia="en-US"/>
        </w:rPr>
      </w:pPr>
      <w:r w:rsidRPr="005B0DB7">
        <w:rPr>
          <w:rFonts w:eastAsia="Times New Roman" w:cs="Times New Roman"/>
          <w:szCs w:val="24"/>
          <w:lang w:eastAsia="en-US"/>
        </w:rPr>
        <w:t xml:space="preserve">The City of Pasco has a large area of open space that is currently home to mineral extraction in an open pit.  The city has a study which lays out the Broadmoor Properties, a Planned Unit Development (PUD) which contains approximately 1,000 acres of available land. A range of between 2,000 to over 3,000 housing units are planned for, along with commercial, retail (including a 350,000 square feet big box store), and office development. Whether this PUD comes to fruition or is redeveloped in a more traditional form, it represents substantial growth on the west side of Pasco.  </w:t>
      </w:r>
    </w:p>
    <w:p w14:paraId="1FC6BB07" w14:textId="77777777" w:rsidR="005B0DB7" w:rsidRPr="005B0DB7" w:rsidRDefault="005B0DB7" w:rsidP="005B0DB7">
      <w:pPr>
        <w:widowControl w:val="0"/>
        <w:rPr>
          <w:rFonts w:eastAsia="Times New Roman" w:cs="Times New Roman"/>
          <w:szCs w:val="24"/>
          <w:lang w:eastAsia="en-US"/>
        </w:rPr>
      </w:pPr>
      <w:r w:rsidRPr="005B0DB7">
        <w:rPr>
          <w:rFonts w:eastAsia="Times New Roman" w:cs="Times New Roman"/>
          <w:szCs w:val="24"/>
          <w:lang w:eastAsia="en-US"/>
        </w:rPr>
        <w:t>At the point where it becomes clear that Broadmoor Properties begins to develop, PFD will have to plan for the probable construction of a fifth fire station.  In the following map the siting of the fifth fire station is considered.</w:t>
      </w:r>
    </w:p>
    <w:p w14:paraId="2601AFD8" w14:textId="77777777" w:rsidR="005B0DB7" w:rsidRPr="005B0DB7" w:rsidRDefault="005B0DB7" w:rsidP="005B0DB7">
      <w:pPr>
        <w:keepNext/>
        <w:keepLines/>
        <w:spacing w:after="120" w:line="240" w:lineRule="auto"/>
        <w:jc w:val="center"/>
        <w:rPr>
          <w:rFonts w:eastAsia="Cambria" w:cs="Times New Roman"/>
          <w:b/>
          <w:bCs/>
          <w:sz w:val="20"/>
          <w:szCs w:val="20"/>
          <w:lang w:eastAsia="en-US"/>
        </w:rPr>
      </w:pPr>
      <w:r w:rsidRPr="005B0DB7">
        <w:rPr>
          <w:rFonts w:eastAsia="Cambria" w:cs="Times New Roman"/>
          <w:b/>
          <w:bCs/>
          <w:sz w:val="20"/>
          <w:szCs w:val="20"/>
          <w:lang w:eastAsia="en-US"/>
        </w:rPr>
        <w:lastRenderedPageBreak/>
        <w:t>Five-Station Deployment Model</w:t>
      </w:r>
    </w:p>
    <w:p w14:paraId="29C3C311" w14:textId="77777777" w:rsidR="005B0DB7" w:rsidRPr="005B0DB7" w:rsidRDefault="005B0DB7" w:rsidP="005B0DB7">
      <w:pPr>
        <w:spacing w:after="200"/>
        <w:jc w:val="center"/>
        <w:rPr>
          <w:rFonts w:eastAsia="Calibri" w:cs="Times New Roman"/>
          <w:lang w:eastAsia="en-US"/>
        </w:rPr>
      </w:pPr>
      <w:r w:rsidRPr="005B0DB7">
        <w:rPr>
          <w:rFonts w:eastAsia="Calibri" w:cs="Times New Roman"/>
          <w:noProof/>
          <w:lang w:eastAsia="en-US"/>
        </w:rPr>
        <w:drawing>
          <wp:inline distT="0" distB="0" distL="0" distR="0" wp14:anchorId="5EE135D2" wp14:editId="00DAAD48">
            <wp:extent cx="5943600" cy="4245610"/>
            <wp:effectExtent l="0" t="0" r="0" b="254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FD Proposed 5 Station based New 4 Station Alternative.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4245610"/>
                    </a:xfrm>
                    <a:prstGeom prst="rect">
                      <a:avLst/>
                    </a:prstGeom>
                  </pic:spPr>
                </pic:pic>
              </a:graphicData>
            </a:graphic>
          </wp:inline>
        </w:drawing>
      </w:r>
    </w:p>
    <w:p w14:paraId="561F3599" w14:textId="77777777" w:rsidR="005B0DB7" w:rsidRPr="005B0DB7" w:rsidRDefault="005B0DB7" w:rsidP="005B0DB7">
      <w:pPr>
        <w:rPr>
          <w:rFonts w:eastAsia="Times New Roman" w:cs="Times New Roman"/>
          <w:szCs w:val="24"/>
          <w:lang w:eastAsia="en-US"/>
        </w:rPr>
      </w:pPr>
      <w:r w:rsidRPr="005B0DB7">
        <w:rPr>
          <w:rFonts w:eastAsia="Times New Roman" w:cs="Times New Roman"/>
          <w:szCs w:val="24"/>
          <w:lang w:eastAsia="en-US"/>
        </w:rPr>
        <w:t>While Station 85 is proposed very near the existing border of the City of Pasco, ESCI believes the City will likely annex to the urban growth boundary directly north of the Broadmoor Properties site.  This would position the station to provide an effective reach not only to Broadmoor but also to the development and increased density likely to come to areas surrounding Broadmoor. This also takes advantage of property already owned by the City of Pasco.</w:t>
      </w:r>
    </w:p>
    <w:p w14:paraId="065800EF" w14:textId="77777777" w:rsidR="005B0DB7" w:rsidRPr="005B0DB7" w:rsidRDefault="005B0DB7" w:rsidP="005B0DB7">
      <w:pPr>
        <w:spacing w:after="200"/>
        <w:contextualSpacing/>
        <w:rPr>
          <w:rFonts w:eastAsia="Calibri" w:cs="Times New Roman"/>
          <w:lang w:eastAsia="en-US"/>
        </w:rPr>
      </w:pPr>
      <w:r w:rsidRPr="005B0DB7">
        <w:rPr>
          <w:rFonts w:eastAsia="Calibri" w:cs="Times New Roman"/>
          <w:lang w:eastAsia="en-US"/>
        </w:rPr>
        <w:t>This location also provides good access to both sides of Interstate 182 and would address concerns identified by the Washington Surveying and Rating Bureau in the area of the possible planned unit development. Adding this station simultaneous to the development of Broadmoor also increases the concentration of resources available in the western portions of the service area east of Broadmoor.  With an appropriately staffed engine company and medic unit at the station, the combined resources of the Pasco Fire Department, deployed as identified in the preceding map, will significantly enhance resource concentration—and ultimately effective response force. This resource deployment pattern is anticipated to address community growth and service demand growth into the foreseeable future.</w:t>
      </w:r>
    </w:p>
    <w:p w14:paraId="792875D6" w14:textId="77777777" w:rsidR="005B0DB7" w:rsidRPr="005B0DB7" w:rsidRDefault="005B0DB7" w:rsidP="005B0DB7">
      <w:pPr>
        <w:jc w:val="left"/>
        <w:rPr>
          <w:rFonts w:eastAsia="Cambria" w:cs="Times New Roman"/>
        </w:rPr>
      </w:pPr>
    </w:p>
    <w:p w14:paraId="2C0D0F3E" w14:textId="77777777" w:rsidR="005F515F" w:rsidRPr="00DE2FAA" w:rsidRDefault="00D8408A" w:rsidP="006350C1">
      <w:pPr>
        <w:pStyle w:val="Heading1"/>
        <w:rPr>
          <w:rFonts w:cs="Calibri"/>
        </w:rPr>
      </w:pPr>
      <w:bookmarkStart w:id="28" w:name="_Toc464323546"/>
      <w:bookmarkEnd w:id="23"/>
      <w:bookmarkEnd w:id="24"/>
      <w:bookmarkEnd w:id="25"/>
      <w:bookmarkEnd w:id="26"/>
      <w:r w:rsidRPr="00DE2FAA">
        <w:rPr>
          <w:rFonts w:cs="Calibri"/>
        </w:rPr>
        <w:lastRenderedPageBreak/>
        <w:t xml:space="preserve">Evaluation of </w:t>
      </w:r>
      <w:r w:rsidR="00CC0BB6" w:rsidRPr="00DE2FAA">
        <w:rPr>
          <w:rFonts w:cs="Calibri"/>
        </w:rPr>
        <w:t xml:space="preserve">Current </w:t>
      </w:r>
      <w:r w:rsidRPr="00DE2FAA">
        <w:rPr>
          <w:rFonts w:cs="Calibri"/>
        </w:rPr>
        <w:t>Conditions</w:t>
      </w:r>
      <w:bookmarkEnd w:id="17"/>
      <w:bookmarkEnd w:id="28"/>
    </w:p>
    <w:p w14:paraId="0A64CD38" w14:textId="3E1BD0F5" w:rsidR="0074187C" w:rsidRPr="0074187C" w:rsidRDefault="0074187C" w:rsidP="0074187C">
      <w:pPr>
        <w:rPr>
          <w:rFonts w:eastAsia="Calibri" w:cs="Arial"/>
        </w:rPr>
      </w:pPr>
      <w:bookmarkStart w:id="29" w:name="_Ref190336466"/>
      <w:bookmarkStart w:id="30" w:name="_Toc317482496"/>
      <w:bookmarkStart w:id="31" w:name="_Toc192495394"/>
      <w:bookmarkStart w:id="32" w:name="_Toc357084138"/>
      <w:bookmarkStart w:id="33" w:name="_Toc167167910"/>
      <w:bookmarkStart w:id="34" w:name="_Toc180897285"/>
      <w:bookmarkStart w:id="35" w:name="_Toc181002708"/>
      <w:bookmarkStart w:id="36" w:name="_Toc317482497"/>
      <w:r w:rsidRPr="0074187C">
        <w:rPr>
          <w:rFonts w:eastAsia="Calibri" w:cs="Arial"/>
        </w:rPr>
        <w:t xml:space="preserve">The </w:t>
      </w:r>
      <w:r>
        <w:rPr>
          <w:rFonts w:eastAsia="Calibri" w:cs="Arial"/>
        </w:rPr>
        <w:t>Pasco Fire Department (P</w:t>
      </w:r>
      <w:r w:rsidRPr="0074187C">
        <w:rPr>
          <w:rFonts w:eastAsia="Calibri" w:cs="Arial"/>
        </w:rPr>
        <w:t xml:space="preserve">FD or Department) Emergency Services Master Plan begins with ESCI’s Evaluation of Current Conditions, an assessment of the agency as it was found to be operating upon initiation of the project in </w:t>
      </w:r>
      <w:r w:rsidR="00EC3A68">
        <w:rPr>
          <w:rFonts w:eastAsia="Calibri" w:cs="Arial"/>
        </w:rPr>
        <w:t>April</w:t>
      </w:r>
      <w:r>
        <w:rPr>
          <w:rFonts w:eastAsia="Calibri" w:cs="Arial"/>
        </w:rPr>
        <w:t xml:space="preserve"> </w:t>
      </w:r>
      <w:r w:rsidRPr="0074187C">
        <w:rPr>
          <w:rFonts w:eastAsia="Calibri" w:cs="Arial"/>
        </w:rPr>
        <w:t>201</w:t>
      </w:r>
      <w:r>
        <w:rPr>
          <w:rFonts w:eastAsia="Calibri" w:cs="Arial"/>
        </w:rPr>
        <w:t>6</w:t>
      </w:r>
      <w:r w:rsidRPr="0074187C">
        <w:rPr>
          <w:rFonts w:eastAsia="Calibri" w:cs="Arial"/>
        </w:rPr>
        <w:t xml:space="preserve">. Using organizational, operational, staffing, and geographic information system (GIS) models, this phase of the study identifies how the organization is currently operating and provides recommendations for improvement in services delivered to the community. </w:t>
      </w:r>
    </w:p>
    <w:p w14:paraId="5821A2E0" w14:textId="2621F785" w:rsidR="0074187C" w:rsidRPr="0074187C" w:rsidRDefault="0074187C" w:rsidP="0074187C">
      <w:pPr>
        <w:rPr>
          <w:rFonts w:eastAsia="Calibri" w:cs="Arial"/>
        </w:rPr>
      </w:pPr>
      <w:r w:rsidRPr="0074187C">
        <w:rPr>
          <w:rFonts w:eastAsia="Calibri" w:cs="Arial"/>
        </w:rPr>
        <w:t xml:space="preserve">ESCI bases this evaluation on data provided by the agency and collected in the course of ESCI’s fieldwork. The information is </w:t>
      </w:r>
      <w:r>
        <w:rPr>
          <w:rFonts w:eastAsia="Calibri" w:cs="Arial"/>
        </w:rPr>
        <w:t>compared to</w:t>
      </w:r>
      <w:r w:rsidRPr="0074187C">
        <w:rPr>
          <w:rFonts w:eastAsia="Calibri" w:cs="Arial"/>
        </w:rPr>
        <w:t xml:space="preserve"> a combination of </w:t>
      </w:r>
      <w:r>
        <w:rPr>
          <w:rFonts w:eastAsia="Calibri" w:cs="Arial"/>
        </w:rPr>
        <w:t>Washington</w:t>
      </w:r>
      <w:r w:rsidRPr="0074187C">
        <w:rPr>
          <w:rFonts w:eastAsia="Calibri" w:cs="Arial"/>
        </w:rPr>
        <w:t xml:space="preserve"> State laws and regulations, National Fire Protection Association (NFPA) standards, Commission on Fire Accreditation International (CFAI) self-assessment criteria, health and safety requirements, federal and state mandates relative to emergency services, and generally accepted best practices within the emergency services community, as well as the experience of ESCI’s consultants.</w:t>
      </w:r>
    </w:p>
    <w:p w14:paraId="1D725ACC" w14:textId="6A382B6A" w:rsidR="0074187C" w:rsidRPr="0074187C" w:rsidRDefault="0074187C" w:rsidP="0074187C">
      <w:pPr>
        <w:rPr>
          <w:rFonts w:eastAsia="Calibri" w:cs="Arial"/>
        </w:rPr>
      </w:pPr>
      <w:r>
        <w:rPr>
          <w:rFonts w:eastAsia="Calibri" w:cs="Arial"/>
        </w:rPr>
        <w:t xml:space="preserve">There are </w:t>
      </w:r>
      <w:r w:rsidR="002B52F7">
        <w:rPr>
          <w:rFonts w:eastAsia="Calibri" w:cs="Arial"/>
        </w:rPr>
        <w:t>12</w:t>
      </w:r>
      <w:r>
        <w:rPr>
          <w:rFonts w:eastAsia="Calibri" w:cs="Arial"/>
        </w:rPr>
        <w:t xml:space="preserve"> elements which make up the current conditions report for the Pasco Fire Department.  </w:t>
      </w:r>
      <w:r w:rsidRPr="0074187C">
        <w:rPr>
          <w:rFonts w:eastAsia="Calibri" w:cs="Arial"/>
        </w:rPr>
        <w:t xml:space="preserve">Each </w:t>
      </w:r>
      <w:r>
        <w:rPr>
          <w:rFonts w:eastAsia="Calibri" w:cs="Arial"/>
        </w:rPr>
        <w:t>element</w:t>
      </w:r>
      <w:r w:rsidRPr="0074187C">
        <w:rPr>
          <w:rFonts w:eastAsia="Calibri" w:cs="Arial"/>
        </w:rPr>
        <w:t xml:space="preserve"> provides the reader with </w:t>
      </w:r>
      <w:r>
        <w:rPr>
          <w:rFonts w:eastAsia="Calibri" w:cs="Arial"/>
        </w:rPr>
        <w:t xml:space="preserve">a </w:t>
      </w:r>
      <w:r w:rsidRPr="0074187C">
        <w:rPr>
          <w:rFonts w:eastAsia="Calibri" w:cs="Arial"/>
        </w:rPr>
        <w:t xml:space="preserve">general </w:t>
      </w:r>
      <w:r>
        <w:rPr>
          <w:rFonts w:eastAsia="Calibri" w:cs="Arial"/>
        </w:rPr>
        <w:t>description</w:t>
      </w:r>
      <w:r w:rsidR="002B52F7">
        <w:rPr>
          <w:rFonts w:eastAsia="Calibri" w:cs="Arial"/>
        </w:rPr>
        <w:t>;</w:t>
      </w:r>
      <w:r w:rsidRPr="0074187C">
        <w:rPr>
          <w:rFonts w:eastAsia="Calibri" w:cs="Arial"/>
        </w:rPr>
        <w:t xml:space="preserve"> </w:t>
      </w:r>
      <w:r>
        <w:rPr>
          <w:rFonts w:eastAsia="Calibri" w:cs="Arial"/>
        </w:rPr>
        <w:t>how PFD is structured or performs in that element</w:t>
      </w:r>
      <w:r w:rsidR="002B52F7">
        <w:rPr>
          <w:rFonts w:eastAsia="Calibri" w:cs="Arial"/>
        </w:rPr>
        <w:t>;</w:t>
      </w:r>
      <w:r>
        <w:rPr>
          <w:rFonts w:eastAsia="Calibri" w:cs="Arial"/>
        </w:rPr>
        <w:t xml:space="preserve"> and any recommendations which, in ESCI’s opinion, enhances the </w:t>
      </w:r>
      <w:r w:rsidR="00F47F4D">
        <w:rPr>
          <w:rFonts w:eastAsia="Calibri" w:cs="Arial"/>
        </w:rPr>
        <w:t xml:space="preserve">Department’s </w:t>
      </w:r>
      <w:r>
        <w:rPr>
          <w:rFonts w:eastAsia="Calibri" w:cs="Arial"/>
        </w:rPr>
        <w:t>performance, increases its efficiency or effectiveness, or are generally accepted practice</w:t>
      </w:r>
      <w:r w:rsidR="00F47F4D">
        <w:rPr>
          <w:rFonts w:eastAsia="Calibri" w:cs="Arial"/>
        </w:rPr>
        <w:t>s</w:t>
      </w:r>
      <w:r>
        <w:rPr>
          <w:rFonts w:eastAsia="Calibri" w:cs="Arial"/>
        </w:rPr>
        <w:t xml:space="preserve"> in the fire service industry.</w:t>
      </w:r>
    </w:p>
    <w:p w14:paraId="7E73B338" w14:textId="07E660F8" w:rsidR="000F300B" w:rsidRPr="00A30F10" w:rsidRDefault="000F300B" w:rsidP="000C206E">
      <w:pPr>
        <w:pStyle w:val="Heading2"/>
        <w:rPr>
          <w:rFonts w:cs="Calibri"/>
        </w:rPr>
      </w:pPr>
      <w:bookmarkStart w:id="37" w:name="_Toc464323547"/>
      <w:r w:rsidRPr="00A30F10">
        <w:rPr>
          <w:rFonts w:cs="Calibri"/>
        </w:rPr>
        <w:t>Organization</w:t>
      </w:r>
      <w:r w:rsidR="00CC05B7" w:rsidRPr="00A30F10">
        <w:rPr>
          <w:rFonts w:cs="Calibri"/>
        </w:rPr>
        <w:t>al</w:t>
      </w:r>
      <w:r w:rsidRPr="00A30F10">
        <w:rPr>
          <w:rFonts w:cs="Calibri"/>
        </w:rPr>
        <w:t xml:space="preserve"> Overview</w:t>
      </w:r>
      <w:bookmarkEnd w:id="29"/>
      <w:bookmarkEnd w:id="30"/>
      <w:bookmarkEnd w:id="31"/>
      <w:bookmarkEnd w:id="32"/>
      <w:bookmarkEnd w:id="37"/>
    </w:p>
    <w:p w14:paraId="39F24D1C" w14:textId="77777777" w:rsidR="0004363E" w:rsidRPr="00C52658" w:rsidRDefault="0004363E" w:rsidP="0004363E">
      <w:pPr>
        <w:rPr>
          <w:rFonts w:cs="Calibri"/>
        </w:rPr>
      </w:pPr>
      <w:bookmarkStart w:id="38" w:name="_Ref317767325"/>
      <w:bookmarkStart w:id="39" w:name="_Toc326072019"/>
      <w:bookmarkStart w:id="40" w:name="_Toc417996056"/>
      <w:r w:rsidRPr="00C52658">
        <w:rPr>
          <w:rFonts w:eastAsia="Calibri" w:cs="Calibri"/>
        </w:rPr>
        <w:t>The Organizational Overview component provides a summary of agency composition, configuration, and the services provided. Data provided by the administrative and management staff of the Pasco Fire Department were evaluated. In addition, interviews with line personnel, bargaining unit representatives, supervisory and administrative staff, city management, and allied governmental agencies were combined with information collected in the course of ESCI’s fieldwork t</w:t>
      </w:r>
      <w:r w:rsidRPr="00C52658">
        <w:rPr>
          <w:rFonts w:eastAsia="Calibri" w:cs="Calibri"/>
          <w:color w:val="000000"/>
        </w:rPr>
        <w:t xml:space="preserve">o develop the following overview. </w:t>
      </w:r>
      <w:r w:rsidRPr="00C52658">
        <w:rPr>
          <w:rFonts w:eastAsia="Calibri" w:cs="Calibri"/>
        </w:rPr>
        <w:t xml:space="preserve">  </w:t>
      </w:r>
    </w:p>
    <w:p w14:paraId="1F84FD12" w14:textId="77777777" w:rsidR="0004363E" w:rsidRDefault="0004363E" w:rsidP="0004363E">
      <w:pPr>
        <w:spacing w:after="240"/>
        <w:rPr>
          <w:rFonts w:eastAsia="Calibri" w:cs="Calibri"/>
          <w:color w:val="000000" w:themeColor="text1"/>
        </w:rPr>
      </w:pPr>
      <w:r w:rsidRPr="00C52658">
        <w:rPr>
          <w:rFonts w:eastAsia="Calibri" w:cs="Calibri"/>
        </w:rPr>
        <w:t xml:space="preserve">The purpose of this section is two-fold. First, it verifies the accuracy of baseline information along with ESCI’s understanding of the agency’s composition. This provides the foundation from which the Emergency Services Master Plan is developed. Secondly, the overview serves as a reference for the reader who may not be fully familiar with the details of the agency’s operations. </w:t>
      </w:r>
      <w:r w:rsidRPr="00C52658">
        <w:rPr>
          <w:rFonts w:eastAsia="Calibri" w:cs="Calibri"/>
          <w:color w:val="000000" w:themeColor="text1"/>
        </w:rPr>
        <w:t xml:space="preserve">Where appropriate, ESCI includes recommended modifications to current observations based on industry standards and best practices. </w:t>
      </w:r>
    </w:p>
    <w:p w14:paraId="4BED6378" w14:textId="77777777" w:rsidR="0004363E" w:rsidRPr="00C52658" w:rsidRDefault="0004363E" w:rsidP="0004363E">
      <w:pPr>
        <w:pStyle w:val="Heading3"/>
        <w:rPr>
          <w:rFonts w:eastAsia="Calibri"/>
        </w:rPr>
      </w:pPr>
      <w:bookmarkStart w:id="41" w:name="_Toc451168754"/>
      <w:bookmarkStart w:id="42" w:name="_Toc464323548"/>
      <w:r>
        <w:rPr>
          <w:rFonts w:eastAsia="Calibri"/>
        </w:rPr>
        <w:t xml:space="preserve">City </w:t>
      </w:r>
      <w:r w:rsidRPr="00C52658">
        <w:rPr>
          <w:rFonts w:eastAsia="Calibri"/>
        </w:rPr>
        <w:t>Governance &amp; Structure</w:t>
      </w:r>
      <w:bookmarkEnd w:id="41"/>
      <w:bookmarkEnd w:id="42"/>
    </w:p>
    <w:p w14:paraId="6D0DDAD1" w14:textId="15E6A1DE" w:rsidR="0004363E" w:rsidRDefault="00F47F4D" w:rsidP="0004363E">
      <w:pPr>
        <w:rPr>
          <w:rFonts w:eastAsia="Calibri" w:cs="Calibri"/>
          <w:color w:val="000000" w:themeColor="text1"/>
        </w:rPr>
      </w:pPr>
      <w:r>
        <w:rPr>
          <w:rFonts w:eastAsia="Calibri" w:cs="Calibri"/>
          <w:color w:val="000000" w:themeColor="text1"/>
        </w:rPr>
        <w:t>Pasco Fire Department</w:t>
      </w:r>
      <w:r w:rsidR="0004363E" w:rsidRPr="00C52658">
        <w:rPr>
          <w:rFonts w:eastAsia="Calibri" w:cs="Calibri"/>
          <w:color w:val="000000" w:themeColor="text1"/>
        </w:rPr>
        <w:t xml:space="preserve"> is a municipal fire service provider for the constituents of the City of Pasco. It is one of </w:t>
      </w:r>
      <w:r>
        <w:rPr>
          <w:rFonts w:eastAsia="Calibri" w:cs="Calibri"/>
          <w:color w:val="000000" w:themeColor="text1"/>
        </w:rPr>
        <w:t>25</w:t>
      </w:r>
      <w:r w:rsidR="0004363E" w:rsidRPr="00C52658">
        <w:rPr>
          <w:rFonts w:eastAsia="Calibri" w:cs="Calibri"/>
          <w:color w:val="000000" w:themeColor="text1"/>
        </w:rPr>
        <w:t xml:space="preserve"> distinct </w:t>
      </w:r>
      <w:r w:rsidR="0004363E">
        <w:rPr>
          <w:rFonts w:eastAsia="Calibri" w:cs="Calibri"/>
          <w:color w:val="000000" w:themeColor="text1"/>
        </w:rPr>
        <w:t>d</w:t>
      </w:r>
      <w:r w:rsidR="0004363E" w:rsidRPr="00C52658">
        <w:rPr>
          <w:rFonts w:eastAsia="Calibri" w:cs="Calibri"/>
          <w:color w:val="000000" w:themeColor="text1"/>
        </w:rPr>
        <w:t xml:space="preserve">epartments, </w:t>
      </w:r>
      <w:r w:rsidR="0004363E">
        <w:rPr>
          <w:rFonts w:eastAsia="Calibri" w:cs="Calibri"/>
          <w:color w:val="000000" w:themeColor="text1"/>
        </w:rPr>
        <w:t>d</w:t>
      </w:r>
      <w:r w:rsidR="0004363E" w:rsidRPr="00C52658">
        <w:rPr>
          <w:rFonts w:eastAsia="Calibri" w:cs="Calibri"/>
          <w:color w:val="000000" w:themeColor="text1"/>
        </w:rPr>
        <w:t>ivisions, or programs provided to the citizens of the city.</w:t>
      </w:r>
      <w:r w:rsidR="0004363E">
        <w:rPr>
          <w:rFonts w:eastAsia="Calibri" w:cs="Calibri"/>
          <w:color w:val="000000" w:themeColor="text1"/>
        </w:rPr>
        <w:t xml:space="preserve"> </w:t>
      </w:r>
      <w:bookmarkStart w:id="43" w:name="_Toc451168755"/>
      <w:r w:rsidR="0004363E" w:rsidRPr="00D92F40">
        <w:rPr>
          <w:rFonts w:eastAsia="Calibri" w:cs="Calibri"/>
          <w:color w:val="000000" w:themeColor="text1"/>
        </w:rPr>
        <w:t xml:space="preserve">The Pasco City Council is comprised of </w:t>
      </w:r>
      <w:r>
        <w:rPr>
          <w:rFonts w:eastAsia="Calibri" w:cs="Calibri"/>
          <w:color w:val="000000" w:themeColor="text1"/>
        </w:rPr>
        <w:t>seven</w:t>
      </w:r>
      <w:r w:rsidR="0004363E" w:rsidRPr="00D92F40">
        <w:rPr>
          <w:rFonts w:eastAsia="Calibri" w:cs="Calibri"/>
          <w:color w:val="000000" w:themeColor="text1"/>
        </w:rPr>
        <w:t xml:space="preserve"> elected officials, each serving </w:t>
      </w:r>
      <w:r>
        <w:rPr>
          <w:rFonts w:eastAsia="Calibri" w:cs="Calibri"/>
          <w:color w:val="000000" w:themeColor="text1"/>
        </w:rPr>
        <w:t>four-</w:t>
      </w:r>
      <w:r w:rsidR="0004363E" w:rsidRPr="00D92F40">
        <w:rPr>
          <w:rFonts w:eastAsia="Calibri" w:cs="Calibri"/>
          <w:color w:val="000000" w:themeColor="text1"/>
        </w:rPr>
        <w:t xml:space="preserve">year terms. </w:t>
      </w:r>
      <w:r w:rsidR="0004363E">
        <w:rPr>
          <w:rFonts w:eastAsia="Calibri" w:cs="Calibri"/>
          <w:color w:val="000000" w:themeColor="text1"/>
        </w:rPr>
        <w:t>Five council members are elected within g</w:t>
      </w:r>
      <w:r>
        <w:rPr>
          <w:rFonts w:eastAsia="Calibri" w:cs="Calibri"/>
          <w:color w:val="000000" w:themeColor="text1"/>
        </w:rPr>
        <w:t>eographic districts of the city</w:t>
      </w:r>
      <w:r w:rsidR="0004363E">
        <w:rPr>
          <w:rFonts w:eastAsia="Calibri" w:cs="Calibri"/>
          <w:color w:val="000000" w:themeColor="text1"/>
        </w:rPr>
        <w:t xml:space="preserve"> while two are elected at large.  The council elects a mayor from among the seated councilmembers. </w:t>
      </w:r>
      <w:r w:rsidR="0004363E" w:rsidRPr="00D92F40">
        <w:rPr>
          <w:rFonts w:eastAsia="Calibri" w:cs="Calibri"/>
          <w:color w:val="000000" w:themeColor="text1"/>
        </w:rPr>
        <w:t xml:space="preserve">The City of Pasco operates under the "Council-Manager" </w:t>
      </w:r>
      <w:r w:rsidR="0004363E">
        <w:rPr>
          <w:rFonts w:eastAsia="Calibri" w:cs="Calibri"/>
          <w:color w:val="000000" w:themeColor="text1"/>
        </w:rPr>
        <w:t>form</w:t>
      </w:r>
      <w:r w:rsidR="0004363E" w:rsidRPr="00D92F40">
        <w:rPr>
          <w:rFonts w:eastAsia="Calibri" w:cs="Calibri"/>
          <w:color w:val="000000" w:themeColor="text1"/>
        </w:rPr>
        <w:t xml:space="preserve"> of government, per the Revised Code of Washington Chapter 35.18. Under the Council-Manager </w:t>
      </w:r>
      <w:r w:rsidR="0004363E">
        <w:rPr>
          <w:rFonts w:eastAsia="Calibri" w:cs="Calibri"/>
          <w:color w:val="000000" w:themeColor="text1"/>
        </w:rPr>
        <w:t>form</w:t>
      </w:r>
      <w:r w:rsidR="0004363E" w:rsidRPr="00D92F40">
        <w:rPr>
          <w:rFonts w:eastAsia="Calibri" w:cs="Calibri"/>
          <w:color w:val="000000" w:themeColor="text1"/>
        </w:rPr>
        <w:t xml:space="preserve"> of city government, the councilmembers are the elected officials of the City, who then in turn appoint and oversee the </w:t>
      </w:r>
      <w:r w:rsidRPr="00D92F40">
        <w:rPr>
          <w:rFonts w:eastAsia="Calibri" w:cs="Calibri"/>
          <w:color w:val="000000" w:themeColor="text1"/>
        </w:rPr>
        <w:t>city m</w:t>
      </w:r>
      <w:r w:rsidR="0004363E" w:rsidRPr="00D92F40">
        <w:rPr>
          <w:rFonts w:eastAsia="Calibri" w:cs="Calibri"/>
          <w:color w:val="000000" w:themeColor="text1"/>
        </w:rPr>
        <w:t xml:space="preserve">anager. </w:t>
      </w:r>
      <w:r w:rsidR="0004363E">
        <w:rPr>
          <w:rFonts w:eastAsia="Calibri" w:cs="Calibri"/>
          <w:color w:val="000000" w:themeColor="text1"/>
        </w:rPr>
        <w:t xml:space="preserve">The city council sets policy for the city, adopts a budget and supervises the </w:t>
      </w:r>
      <w:r w:rsidR="0004363E">
        <w:rPr>
          <w:rFonts w:eastAsia="Calibri" w:cs="Calibri"/>
          <w:color w:val="000000" w:themeColor="text1"/>
        </w:rPr>
        <w:lastRenderedPageBreak/>
        <w:t xml:space="preserve">city manager.  The city manager implements policy as set by the city council, manages the adopted budget, and manages the day-to-day operation of the city through subordinate department heads within the city, </w:t>
      </w:r>
      <w:r>
        <w:rPr>
          <w:rFonts w:eastAsia="Calibri" w:cs="Calibri"/>
          <w:color w:val="000000" w:themeColor="text1"/>
        </w:rPr>
        <w:t>including the fire chief</w:t>
      </w:r>
      <w:r w:rsidR="0004363E">
        <w:rPr>
          <w:rFonts w:eastAsia="Calibri" w:cs="Calibri"/>
          <w:color w:val="000000" w:themeColor="text1"/>
        </w:rPr>
        <w:t>.</w:t>
      </w:r>
    </w:p>
    <w:bookmarkEnd w:id="43"/>
    <w:p w14:paraId="4790772A" w14:textId="77777777" w:rsidR="0004363E" w:rsidRPr="00C24E88" w:rsidRDefault="0004363E" w:rsidP="0004363E">
      <w:pPr>
        <w:rPr>
          <w:rFonts w:cs="Calibri"/>
          <w:color w:val="000000"/>
          <w:szCs w:val="20"/>
        </w:rPr>
      </w:pPr>
      <w:r w:rsidRPr="00C24E88">
        <w:rPr>
          <w:rFonts w:eastAsia="Calibri" w:cs="Calibri"/>
          <w:color w:val="000000" w:themeColor="text1"/>
        </w:rPr>
        <w:t xml:space="preserve">The following map reflects the service area of the Pasco Fire Department. </w:t>
      </w:r>
    </w:p>
    <w:p w14:paraId="0C386E30" w14:textId="5BAD7734" w:rsidR="0004363E" w:rsidRPr="00C24E88" w:rsidRDefault="0004363E" w:rsidP="00C7448A">
      <w:pPr>
        <w:pStyle w:val="Caption"/>
      </w:pPr>
      <w:bookmarkStart w:id="44" w:name="_Toc451168819"/>
      <w:bookmarkStart w:id="45" w:name="_Toc464323643"/>
      <w:r w:rsidRPr="00C24E88">
        <w:t xml:space="preserve">Figure </w:t>
      </w:r>
      <w:r w:rsidR="00432AD4">
        <w:fldChar w:fldCharType="begin"/>
      </w:r>
      <w:r w:rsidR="00432AD4">
        <w:instrText xml:space="preserve"> SEQ Figure \* ARABIC </w:instrText>
      </w:r>
      <w:r w:rsidR="00432AD4">
        <w:fldChar w:fldCharType="separate"/>
      </w:r>
      <w:r w:rsidR="008209A2">
        <w:rPr>
          <w:noProof/>
        </w:rPr>
        <w:t>1</w:t>
      </w:r>
      <w:r w:rsidR="00432AD4">
        <w:rPr>
          <w:noProof/>
        </w:rPr>
        <w:fldChar w:fldCharType="end"/>
      </w:r>
      <w:r w:rsidRPr="00C24E88">
        <w:t>: Service Area Map</w:t>
      </w:r>
      <w:bookmarkEnd w:id="44"/>
      <w:bookmarkEnd w:id="45"/>
    </w:p>
    <w:p w14:paraId="6BE7D870" w14:textId="27FA9B9D" w:rsidR="0004363E" w:rsidRPr="003357B3" w:rsidRDefault="00E04DE8" w:rsidP="00F47F4D">
      <w:pPr>
        <w:spacing w:after="360"/>
        <w:jc w:val="center"/>
        <w:rPr>
          <w:rFonts w:eastAsiaTheme="majorEastAsia" w:cstheme="majorBidi"/>
          <w:bCs/>
          <w:iCs/>
          <w:color w:val="808080" w:themeColor="background1" w:themeShade="80"/>
          <w:highlight w:val="yellow"/>
        </w:rPr>
      </w:pPr>
      <w:r w:rsidRPr="00E04DE8">
        <w:rPr>
          <w:noProof/>
          <w:lang w:eastAsia="en-US"/>
        </w:rPr>
        <w:drawing>
          <wp:inline distT="0" distB="0" distL="0" distR="0" wp14:anchorId="42D7CA7E" wp14:editId="7EC98968">
            <wp:extent cx="5943600" cy="4245429"/>
            <wp:effectExtent l="0" t="0" r="0" b="3175"/>
            <wp:docPr id="3" name="Picture 3" descr="C:\Users\Bivins\AppData\Local\Microsoft\Windows\INetCache\Content.Outlook\YFN3UGQZ\Pasco Ba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ivins\AppData\Local\Microsoft\Windows\INetCache\Content.Outlook\YFN3UGQZ\Pasco Base.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3600" cy="4245429"/>
                    </a:xfrm>
                    <a:prstGeom prst="rect">
                      <a:avLst/>
                    </a:prstGeom>
                    <a:noFill/>
                    <a:ln>
                      <a:noFill/>
                    </a:ln>
                  </pic:spPr>
                </pic:pic>
              </a:graphicData>
            </a:graphic>
          </wp:inline>
        </w:drawing>
      </w:r>
    </w:p>
    <w:p w14:paraId="386738F3" w14:textId="77777777" w:rsidR="0004363E" w:rsidRPr="00BD7889" w:rsidRDefault="0004363E" w:rsidP="0004363E">
      <w:pPr>
        <w:pStyle w:val="Heading3"/>
        <w:rPr>
          <w:rFonts w:eastAsia="Calibri"/>
        </w:rPr>
      </w:pPr>
      <w:bookmarkStart w:id="46" w:name="_Toc464323549"/>
      <w:r w:rsidRPr="00BD7889">
        <w:rPr>
          <w:rFonts w:eastAsia="Calibri"/>
        </w:rPr>
        <w:t>Pasco Fire Department Structure</w:t>
      </w:r>
      <w:bookmarkEnd w:id="46"/>
    </w:p>
    <w:p w14:paraId="6B008A48" w14:textId="7A112EEB" w:rsidR="0004363E" w:rsidRPr="008B6F5E" w:rsidRDefault="0004363E" w:rsidP="0004363E">
      <w:r w:rsidRPr="00C24E88">
        <w:t>The Pasco Fire Department was established by council action on July 16, 1908</w:t>
      </w:r>
      <w:r w:rsidR="00F47F4D">
        <w:t>,</w:t>
      </w:r>
      <w:r w:rsidRPr="00C24E88">
        <w:t xml:space="preserve"> after a series of fires destroyed portions of the town. It currently serves approximately </w:t>
      </w:r>
      <w:r w:rsidR="0067731E" w:rsidRPr="0067731E">
        <w:t xml:space="preserve">70,560 </w:t>
      </w:r>
      <w:r w:rsidRPr="00C24E88">
        <w:t>persons</w:t>
      </w:r>
      <w:r w:rsidRPr="00C24E88">
        <w:rPr>
          <w:rFonts w:cs="Arial"/>
          <w:sz w:val="20"/>
          <w:vertAlign w:val="superscript"/>
        </w:rPr>
        <w:footnoteReference w:id="9"/>
      </w:r>
      <w:r w:rsidRPr="00C24E88">
        <w:t xml:space="preserve"> within the service area.  </w:t>
      </w:r>
      <w:r w:rsidRPr="008B6F5E">
        <w:t>The city service area encompasses approximately 3</w:t>
      </w:r>
      <w:r>
        <w:t>7</w:t>
      </w:r>
      <w:r w:rsidRPr="008B6F5E">
        <w:t xml:space="preserve"> square miles</w:t>
      </w:r>
      <w:r>
        <w:t>, with an additional seven square miles in the urban growth boundary</w:t>
      </w:r>
      <w:r w:rsidRPr="008B6F5E">
        <w:t>.</w:t>
      </w:r>
      <w:r>
        <w:t xml:space="preserve"> The fire chief, Bob Gear, was appointed through a competitive process by the city manager in 2009. The fire chief is an at-will employee and is under contract with the city. The fire chief recommends hiring and termination actions to the city manager, but otherwise administers discipline at his sole discretion. Legal counsel is available to the fire chief </w:t>
      </w:r>
      <w:r>
        <w:lastRenderedPageBreak/>
        <w:t xml:space="preserve">through the city attorney and personnel advice is available from the Human Resources Director. </w:t>
      </w:r>
      <w:r w:rsidRPr="008B6F5E">
        <w:t>The Pasco Fire Department organization chart follows:</w:t>
      </w:r>
    </w:p>
    <w:p w14:paraId="0EC5DB5A" w14:textId="10E87185" w:rsidR="0004363E" w:rsidRPr="008B6F5E" w:rsidRDefault="0004363E" w:rsidP="00C7448A">
      <w:pPr>
        <w:pStyle w:val="Caption"/>
      </w:pPr>
      <w:bookmarkStart w:id="47" w:name="_Toc451168820"/>
      <w:bookmarkStart w:id="48" w:name="_Toc464323644"/>
      <w:r w:rsidRPr="008B6F5E">
        <w:t xml:space="preserve">Figure </w:t>
      </w:r>
      <w:r w:rsidR="00432AD4">
        <w:fldChar w:fldCharType="begin"/>
      </w:r>
      <w:r w:rsidR="00432AD4">
        <w:instrText xml:space="preserve"> SEQ Figure \* ARABIC </w:instrText>
      </w:r>
      <w:r w:rsidR="00432AD4">
        <w:fldChar w:fldCharType="separate"/>
      </w:r>
      <w:r w:rsidR="008209A2">
        <w:rPr>
          <w:noProof/>
        </w:rPr>
        <w:t>2</w:t>
      </w:r>
      <w:r w:rsidR="00432AD4">
        <w:rPr>
          <w:noProof/>
        </w:rPr>
        <w:fldChar w:fldCharType="end"/>
      </w:r>
      <w:r w:rsidR="00C7448A">
        <w:t xml:space="preserve">: </w:t>
      </w:r>
      <w:r w:rsidRPr="008B6F5E">
        <w:t>Organizational Chart</w:t>
      </w:r>
      <w:bookmarkEnd w:id="47"/>
      <w:bookmarkEnd w:id="48"/>
    </w:p>
    <w:p w14:paraId="577CD473" w14:textId="77777777" w:rsidR="0004363E" w:rsidRDefault="0004363E" w:rsidP="0004363E">
      <w:pPr>
        <w:jc w:val="center"/>
      </w:pPr>
      <w:r>
        <w:object w:dxaOrig="13481" w:dyaOrig="11594" w14:anchorId="3E3CB4D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7.8pt;height:403.45pt" o:ole="">
            <v:imagedata r:id="rId26" o:title=""/>
          </v:shape>
          <o:OLEObject Type="Embed" ProgID="Visio.Drawing.11" ShapeID="_x0000_i1025" DrawAspect="Content" ObjectID="_1538459767" r:id="rId27"/>
        </w:object>
      </w:r>
    </w:p>
    <w:p w14:paraId="6AEF27ED" w14:textId="77777777" w:rsidR="0004363E" w:rsidRPr="00F87BDB" w:rsidRDefault="0004363E" w:rsidP="0004363E">
      <w:pPr>
        <w:jc w:val="center"/>
        <w:rPr>
          <w:highlight w:val="yellow"/>
        </w:rPr>
      </w:pPr>
    </w:p>
    <w:p w14:paraId="73DB9B5E" w14:textId="5CF99DC3" w:rsidR="0004363E" w:rsidRDefault="0004363E" w:rsidP="0004363E">
      <w:r w:rsidRPr="00CE20CE">
        <w:t xml:space="preserve">As with most fire departments, Pasco Fire Department is hierarchical, reflecting the paramilitary structure of the fire service.  However, PFD makes a distinction about </w:t>
      </w:r>
      <w:r w:rsidR="00A33BD1">
        <w:t>its</w:t>
      </w:r>
      <w:r w:rsidRPr="00CE20CE">
        <w:t xml:space="preserve"> hierarchy in that it is scalar during emergency incidents and project</w:t>
      </w:r>
      <w:r w:rsidR="00A33BD1">
        <w:t>-</w:t>
      </w:r>
      <w:r w:rsidRPr="00CE20CE">
        <w:t xml:space="preserve">oriented day to day.  </w:t>
      </w:r>
      <w:r>
        <w:t>The functional program management structure is circular, where the process owner (the PFD administration) is in the center, surrounded by the many routine program activities required to maintain emergency operational readiness.  They include such things as facilities, equipment, apparatus, training, EMS, Safety, Haz-Mat, and ARFF.  Mid-managers are assigned these program areas, with additional, smaller projects connected to the major programs. The processes are interdependent</w:t>
      </w:r>
      <w:r w:rsidR="00A33BD1">
        <w:t xml:space="preserve"> and better</w:t>
      </w:r>
      <w:r>
        <w:t xml:space="preserve"> and faster decisions can be made. </w:t>
      </w:r>
    </w:p>
    <w:p w14:paraId="4AE4511F" w14:textId="77777777" w:rsidR="0004363E" w:rsidRPr="00840AFE" w:rsidRDefault="0004363E" w:rsidP="0004363E">
      <w:r w:rsidRPr="00341C75">
        <w:lastRenderedPageBreak/>
        <w:t xml:space="preserve">All suppression employees from battalion chief down are covered in a collective bargaining agreement. The span of control in the fire department is </w:t>
      </w:r>
      <w:r>
        <w:t>within industry standards at</w:t>
      </w:r>
      <w:r w:rsidRPr="00341C75">
        <w:t xml:space="preserve"> 1:6 for the fire chief.</w:t>
      </w:r>
      <w:r>
        <w:t xml:space="preserve"> </w:t>
      </w:r>
      <w:r w:rsidRPr="00341C75">
        <w:t>The fire department has three career-staffed fire stations within the city and an unstaffed fire station within an area of the city which was recently annexed from the district area bordering the city</w:t>
      </w:r>
      <w:r w:rsidRPr="00840AFE">
        <w:t xml:space="preserve">.  In addition, PFD has a vehicle and logistics supply building located in the back of Station 83.  PFD provides fire suppression, advanced life support emergency medical services and ambulance transport services, technical rescue services, and hazardous materials services (through a regional partnership) to its constituency. </w:t>
      </w:r>
    </w:p>
    <w:p w14:paraId="3408E25C" w14:textId="77777777" w:rsidR="0004363E" w:rsidRPr="00971B48" w:rsidRDefault="0004363E" w:rsidP="0004363E">
      <w:pPr>
        <w:pStyle w:val="Heading3"/>
        <w:rPr>
          <w:rFonts w:eastAsia="Times New Roman"/>
          <w:lang w:eastAsia="en-US"/>
        </w:rPr>
      </w:pPr>
      <w:bookmarkStart w:id="49" w:name="_Toc464323550"/>
      <w:r>
        <w:rPr>
          <w:rFonts w:eastAsia="Times New Roman"/>
          <w:lang w:eastAsia="en-US"/>
        </w:rPr>
        <w:t>Washington Surveying &amp; Rating Bureau</w:t>
      </w:r>
      <w:bookmarkEnd w:id="49"/>
    </w:p>
    <w:p w14:paraId="53E0C3EE" w14:textId="0D8A1B1B" w:rsidR="0004363E" w:rsidRDefault="0004363E" w:rsidP="0004363E">
      <w:r w:rsidRPr="00C90D19">
        <w:t>PFD enjoys a Public Protection Class (PPC) 5 from the Washington Survey</w:t>
      </w:r>
      <w:r w:rsidR="0096232E">
        <w:t>ing</w:t>
      </w:r>
      <w:r w:rsidRPr="00C90D19">
        <w:t xml:space="preserve"> &amp; Rating Bureau (WSRB).  This rating is what many insurance companies base their insurance premiums on for privately insured properties. The higher the PPC class, the greater the likelihood that individual property insurance premiums will increase</w:t>
      </w:r>
      <w:r>
        <w:t>, especially for commercial properties</w:t>
      </w:r>
      <w:r w:rsidRPr="00C90D19">
        <w:t xml:space="preserve">. The WSRB rates four major areas: </w:t>
      </w:r>
      <w:r w:rsidRPr="00C90D19">
        <w:rPr>
          <w:i/>
        </w:rPr>
        <w:t>Fire Department</w:t>
      </w:r>
      <w:r w:rsidRPr="00C90D19">
        <w:t xml:space="preserve"> (40</w:t>
      </w:r>
      <w:r w:rsidR="00A33BD1">
        <w:t xml:space="preserve"> percent</w:t>
      </w:r>
      <w:r w:rsidRPr="00C90D19">
        <w:t xml:space="preserve"> of total PPC), </w:t>
      </w:r>
      <w:r w:rsidRPr="00C90D19">
        <w:rPr>
          <w:i/>
        </w:rPr>
        <w:t>Water Supply</w:t>
      </w:r>
      <w:r w:rsidRPr="00C90D19">
        <w:t xml:space="preserve"> (35</w:t>
      </w:r>
      <w:r w:rsidR="00A33BD1">
        <w:t xml:space="preserve"> percent</w:t>
      </w:r>
      <w:r w:rsidRPr="00C90D19">
        <w:t xml:space="preserve"> of total PPC), </w:t>
      </w:r>
      <w:r w:rsidRPr="00C90D19">
        <w:rPr>
          <w:i/>
          <w:iCs/>
        </w:rPr>
        <w:t>Fire Safety Control (fire prevention – 16</w:t>
      </w:r>
      <w:r w:rsidR="00A33BD1">
        <w:rPr>
          <w:i/>
          <w:iCs/>
        </w:rPr>
        <w:t xml:space="preserve"> percent</w:t>
      </w:r>
      <w:r w:rsidRPr="00C90D19">
        <w:rPr>
          <w:i/>
          <w:iCs/>
        </w:rPr>
        <w:t xml:space="preserve"> of total PPC)</w:t>
      </w:r>
      <w:r w:rsidRPr="00C90D19">
        <w:t xml:space="preserve">, and </w:t>
      </w:r>
      <w:r w:rsidRPr="00C90D19">
        <w:rPr>
          <w:i/>
        </w:rPr>
        <w:t>Emergency Communications</w:t>
      </w:r>
      <w:r w:rsidRPr="00C90D19">
        <w:t xml:space="preserve"> (9</w:t>
      </w:r>
      <w:r w:rsidR="00A33BD1">
        <w:t xml:space="preserve"> percent</w:t>
      </w:r>
      <w:r w:rsidRPr="00C90D19">
        <w:t xml:space="preserve"> of total PPC). Within these major areas are subcategories. The combined total points issued in these areas is compiled to provide a total classification on a scale of 1 to 10, with 10 being without fire protection and 1 being the best fire protection available.</w:t>
      </w:r>
    </w:p>
    <w:p w14:paraId="70C95980" w14:textId="77777777" w:rsidR="0004363E" w:rsidRDefault="0004363E" w:rsidP="00A33BD1">
      <w:pPr>
        <w:spacing w:after="0"/>
      </w:pPr>
      <w:r>
        <w:t>There are opportunities to improve in areas of the PPC that increase the likelihood of PFD receiving a Class 4 in its next rerate.  The following specific areas represent opportunities for significant improvement:</w:t>
      </w:r>
    </w:p>
    <w:p w14:paraId="777B6DBF" w14:textId="6484BA3B" w:rsidR="0004363E" w:rsidRDefault="0004363E" w:rsidP="007705AA">
      <w:pPr>
        <w:pStyle w:val="ListParagraph"/>
        <w:numPr>
          <w:ilvl w:val="0"/>
          <w:numId w:val="28"/>
        </w:numPr>
        <w:spacing w:after="120" w:line="240" w:lineRule="auto"/>
        <w:contextualSpacing w:val="0"/>
      </w:pPr>
      <w:r>
        <w:t>C</w:t>
      </w:r>
      <w:r w:rsidR="00DB5DC5">
        <w:t>ontinue c</w:t>
      </w:r>
      <w:r>
        <w:t>onducting annual hydrant inspections, including operation and checking static pressure. Flow testing the system grids should occur every five years</w:t>
      </w:r>
      <w:r w:rsidR="00DB5DC5">
        <w:t>, which is not currently being performed</w:t>
      </w:r>
      <w:r>
        <w:t>.</w:t>
      </w:r>
    </w:p>
    <w:p w14:paraId="552E281B" w14:textId="5C0FC29D" w:rsidR="0004363E" w:rsidRDefault="0004363E" w:rsidP="007705AA">
      <w:pPr>
        <w:pStyle w:val="ListParagraph"/>
        <w:numPr>
          <w:ilvl w:val="0"/>
          <w:numId w:val="28"/>
        </w:numPr>
        <w:spacing w:after="120" w:line="240" w:lineRule="auto"/>
        <w:contextualSpacing w:val="0"/>
      </w:pPr>
      <w:r>
        <w:t>Positioning staffed fire apparatus in a strategic manner to extend an effective reach to the str</w:t>
      </w:r>
      <w:r w:rsidR="002C5B0C">
        <w:t>uctures within the city</w:t>
      </w:r>
      <w:r>
        <w:t xml:space="preserve">.  This topic is addressed in greater detail in the </w:t>
      </w:r>
      <w:r w:rsidRPr="004F75D5">
        <w:rPr>
          <w:i/>
        </w:rPr>
        <w:t>Service Delivery and Performance</w:t>
      </w:r>
      <w:r w:rsidR="002C5B0C">
        <w:t xml:space="preserve"> s</w:t>
      </w:r>
      <w:r>
        <w:t>ection of this report.</w:t>
      </w:r>
    </w:p>
    <w:p w14:paraId="66C5670D" w14:textId="77777777" w:rsidR="0004363E" w:rsidRDefault="0004363E" w:rsidP="007705AA">
      <w:pPr>
        <w:pStyle w:val="ListParagraph"/>
        <w:numPr>
          <w:ilvl w:val="0"/>
          <w:numId w:val="28"/>
        </w:numPr>
        <w:spacing w:after="120" w:line="240" w:lineRule="auto"/>
        <w:contextualSpacing w:val="0"/>
      </w:pPr>
      <w:r>
        <w:t>Increasing the staffing on existing deployed fire apparatus.  EMS units may be factored into overall staffing, depending on how often they are actually available to respond to fires.</w:t>
      </w:r>
    </w:p>
    <w:p w14:paraId="3E0F565C" w14:textId="71282102" w:rsidR="0004363E" w:rsidRDefault="0004363E" w:rsidP="007705AA">
      <w:pPr>
        <w:pStyle w:val="ListParagraph"/>
        <w:numPr>
          <w:ilvl w:val="0"/>
          <w:numId w:val="28"/>
        </w:numPr>
        <w:spacing w:after="120" w:line="240" w:lineRule="auto"/>
        <w:contextualSpacing w:val="0"/>
      </w:pPr>
      <w:r>
        <w:t>Con</w:t>
      </w:r>
      <w:r w:rsidR="00DB5DC5">
        <w:t>tinue con</w:t>
      </w:r>
      <w:r>
        <w:t>ducting annual fire code inspections of commercial occupancies by certified fire code inspectors.</w:t>
      </w:r>
    </w:p>
    <w:p w14:paraId="1B487E00" w14:textId="77777777" w:rsidR="0004363E" w:rsidRDefault="0004363E" w:rsidP="0004363E">
      <w:pPr>
        <w:pStyle w:val="Heading3"/>
      </w:pPr>
      <w:bookmarkStart w:id="50" w:name="_Toc464323551"/>
      <w:r>
        <w:t>Activity Comparisons</w:t>
      </w:r>
      <w:bookmarkEnd w:id="50"/>
    </w:p>
    <w:p w14:paraId="471694C0" w14:textId="57985975" w:rsidR="0004363E" w:rsidRDefault="0004363E" w:rsidP="0004363E">
      <w:r>
        <w:t xml:space="preserve">ESCI has compared PFD against similar sized fire agencies within the </w:t>
      </w:r>
      <w:r w:rsidR="002C5B0C">
        <w:t>13</w:t>
      </w:r>
      <w:r>
        <w:t xml:space="preserve"> western states using National Fire Protection Association (NFPA) benchmark data for 2015. </w:t>
      </w:r>
      <w:r w:rsidRPr="00045998">
        <w:t xml:space="preserve">“Region” </w:t>
      </w:r>
      <w:r>
        <w:t xml:space="preserve">as used in the following figures </w:t>
      </w:r>
      <w:r w:rsidRPr="00045998">
        <w:t>is defined as fire agencies in Alaska, Arizona, California, Colorado, Hawaii, Idaho, Montana, Nevada, New Mexico, Oregon, Utah, Washington</w:t>
      </w:r>
      <w:r w:rsidR="002C5B0C">
        <w:t>,</w:t>
      </w:r>
      <w:r w:rsidRPr="00045998">
        <w:t xml:space="preserve"> and Wyoming serving a population of between 50,000-99,999.</w:t>
      </w:r>
      <w:r>
        <w:t xml:space="preserve"> </w:t>
      </w:r>
    </w:p>
    <w:p w14:paraId="48555FEB" w14:textId="77777777" w:rsidR="0004363E" w:rsidRPr="001C5DDD" w:rsidRDefault="0004363E" w:rsidP="0004363E">
      <w:r>
        <w:t xml:space="preserve">For a </w:t>
      </w:r>
      <w:r w:rsidRPr="00915F74">
        <w:t xml:space="preserve">primarily suburban </w:t>
      </w:r>
      <w:r>
        <w:t xml:space="preserve">fire department, PFD is a very busy department, as the following figure depicts. </w:t>
      </w:r>
    </w:p>
    <w:p w14:paraId="0E4D8FDE" w14:textId="2091FCD5" w:rsidR="0004363E" w:rsidRPr="00625A53" w:rsidRDefault="0004363E" w:rsidP="00C7448A">
      <w:pPr>
        <w:pStyle w:val="Caption"/>
      </w:pPr>
      <w:bookmarkStart w:id="51" w:name="_Toc451168821"/>
      <w:bookmarkStart w:id="52" w:name="_Toc464323645"/>
      <w:r w:rsidRPr="00625A53">
        <w:lastRenderedPageBreak/>
        <w:t xml:space="preserve">Figure </w:t>
      </w:r>
      <w:r w:rsidR="00432AD4">
        <w:fldChar w:fldCharType="begin"/>
      </w:r>
      <w:r w:rsidR="00432AD4">
        <w:instrText xml:space="preserve"> SEQ Figure \* ARABIC </w:instrText>
      </w:r>
      <w:r w:rsidR="00432AD4">
        <w:fldChar w:fldCharType="separate"/>
      </w:r>
      <w:r w:rsidR="008209A2">
        <w:rPr>
          <w:noProof/>
        </w:rPr>
        <w:t>3</w:t>
      </w:r>
      <w:r w:rsidR="00432AD4">
        <w:rPr>
          <w:noProof/>
        </w:rPr>
        <w:fldChar w:fldCharType="end"/>
      </w:r>
      <w:r w:rsidR="00C7448A">
        <w:t xml:space="preserve">: </w:t>
      </w:r>
      <w:r w:rsidRPr="00625A53">
        <w:t>Total Incidents per 1,000 Population</w:t>
      </w:r>
      <w:r w:rsidR="00C7448A">
        <w:t>,</w:t>
      </w:r>
      <w:r>
        <w:t xml:space="preserve"> 2015</w:t>
      </w:r>
      <w:r w:rsidRPr="00625A53">
        <w:rPr>
          <w:rFonts w:cs="Arial"/>
          <w:vertAlign w:val="superscript"/>
        </w:rPr>
        <w:footnoteReference w:id="10"/>
      </w:r>
      <w:bookmarkEnd w:id="51"/>
      <w:bookmarkEnd w:id="52"/>
      <w:r w:rsidRPr="00625A53">
        <w:t xml:space="preserve"> </w:t>
      </w:r>
    </w:p>
    <w:p w14:paraId="5094F4CA" w14:textId="77777777" w:rsidR="0004363E" w:rsidRDefault="0004363E" w:rsidP="0004363E">
      <w:pPr>
        <w:keepNext/>
        <w:spacing w:after="120" w:line="240" w:lineRule="auto"/>
        <w:jc w:val="center"/>
        <w:rPr>
          <w:rFonts w:asciiTheme="majorHAnsi" w:hAnsiTheme="majorHAnsi" w:cstheme="majorHAnsi"/>
          <w:b/>
          <w:bCs/>
          <w:sz w:val="20"/>
          <w:szCs w:val="20"/>
          <w:highlight w:val="yellow"/>
        </w:rPr>
      </w:pPr>
      <w:r>
        <w:rPr>
          <w:noProof/>
          <w:lang w:eastAsia="en-US"/>
        </w:rPr>
        <w:drawing>
          <wp:inline distT="0" distB="0" distL="0" distR="0" wp14:anchorId="481CA2F6" wp14:editId="743FED8F">
            <wp:extent cx="2095500" cy="4000500"/>
            <wp:effectExtent l="0" t="0" r="0" b="0"/>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7D7FCB9C" w14:textId="7AABD834" w:rsidR="0004363E" w:rsidRDefault="0004363E" w:rsidP="0004363E">
      <w:pPr>
        <w:spacing w:after="240"/>
        <w:rPr>
          <w:rFonts w:eastAsia="Calibri" w:cs="Calibri"/>
        </w:rPr>
      </w:pPr>
      <w:r w:rsidRPr="00B02117">
        <w:rPr>
          <w:rFonts w:eastAsia="Calibri" w:cs="Calibri"/>
        </w:rPr>
        <w:t>In total incidents, PFD experienced 74.7 emergency responses per 1,000 population in its service area</w:t>
      </w:r>
      <w:r>
        <w:rPr>
          <w:rFonts w:eastAsia="Calibri" w:cs="Calibri"/>
        </w:rPr>
        <w:t xml:space="preserve">, which is eight more responses per </w:t>
      </w:r>
      <w:r w:rsidR="006B080D">
        <w:rPr>
          <w:rFonts w:eastAsia="Calibri" w:cs="Calibri"/>
        </w:rPr>
        <w:t>1,000</w:t>
      </w:r>
      <w:r>
        <w:rPr>
          <w:rFonts w:eastAsia="Calibri" w:cs="Calibri"/>
        </w:rPr>
        <w:t xml:space="preserve"> population served (or 544 total responses more per year) than the regional median</w:t>
      </w:r>
      <w:r w:rsidRPr="00B02117">
        <w:rPr>
          <w:rFonts w:eastAsia="Calibri" w:cs="Calibri"/>
        </w:rPr>
        <w:t xml:space="preserve">.  </w:t>
      </w:r>
    </w:p>
    <w:p w14:paraId="2AB324E5" w14:textId="77777777" w:rsidR="0004363E" w:rsidRPr="00B02117" w:rsidRDefault="0004363E" w:rsidP="0004363E">
      <w:pPr>
        <w:spacing w:after="240"/>
        <w:rPr>
          <w:rFonts w:cs="Calibri"/>
        </w:rPr>
      </w:pPr>
      <w:r w:rsidRPr="00B02117">
        <w:rPr>
          <w:rFonts w:eastAsia="Calibri" w:cs="Calibri"/>
        </w:rPr>
        <w:t>A similar comparison is offered in the following figure, referencing only fires that occurred on a per 1,000 population basis.</w:t>
      </w:r>
    </w:p>
    <w:p w14:paraId="359B3D88" w14:textId="72F44CE2" w:rsidR="0004363E" w:rsidRDefault="0004363E" w:rsidP="00C7448A">
      <w:pPr>
        <w:pStyle w:val="Caption"/>
      </w:pPr>
      <w:bookmarkStart w:id="53" w:name="_Toc451168822"/>
      <w:bookmarkStart w:id="54" w:name="_Toc464323646"/>
      <w:r w:rsidRPr="00625A53">
        <w:lastRenderedPageBreak/>
        <w:t xml:space="preserve">Figure </w:t>
      </w:r>
      <w:r w:rsidR="00432AD4">
        <w:fldChar w:fldCharType="begin"/>
      </w:r>
      <w:r w:rsidR="00432AD4">
        <w:instrText xml:space="preserve"> SEQ Figure \* ARABIC </w:instrText>
      </w:r>
      <w:r w:rsidR="00432AD4">
        <w:fldChar w:fldCharType="separate"/>
      </w:r>
      <w:r w:rsidR="008209A2">
        <w:rPr>
          <w:noProof/>
        </w:rPr>
        <w:t>4</w:t>
      </w:r>
      <w:r w:rsidR="00432AD4">
        <w:rPr>
          <w:noProof/>
        </w:rPr>
        <w:fldChar w:fldCharType="end"/>
      </w:r>
      <w:r w:rsidR="00C7448A">
        <w:t xml:space="preserve">: </w:t>
      </w:r>
      <w:r w:rsidRPr="00625A53">
        <w:t>Fires per 1,000 Population</w:t>
      </w:r>
      <w:r w:rsidR="00C7448A">
        <w:t>,</w:t>
      </w:r>
      <w:r>
        <w:t xml:space="preserve"> 2015</w:t>
      </w:r>
      <w:r w:rsidRPr="00625A53">
        <w:rPr>
          <w:rFonts w:cs="Arial"/>
          <w:vertAlign w:val="superscript"/>
        </w:rPr>
        <w:footnoteReference w:id="11"/>
      </w:r>
      <w:bookmarkEnd w:id="53"/>
      <w:bookmarkEnd w:id="54"/>
      <w:r w:rsidRPr="00625A53">
        <w:t xml:space="preserve"> </w:t>
      </w:r>
    </w:p>
    <w:p w14:paraId="1F946A2B" w14:textId="77777777" w:rsidR="0004363E" w:rsidRPr="00B02117" w:rsidRDefault="0004363E" w:rsidP="0004363E">
      <w:pPr>
        <w:keepNext/>
        <w:spacing w:after="120" w:line="240" w:lineRule="auto"/>
        <w:jc w:val="center"/>
        <w:rPr>
          <w:rFonts w:asciiTheme="majorHAnsi" w:hAnsiTheme="majorHAnsi" w:cstheme="majorHAnsi"/>
          <w:b/>
          <w:bCs/>
          <w:sz w:val="20"/>
          <w:szCs w:val="20"/>
        </w:rPr>
      </w:pPr>
      <w:r>
        <w:rPr>
          <w:noProof/>
          <w:lang w:eastAsia="en-US"/>
        </w:rPr>
        <w:drawing>
          <wp:inline distT="0" distB="0" distL="0" distR="0" wp14:anchorId="7D499116" wp14:editId="58C00EBA">
            <wp:extent cx="1687830" cy="3324225"/>
            <wp:effectExtent l="0" t="0" r="7620" b="0"/>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r>
        <w:rPr>
          <w:noProof/>
          <w:lang w:eastAsia="en-US"/>
        </w:rPr>
        <w:t xml:space="preserve"> </w:t>
      </w:r>
    </w:p>
    <w:p w14:paraId="1BB9AC58" w14:textId="77777777" w:rsidR="0004363E" w:rsidRDefault="0004363E" w:rsidP="0004363E">
      <w:pPr>
        <w:spacing w:after="240"/>
        <w:rPr>
          <w:rFonts w:eastAsia="Calibri" w:cs="Calibri"/>
        </w:rPr>
      </w:pPr>
      <w:r w:rsidRPr="00B02117">
        <w:rPr>
          <w:rFonts w:eastAsia="Calibri" w:cs="Calibri"/>
        </w:rPr>
        <w:t>At four fires per 1,000 population served, the occurrence of fires in the PFD service area is double the regional median</w:t>
      </w:r>
      <w:r>
        <w:rPr>
          <w:rFonts w:eastAsia="Calibri" w:cs="Calibri"/>
        </w:rPr>
        <w:t>, or 136 more fires annually than the regional median.</w:t>
      </w:r>
      <w:r w:rsidRPr="00B02117">
        <w:rPr>
          <w:rFonts w:eastAsia="Calibri" w:cs="Calibri"/>
        </w:rPr>
        <w:t xml:space="preserve"> The following provides a comparison of dollar losses to fires on a per-capita basis compared to regional and national averages.</w:t>
      </w:r>
    </w:p>
    <w:p w14:paraId="3D1572B4" w14:textId="4D0E9ABD" w:rsidR="0004363E" w:rsidRPr="009249C3" w:rsidRDefault="0004363E" w:rsidP="00C7448A">
      <w:pPr>
        <w:pStyle w:val="Caption"/>
      </w:pPr>
      <w:bookmarkStart w:id="55" w:name="_Toc451168823"/>
      <w:bookmarkStart w:id="56" w:name="_Toc464323647"/>
      <w:r w:rsidRPr="009249C3">
        <w:lastRenderedPageBreak/>
        <w:t xml:space="preserve">Figure </w:t>
      </w:r>
      <w:r w:rsidR="00432AD4">
        <w:fldChar w:fldCharType="begin"/>
      </w:r>
      <w:r w:rsidR="00432AD4">
        <w:instrText xml:space="preserve"> SEQ Figur</w:instrText>
      </w:r>
      <w:r w:rsidR="00432AD4">
        <w:instrText xml:space="preserve">e \* ARABIC </w:instrText>
      </w:r>
      <w:r w:rsidR="00432AD4">
        <w:fldChar w:fldCharType="separate"/>
      </w:r>
      <w:r w:rsidR="008209A2">
        <w:rPr>
          <w:noProof/>
        </w:rPr>
        <w:t>5</w:t>
      </w:r>
      <w:r w:rsidR="00432AD4">
        <w:rPr>
          <w:noProof/>
        </w:rPr>
        <w:fldChar w:fldCharType="end"/>
      </w:r>
      <w:r w:rsidR="00C7448A">
        <w:t>:</w:t>
      </w:r>
      <w:r w:rsidRPr="009249C3">
        <w:t>Fire Loss per Capita</w:t>
      </w:r>
      <w:r w:rsidR="00C7448A">
        <w:t>,</w:t>
      </w:r>
      <w:r>
        <w:t xml:space="preserve"> 2015</w:t>
      </w:r>
      <w:r w:rsidRPr="009249C3">
        <w:rPr>
          <w:rFonts w:cs="Arial"/>
          <w:vertAlign w:val="superscript"/>
        </w:rPr>
        <w:footnoteReference w:id="12"/>
      </w:r>
      <w:bookmarkEnd w:id="55"/>
      <w:bookmarkEnd w:id="56"/>
      <w:r w:rsidRPr="009249C3">
        <w:t xml:space="preserve"> </w:t>
      </w:r>
    </w:p>
    <w:p w14:paraId="7ADE28D9" w14:textId="77777777" w:rsidR="0004363E" w:rsidRPr="00F87BDB" w:rsidRDefault="0004363E" w:rsidP="0004363E">
      <w:pPr>
        <w:keepNext/>
        <w:spacing w:after="120" w:line="240" w:lineRule="auto"/>
        <w:jc w:val="center"/>
        <w:rPr>
          <w:rFonts w:asciiTheme="majorHAnsi" w:hAnsiTheme="majorHAnsi" w:cstheme="majorHAnsi"/>
          <w:b/>
          <w:bCs/>
          <w:sz w:val="20"/>
          <w:szCs w:val="20"/>
          <w:highlight w:val="yellow"/>
        </w:rPr>
      </w:pPr>
      <w:r>
        <w:rPr>
          <w:noProof/>
          <w:lang w:eastAsia="en-US"/>
        </w:rPr>
        <w:drawing>
          <wp:inline distT="0" distB="0" distL="0" distR="0" wp14:anchorId="38D5A7D0" wp14:editId="4238A850">
            <wp:extent cx="4631391" cy="2695575"/>
            <wp:effectExtent l="0" t="0" r="0" b="0"/>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37D1F548" w14:textId="1768B484" w:rsidR="0004363E" w:rsidRPr="00520117" w:rsidRDefault="0004363E" w:rsidP="0004363E">
      <w:pPr>
        <w:rPr>
          <w:rFonts w:cs="Calibri"/>
        </w:rPr>
      </w:pPr>
      <w:r w:rsidRPr="00520117">
        <w:rPr>
          <w:rFonts w:eastAsia="Calibri" w:cs="Calibri"/>
        </w:rPr>
        <w:t xml:space="preserve">Given that PFD’s service area experiences fires at double the regional median, it is remarkable that the fire loss per capita is </w:t>
      </w:r>
      <w:r w:rsidRPr="00045998">
        <w:rPr>
          <w:rFonts w:eastAsia="Calibri" w:cs="Calibri"/>
        </w:rPr>
        <w:t xml:space="preserve">significantly </w:t>
      </w:r>
      <w:r w:rsidRPr="00520117">
        <w:rPr>
          <w:rFonts w:eastAsia="Calibri" w:cs="Calibri"/>
        </w:rPr>
        <w:t xml:space="preserve">less than half the regional median and </w:t>
      </w:r>
      <w:r>
        <w:rPr>
          <w:rFonts w:eastAsia="Calibri" w:cs="Calibri"/>
        </w:rPr>
        <w:t xml:space="preserve">less than half </w:t>
      </w:r>
      <w:r w:rsidRPr="00520117">
        <w:rPr>
          <w:rFonts w:eastAsia="Calibri" w:cs="Calibri"/>
        </w:rPr>
        <w:t>the national average.</w:t>
      </w:r>
      <w:r w:rsidR="00DB5DC5">
        <w:rPr>
          <w:rFonts w:eastAsia="Calibri" w:cs="Calibri"/>
        </w:rPr>
        <w:t xml:space="preserve">  </w:t>
      </w:r>
      <w:r w:rsidR="003F2864">
        <w:rPr>
          <w:rFonts w:eastAsia="Calibri" w:cs="Calibri"/>
        </w:rPr>
        <w:t xml:space="preserve">This is likely an erroneous data set from Pasco.  </w:t>
      </w:r>
      <w:r w:rsidR="00DB5DC5">
        <w:rPr>
          <w:rFonts w:eastAsia="Calibri" w:cs="Calibri"/>
        </w:rPr>
        <w:t xml:space="preserve">The PFD </w:t>
      </w:r>
      <w:r w:rsidR="003F2864">
        <w:rPr>
          <w:rFonts w:eastAsia="Calibri" w:cs="Calibri"/>
        </w:rPr>
        <w:t xml:space="preserve">crews </w:t>
      </w:r>
      <w:r w:rsidR="00DB5DC5">
        <w:rPr>
          <w:rFonts w:eastAsia="Calibri" w:cs="Calibri"/>
        </w:rPr>
        <w:t>roughly estimate the fire loss for a given property.  Contacting the insurance carrier for actual losses will improve fire loss reporting accuracy</w:t>
      </w:r>
      <w:r w:rsidR="003F2864">
        <w:rPr>
          <w:rFonts w:eastAsia="Calibri" w:cs="Calibri"/>
        </w:rPr>
        <w:t>, likely increasing the fire loss per capita rate</w:t>
      </w:r>
      <w:r w:rsidR="00DB5DC5">
        <w:rPr>
          <w:rFonts w:eastAsia="Calibri" w:cs="Calibri"/>
        </w:rPr>
        <w:t>.</w:t>
      </w:r>
    </w:p>
    <w:p w14:paraId="0CBBAD17" w14:textId="6D364BA4" w:rsidR="0004363E" w:rsidRPr="00520117" w:rsidRDefault="0004363E" w:rsidP="0004363E">
      <w:pPr>
        <w:rPr>
          <w:rFonts w:cs="Calibri"/>
        </w:rPr>
      </w:pPr>
      <w:r>
        <w:rPr>
          <w:rFonts w:eastAsia="Calibri" w:cs="Calibri"/>
        </w:rPr>
        <w:t xml:space="preserve">It is important to note that the above referenced data sets are </w:t>
      </w:r>
      <w:r w:rsidRPr="00520117">
        <w:rPr>
          <w:rFonts w:eastAsia="Calibri" w:cs="Calibri"/>
        </w:rPr>
        <w:t>a one-year snapshot</w:t>
      </w:r>
      <w:r>
        <w:rPr>
          <w:rFonts w:eastAsia="Calibri" w:cs="Calibri"/>
        </w:rPr>
        <w:t xml:space="preserve">; </w:t>
      </w:r>
      <w:r w:rsidR="006B080D">
        <w:rPr>
          <w:rFonts w:eastAsia="Calibri" w:cs="Calibri"/>
        </w:rPr>
        <w:t>they</w:t>
      </w:r>
      <w:r w:rsidRPr="00520117">
        <w:rPr>
          <w:rFonts w:eastAsia="Calibri" w:cs="Calibri"/>
        </w:rPr>
        <w:t xml:space="preserve"> may not be an accurate representative of overall trends. </w:t>
      </w:r>
    </w:p>
    <w:tbl>
      <w:tblPr>
        <w:tblStyle w:val="TableGrid11"/>
        <w:tblW w:w="5000" w:type="pct"/>
        <w:jc w:val="center"/>
        <w:tblBorders>
          <w:top w:val="single" w:sz="8" w:space="0" w:color="365F91" w:themeColor="accent1" w:themeShade="BF"/>
          <w:left w:val="single" w:sz="8" w:space="0" w:color="365F91" w:themeColor="accent1" w:themeShade="BF"/>
          <w:bottom w:val="single" w:sz="8" w:space="0" w:color="365F91" w:themeColor="accent1" w:themeShade="BF"/>
          <w:right w:val="single" w:sz="8" w:space="0" w:color="365F91" w:themeColor="accent1" w:themeShade="BF"/>
          <w:insideH w:val="none" w:sz="0" w:space="0" w:color="auto"/>
          <w:insideV w:val="none" w:sz="0" w:space="0" w:color="auto"/>
        </w:tblBorders>
        <w:shd w:val="clear" w:color="auto" w:fill="F0F0F0"/>
        <w:tblLayout w:type="fixed"/>
        <w:tblCellMar>
          <w:top w:w="29" w:type="dxa"/>
          <w:left w:w="144" w:type="dxa"/>
          <w:bottom w:w="29" w:type="dxa"/>
          <w:right w:w="115" w:type="dxa"/>
        </w:tblCellMar>
        <w:tblLook w:val="04A0" w:firstRow="1" w:lastRow="0" w:firstColumn="1" w:lastColumn="0" w:noHBand="0" w:noVBand="1"/>
      </w:tblPr>
      <w:tblGrid>
        <w:gridCol w:w="9619"/>
      </w:tblGrid>
      <w:tr w:rsidR="0004363E" w:rsidRPr="00F87BDB" w14:paraId="78EF0847" w14:textId="77777777" w:rsidTr="00BC0E09">
        <w:trPr>
          <w:trHeight w:val="360"/>
          <w:jc w:val="center"/>
        </w:trPr>
        <w:tc>
          <w:tcPr>
            <w:tcW w:w="9360" w:type="dxa"/>
            <w:shd w:val="clear" w:color="auto" w:fill="F0F0F0"/>
            <w:vAlign w:val="center"/>
          </w:tcPr>
          <w:p w14:paraId="16EC0E58" w14:textId="066F5E60" w:rsidR="0004363E" w:rsidRPr="006331CD" w:rsidRDefault="00BC0E09" w:rsidP="00140AB4">
            <w:pPr>
              <w:spacing w:after="0"/>
              <w:jc w:val="left"/>
              <w:rPr>
                <w:rFonts w:eastAsia="Calibri" w:cs="Times New Roman"/>
                <w:b/>
                <w:caps/>
                <w:lang w:eastAsia="en-US"/>
              </w:rPr>
            </w:pPr>
            <w:r w:rsidRPr="006331CD">
              <w:rPr>
                <w:rFonts w:eastAsia="Times New Roman,Calibri" w:cs="Times New Roman,Calibri"/>
                <w:b/>
                <w:bCs/>
                <w:lang w:eastAsia="en-US"/>
              </w:rPr>
              <w:t>Recommendations:</w:t>
            </w:r>
          </w:p>
        </w:tc>
      </w:tr>
      <w:tr w:rsidR="0004363E" w:rsidRPr="00F87BDB" w14:paraId="582377BB" w14:textId="77777777" w:rsidTr="00BC0E09">
        <w:trPr>
          <w:jc w:val="center"/>
        </w:trPr>
        <w:tc>
          <w:tcPr>
            <w:tcW w:w="9360" w:type="dxa"/>
            <w:shd w:val="clear" w:color="auto" w:fill="F0F0F0"/>
            <w:tcMar>
              <w:top w:w="29" w:type="dxa"/>
              <w:left w:w="115" w:type="dxa"/>
              <w:bottom w:w="29" w:type="dxa"/>
              <w:right w:w="115" w:type="dxa"/>
            </w:tcMar>
            <w:vAlign w:val="center"/>
          </w:tcPr>
          <w:p w14:paraId="051D827C" w14:textId="756D2900" w:rsidR="0004363E" w:rsidRPr="006331CD" w:rsidRDefault="0004363E" w:rsidP="003F2864">
            <w:pPr>
              <w:numPr>
                <w:ilvl w:val="0"/>
                <w:numId w:val="17"/>
              </w:numPr>
              <w:spacing w:after="120"/>
              <w:contextualSpacing/>
              <w:jc w:val="left"/>
              <w:rPr>
                <w:rFonts w:eastAsia="Times New Roman,Calibri" w:cs="Times New Roman,Calibri"/>
                <w:color w:val="000000"/>
                <w:lang w:eastAsia="en-US"/>
              </w:rPr>
            </w:pPr>
            <w:r w:rsidRPr="006331CD">
              <w:rPr>
                <w:rFonts w:eastAsia="Times New Roman,Calibri" w:cs="Times New Roman,Calibri"/>
                <w:color w:val="000000" w:themeColor="text1"/>
                <w:lang w:eastAsia="en-US"/>
              </w:rPr>
              <w:t xml:space="preserve">Consider implementing improvements in hydrant </w:t>
            </w:r>
            <w:r w:rsidR="003F2864">
              <w:rPr>
                <w:rFonts w:eastAsia="Times New Roman,Calibri" w:cs="Times New Roman,Calibri"/>
                <w:color w:val="000000" w:themeColor="text1"/>
                <w:lang w:eastAsia="en-US"/>
              </w:rPr>
              <w:t xml:space="preserve">flow </w:t>
            </w:r>
            <w:r w:rsidRPr="006331CD">
              <w:rPr>
                <w:rFonts w:eastAsia="Times New Roman,Calibri" w:cs="Times New Roman,Calibri"/>
                <w:color w:val="000000" w:themeColor="text1"/>
                <w:lang w:eastAsia="en-US"/>
              </w:rPr>
              <w:t xml:space="preserve">testing, resource deployment, </w:t>
            </w:r>
            <w:r w:rsidR="003F2864">
              <w:rPr>
                <w:rFonts w:eastAsia="Times New Roman,Calibri" w:cs="Times New Roman,Calibri"/>
                <w:color w:val="000000" w:themeColor="text1"/>
                <w:lang w:eastAsia="en-US"/>
              </w:rPr>
              <w:t xml:space="preserve">and </w:t>
            </w:r>
            <w:r w:rsidRPr="006331CD">
              <w:rPr>
                <w:rFonts w:eastAsia="Times New Roman,Calibri" w:cs="Times New Roman,Calibri"/>
                <w:color w:val="000000" w:themeColor="text1"/>
                <w:lang w:eastAsia="en-US"/>
              </w:rPr>
              <w:t>staffing</w:t>
            </w:r>
            <w:r w:rsidR="006B080D" w:rsidRPr="006331CD">
              <w:rPr>
                <w:rFonts w:eastAsia="Times New Roman,Calibri" w:cs="Times New Roman,Calibri"/>
                <w:color w:val="000000" w:themeColor="text1"/>
                <w:lang w:eastAsia="en-US"/>
              </w:rPr>
              <w:t xml:space="preserve"> to achieve a PPC </w:t>
            </w:r>
            <w:r w:rsidRPr="006331CD">
              <w:rPr>
                <w:rFonts w:eastAsia="Times New Roman,Calibri" w:cs="Times New Roman,Calibri"/>
                <w:color w:val="000000" w:themeColor="text1"/>
                <w:lang w:eastAsia="en-US"/>
              </w:rPr>
              <w:t>4</w:t>
            </w:r>
            <w:r w:rsidR="006B080D" w:rsidRPr="006331CD">
              <w:rPr>
                <w:rFonts w:eastAsia="Times New Roman,Calibri" w:cs="Times New Roman,Calibri"/>
                <w:color w:val="000000" w:themeColor="text1"/>
                <w:lang w:eastAsia="en-US"/>
              </w:rPr>
              <w:t xml:space="preserve"> rating</w:t>
            </w:r>
            <w:r w:rsidRPr="006331CD">
              <w:rPr>
                <w:rFonts w:eastAsia="Times New Roman,Calibri" w:cs="Times New Roman,Calibri"/>
                <w:color w:val="000000" w:themeColor="text1"/>
                <w:lang w:eastAsia="en-US"/>
              </w:rPr>
              <w:t>.</w:t>
            </w:r>
          </w:p>
        </w:tc>
      </w:tr>
    </w:tbl>
    <w:p w14:paraId="63B532F9" w14:textId="77777777" w:rsidR="0004363E" w:rsidRPr="00F87BDB" w:rsidRDefault="0004363E" w:rsidP="0004363E">
      <w:pPr>
        <w:rPr>
          <w:highlight w:val="yellow"/>
        </w:rPr>
      </w:pPr>
    </w:p>
    <w:p w14:paraId="6EE02F51" w14:textId="77777777" w:rsidR="001F4F58" w:rsidRDefault="001F4F58">
      <w:pPr>
        <w:spacing w:after="200"/>
        <w:jc w:val="left"/>
        <w:rPr>
          <w:rFonts w:eastAsia="Calibri" w:cstheme="majorBidi"/>
          <w:b/>
          <w:bCs/>
          <w:i/>
          <w:color w:val="808080" w:themeColor="background1" w:themeShade="80"/>
          <w:sz w:val="24"/>
          <w:lang w:eastAsia="en-US"/>
        </w:rPr>
      </w:pPr>
      <w:r>
        <w:rPr>
          <w:rFonts w:eastAsia="Calibri"/>
          <w:lang w:eastAsia="en-US"/>
        </w:rPr>
        <w:br w:type="page"/>
      </w:r>
    </w:p>
    <w:p w14:paraId="4C9019EF" w14:textId="340FB25A" w:rsidR="005F515F" w:rsidRPr="001A4F32" w:rsidRDefault="005F515F" w:rsidP="000C206E">
      <w:pPr>
        <w:pStyle w:val="Heading2"/>
        <w:rPr>
          <w:rFonts w:cs="Calibri"/>
        </w:rPr>
      </w:pPr>
      <w:bookmarkStart w:id="57" w:name="_Toc357084141"/>
      <w:bookmarkStart w:id="58" w:name="_Toc464323552"/>
      <w:bookmarkEnd w:id="38"/>
      <w:bookmarkEnd w:id="39"/>
      <w:bookmarkEnd w:id="40"/>
      <w:r w:rsidRPr="001A4F32">
        <w:rPr>
          <w:rFonts w:cs="Calibri"/>
        </w:rPr>
        <w:lastRenderedPageBreak/>
        <w:t>Management Components</w:t>
      </w:r>
      <w:bookmarkEnd w:id="33"/>
      <w:bookmarkEnd w:id="34"/>
      <w:bookmarkEnd w:id="35"/>
      <w:bookmarkEnd w:id="36"/>
      <w:bookmarkEnd w:id="57"/>
      <w:bookmarkEnd w:id="58"/>
    </w:p>
    <w:p w14:paraId="183C3BDB" w14:textId="77777777" w:rsidR="0004363E" w:rsidRPr="005E20EC" w:rsidRDefault="0004363E" w:rsidP="0004363E">
      <w:pPr>
        <w:rPr>
          <w:rFonts w:eastAsia="Cambria" w:cs="Times New Roman"/>
        </w:rPr>
      </w:pPr>
      <w:bookmarkStart w:id="59" w:name="_Toc447483934"/>
      <w:bookmarkStart w:id="60" w:name="_Toc181002721"/>
      <w:bookmarkStart w:id="61" w:name="_Toc180897299"/>
      <w:bookmarkStart w:id="62" w:name="_Toc178065457"/>
      <w:bookmarkStart w:id="63" w:name="_Ref178058566"/>
      <w:bookmarkStart w:id="64" w:name="_Toc317482500"/>
      <w:bookmarkStart w:id="65" w:name="_Toc357084172"/>
      <w:r w:rsidRPr="005E20EC">
        <w:rPr>
          <w:rFonts w:eastAsia="Cambria" w:cs="Times New Roman"/>
        </w:rPr>
        <w:t>Effective fire department management is a complicated and expanding challenge for fire service leaders. With increasing complexity comes increased cost.  Today’s fire department must address management complexities that include an effective organizational structure, setting and measuring levels of service, staying abreast of new technologies and methods, evaluation and maintenance of a qualified work force, staff development for effective succession, and financial sustainability for the future.</w:t>
      </w:r>
      <w:r>
        <w:rPr>
          <w:rFonts w:eastAsia="Cambria" w:cs="Times New Roman"/>
        </w:rPr>
        <w:t xml:space="preserve"> This section of the report deals with the elements typically found in the management structure of an organization.</w:t>
      </w:r>
    </w:p>
    <w:p w14:paraId="59D0F981" w14:textId="77777777" w:rsidR="0004363E" w:rsidRPr="005E20EC" w:rsidRDefault="0004363E" w:rsidP="0004363E">
      <w:pPr>
        <w:pStyle w:val="Heading3"/>
        <w:rPr>
          <w:rFonts w:eastAsia="Times New Roman"/>
        </w:rPr>
      </w:pPr>
      <w:bookmarkStart w:id="66" w:name="_Toc390343372"/>
      <w:bookmarkStart w:id="67" w:name="_Toc399772129"/>
      <w:bookmarkStart w:id="68" w:name="_Toc405875729"/>
      <w:bookmarkStart w:id="69" w:name="_Toc464323553"/>
      <w:r w:rsidRPr="005E20EC">
        <w:rPr>
          <w:rFonts w:eastAsia="Times New Roman"/>
        </w:rPr>
        <w:t>Management Elements</w:t>
      </w:r>
      <w:bookmarkEnd w:id="66"/>
      <w:bookmarkEnd w:id="67"/>
      <w:bookmarkEnd w:id="68"/>
      <w:bookmarkEnd w:id="69"/>
    </w:p>
    <w:p w14:paraId="50D9FEF5" w14:textId="6E7BB966" w:rsidR="0004363E" w:rsidRDefault="0004363E" w:rsidP="00C33EBE">
      <w:pPr>
        <w:spacing w:after="0"/>
        <w:rPr>
          <w:rFonts w:eastAsia="Cambria" w:cs="Times New Roman"/>
        </w:rPr>
      </w:pPr>
      <w:r w:rsidRPr="003A5141">
        <w:rPr>
          <w:rFonts w:eastAsia="Cambria" w:cs="Times New Roman"/>
        </w:rPr>
        <w:t xml:space="preserve">An organization must have a plan in place, goals and objectives established and communicated, and metrics in place to measure effectiveness or achievement.  PFD has established goals and objectives, which are reviewed and reported on annually.  </w:t>
      </w:r>
      <w:r w:rsidRPr="005E20EC">
        <w:rPr>
          <w:rFonts w:eastAsia="Cambria" w:cs="Times New Roman"/>
        </w:rPr>
        <w:t xml:space="preserve">The </w:t>
      </w:r>
      <w:r w:rsidR="00C33EBE" w:rsidRPr="003A5141">
        <w:rPr>
          <w:rFonts w:eastAsia="Cambria" w:cs="Times New Roman"/>
        </w:rPr>
        <w:t xml:space="preserve">Department </w:t>
      </w:r>
      <w:r w:rsidRPr="003A5141">
        <w:rPr>
          <w:rFonts w:eastAsia="Cambria" w:cs="Times New Roman"/>
        </w:rPr>
        <w:t xml:space="preserve">has an established </w:t>
      </w:r>
      <w:r w:rsidRPr="005E20EC">
        <w:rPr>
          <w:rFonts w:eastAsia="Cambria" w:cs="Times New Roman"/>
        </w:rPr>
        <w:t>mission</w:t>
      </w:r>
      <w:r w:rsidRPr="003A5141">
        <w:rPr>
          <w:rFonts w:eastAsia="Cambria" w:cs="Times New Roman"/>
        </w:rPr>
        <w:t xml:space="preserve"> statement</w:t>
      </w:r>
      <w:r w:rsidRPr="005E20EC">
        <w:rPr>
          <w:rFonts w:eastAsia="Cambria" w:cs="Times New Roman"/>
        </w:rPr>
        <w:t xml:space="preserve">, </w:t>
      </w:r>
      <w:r w:rsidRPr="003A5141">
        <w:rPr>
          <w:rFonts w:eastAsia="Cambria" w:cs="Times New Roman"/>
        </w:rPr>
        <w:t xml:space="preserve">but no </w:t>
      </w:r>
      <w:r w:rsidRPr="005E20EC">
        <w:rPr>
          <w:rFonts w:eastAsia="Cambria" w:cs="Times New Roman"/>
        </w:rPr>
        <w:t>vision</w:t>
      </w:r>
      <w:r w:rsidRPr="003A5141">
        <w:rPr>
          <w:rFonts w:eastAsia="Cambria" w:cs="Times New Roman"/>
        </w:rPr>
        <w:t xml:space="preserve"> statement or organizational</w:t>
      </w:r>
      <w:r w:rsidRPr="005E20EC">
        <w:rPr>
          <w:rFonts w:eastAsia="Cambria" w:cs="Times New Roman"/>
        </w:rPr>
        <w:t xml:space="preserve"> values</w:t>
      </w:r>
      <w:r w:rsidRPr="003A5141">
        <w:rPr>
          <w:rFonts w:eastAsia="Cambria" w:cs="Times New Roman"/>
        </w:rPr>
        <w:t>/guiding principles</w:t>
      </w:r>
      <w:r w:rsidRPr="005E20EC">
        <w:rPr>
          <w:rFonts w:eastAsia="Cambria" w:cs="Times New Roman"/>
        </w:rPr>
        <w:t xml:space="preserve">. </w:t>
      </w:r>
      <w:r>
        <w:rPr>
          <w:rFonts w:eastAsia="Cambria" w:cs="Times New Roman"/>
        </w:rPr>
        <w:t>The elements PFD has in place and the elements that are missing (vision and values) are usually combined into a single document referred to as a strategic plan.  A strategic plan typically has the following elements:</w:t>
      </w:r>
    </w:p>
    <w:p w14:paraId="5616E694" w14:textId="77777777" w:rsidR="0004363E" w:rsidRDefault="0004363E" w:rsidP="007705AA">
      <w:pPr>
        <w:pStyle w:val="ListParagraph"/>
        <w:numPr>
          <w:ilvl w:val="0"/>
          <w:numId w:val="31"/>
        </w:numPr>
        <w:adjustRightInd/>
        <w:spacing w:after="220"/>
        <w:rPr>
          <w:rFonts w:eastAsia="Cambria" w:cs="Times New Roman"/>
        </w:rPr>
      </w:pPr>
      <w:r>
        <w:rPr>
          <w:rFonts w:eastAsia="Cambria" w:cs="Times New Roman"/>
        </w:rPr>
        <w:t>Internal and external environmental scan (SWOT Analysis)</w:t>
      </w:r>
    </w:p>
    <w:p w14:paraId="479892FB" w14:textId="77777777" w:rsidR="0004363E" w:rsidRDefault="0004363E" w:rsidP="007705AA">
      <w:pPr>
        <w:pStyle w:val="ListParagraph"/>
        <w:numPr>
          <w:ilvl w:val="0"/>
          <w:numId w:val="31"/>
        </w:numPr>
        <w:adjustRightInd/>
        <w:spacing w:after="220"/>
        <w:rPr>
          <w:rFonts w:eastAsia="Cambria" w:cs="Times New Roman"/>
        </w:rPr>
      </w:pPr>
      <w:r>
        <w:rPr>
          <w:rFonts w:eastAsia="Cambria" w:cs="Times New Roman"/>
        </w:rPr>
        <w:t>Mission, vision, values</w:t>
      </w:r>
    </w:p>
    <w:p w14:paraId="434B9182" w14:textId="77777777" w:rsidR="0004363E" w:rsidRDefault="0004363E" w:rsidP="007705AA">
      <w:pPr>
        <w:pStyle w:val="ListParagraph"/>
        <w:numPr>
          <w:ilvl w:val="0"/>
          <w:numId w:val="31"/>
        </w:numPr>
        <w:adjustRightInd/>
        <w:spacing w:after="220"/>
        <w:rPr>
          <w:rFonts w:eastAsia="Cambria" w:cs="Times New Roman"/>
        </w:rPr>
      </w:pPr>
      <w:r>
        <w:rPr>
          <w:rFonts w:eastAsia="Cambria" w:cs="Times New Roman"/>
        </w:rPr>
        <w:t>Initiatives, goals and subordinate objectives with performance metrics or outcome statements</w:t>
      </w:r>
    </w:p>
    <w:p w14:paraId="4519F866" w14:textId="77777777" w:rsidR="0004363E" w:rsidRDefault="0004363E" w:rsidP="007705AA">
      <w:pPr>
        <w:pStyle w:val="ListParagraph"/>
        <w:numPr>
          <w:ilvl w:val="0"/>
          <w:numId w:val="31"/>
        </w:numPr>
        <w:adjustRightInd/>
        <w:spacing w:after="220"/>
        <w:rPr>
          <w:rFonts w:eastAsia="Cambria" w:cs="Times New Roman"/>
        </w:rPr>
      </w:pPr>
      <w:r>
        <w:rPr>
          <w:rFonts w:eastAsia="Cambria" w:cs="Times New Roman"/>
        </w:rPr>
        <w:t>Timelines assigned to each objective</w:t>
      </w:r>
    </w:p>
    <w:p w14:paraId="105B4889" w14:textId="77777777" w:rsidR="0004363E" w:rsidRDefault="0004363E" w:rsidP="007705AA">
      <w:pPr>
        <w:pStyle w:val="ListParagraph"/>
        <w:numPr>
          <w:ilvl w:val="0"/>
          <w:numId w:val="31"/>
        </w:numPr>
        <w:adjustRightInd/>
        <w:spacing w:after="220"/>
        <w:rPr>
          <w:rFonts w:eastAsia="Cambria" w:cs="Times New Roman"/>
        </w:rPr>
      </w:pPr>
      <w:r>
        <w:rPr>
          <w:rFonts w:eastAsia="Cambria" w:cs="Times New Roman"/>
        </w:rPr>
        <w:t>Initiative manager assigned to each initiative</w:t>
      </w:r>
    </w:p>
    <w:p w14:paraId="18FA5D54" w14:textId="77777777" w:rsidR="0004363E" w:rsidRDefault="0004363E" w:rsidP="007705AA">
      <w:pPr>
        <w:pStyle w:val="ListParagraph"/>
        <w:numPr>
          <w:ilvl w:val="0"/>
          <w:numId w:val="31"/>
        </w:numPr>
        <w:adjustRightInd/>
        <w:spacing w:after="220"/>
        <w:rPr>
          <w:rFonts w:eastAsia="Cambria" w:cs="Times New Roman"/>
        </w:rPr>
      </w:pPr>
      <w:r>
        <w:rPr>
          <w:rFonts w:eastAsia="Cambria" w:cs="Times New Roman"/>
        </w:rPr>
        <w:t>Responsible persons assigned to coordinate achievement of each objective</w:t>
      </w:r>
    </w:p>
    <w:p w14:paraId="57DB23C6" w14:textId="77777777" w:rsidR="0004363E" w:rsidRPr="006106D2" w:rsidRDefault="0004363E" w:rsidP="0004363E">
      <w:pPr>
        <w:rPr>
          <w:rFonts w:eastAsia="Cambria" w:cs="Times New Roman"/>
        </w:rPr>
      </w:pPr>
      <w:r w:rsidRPr="006106D2">
        <w:rPr>
          <w:rFonts w:eastAsia="Cambria" w:cs="Times New Roman"/>
        </w:rPr>
        <w:t>The strategic plan establishes timelines for the goals and objectives to be accomplished and assigns them to appropriate personnel to complete.  In compiling a strategic plan, the goals and objectives are aligned as prioritized work flow, timelines ensure they stay on track, and the personnel assigned to achieve them are accountable for keeping the work product moving forward.  The work is consistent with the mission, propels the agency toward its vision, and the values reinforce how personnel treat each other</w:t>
      </w:r>
      <w:r>
        <w:rPr>
          <w:rFonts w:eastAsia="Cambria" w:cs="Times New Roman"/>
        </w:rPr>
        <w:t xml:space="preserve"> (culture)</w:t>
      </w:r>
      <w:r w:rsidRPr="006106D2">
        <w:rPr>
          <w:rFonts w:eastAsia="Cambria" w:cs="Times New Roman"/>
        </w:rPr>
        <w:t xml:space="preserve"> in the process of achieving the strategic plan.</w:t>
      </w:r>
    </w:p>
    <w:p w14:paraId="0CF84EFB" w14:textId="0ED8BED9" w:rsidR="0004363E" w:rsidRPr="005E20EC" w:rsidRDefault="0004363E" w:rsidP="0004363E">
      <w:pPr>
        <w:rPr>
          <w:rFonts w:eastAsia="Cambria" w:cs="Times New Roman"/>
        </w:rPr>
      </w:pPr>
      <w:r>
        <w:rPr>
          <w:rFonts w:eastAsia="Cambria" w:cs="Times New Roman"/>
        </w:rPr>
        <w:t>PFD should either conduct a full-fle</w:t>
      </w:r>
      <w:r w:rsidR="00C33EBE">
        <w:rPr>
          <w:rFonts w:eastAsia="Cambria" w:cs="Times New Roman"/>
        </w:rPr>
        <w:t>dged strategic plan for a three</w:t>
      </w:r>
      <w:r>
        <w:rPr>
          <w:rFonts w:eastAsia="Cambria" w:cs="Times New Roman"/>
        </w:rPr>
        <w:t xml:space="preserve"> to five-year period or compile all of the current work products into a strategic plan and add the missing elements. Adopting a strategic plan in either circumstance ensures that all personnel have a clear understanding of what is to be accomplished, by when and by whom.  All non-emergency work that does not align with the strategic plan should be evaluated for its importance, since work not reflected in the strategic plan robs energy away from accomplishing the strategic plan.</w:t>
      </w:r>
    </w:p>
    <w:p w14:paraId="2CFAA3D0" w14:textId="77777777" w:rsidR="0004363E" w:rsidRPr="005E20EC" w:rsidRDefault="0004363E" w:rsidP="0004363E">
      <w:pPr>
        <w:rPr>
          <w:rFonts w:eastAsia="Cambria" w:cs="Calibri"/>
          <w:color w:val="000000"/>
          <w:highlight w:val="yellow"/>
        </w:rPr>
      </w:pPr>
      <w:r w:rsidRPr="005E20EC">
        <w:rPr>
          <w:rFonts w:eastAsia="Cambria" w:cs="Calibri"/>
          <w:color w:val="000000"/>
          <w:highlight w:val="yellow"/>
        </w:rPr>
        <w:t xml:space="preserve"> </w:t>
      </w:r>
    </w:p>
    <w:p w14:paraId="266B37FC" w14:textId="77777777" w:rsidR="0004363E" w:rsidRPr="005E20EC" w:rsidRDefault="0004363E" w:rsidP="0004363E">
      <w:pPr>
        <w:spacing w:after="0"/>
        <w:rPr>
          <w:rFonts w:eastAsia="Cambria" w:cs="Calibri"/>
          <w:color w:val="000000"/>
          <w:highlight w:val="yellow"/>
        </w:rPr>
      </w:pPr>
    </w:p>
    <w:p w14:paraId="7A4F74B8" w14:textId="77777777" w:rsidR="0004363E" w:rsidRPr="005E20EC" w:rsidRDefault="0004363E" w:rsidP="0004363E">
      <w:pPr>
        <w:pStyle w:val="Heading3"/>
        <w:rPr>
          <w:rFonts w:eastAsia="Times New Roman"/>
        </w:rPr>
      </w:pPr>
      <w:bookmarkStart w:id="70" w:name="_Toc390343373"/>
      <w:bookmarkStart w:id="71" w:name="_Toc399772130"/>
      <w:bookmarkStart w:id="72" w:name="_Toc405875730"/>
      <w:bookmarkStart w:id="73" w:name="_Toc464323554"/>
      <w:r w:rsidRPr="005E20EC">
        <w:rPr>
          <w:rFonts w:eastAsia="Times New Roman"/>
        </w:rPr>
        <w:lastRenderedPageBreak/>
        <w:t>Management Documents and Processes</w:t>
      </w:r>
      <w:bookmarkEnd w:id="70"/>
      <w:bookmarkEnd w:id="71"/>
      <w:bookmarkEnd w:id="72"/>
      <w:bookmarkEnd w:id="73"/>
    </w:p>
    <w:p w14:paraId="553D9D32" w14:textId="77777777" w:rsidR="0004363E" w:rsidRPr="005E20EC" w:rsidRDefault="0004363E" w:rsidP="0004363E">
      <w:pPr>
        <w:rPr>
          <w:rFonts w:eastAsia="Cambria" w:cs="Calibri"/>
          <w:color w:val="000000"/>
          <w:highlight w:val="yellow"/>
        </w:rPr>
      </w:pPr>
      <w:r w:rsidRPr="00F528B2">
        <w:rPr>
          <w:rFonts w:eastAsia="Cambria" w:cs="Calibri"/>
        </w:rPr>
        <w:t xml:space="preserve">PFD also has regulatory documents, which are current as of January of 2015, with some position descriptions requiring review and revision as they are recruited for. As in many organizations, some policies and practices are in writing but are not regularly reviewed. </w:t>
      </w:r>
    </w:p>
    <w:p w14:paraId="37C465CD" w14:textId="0DC095E7" w:rsidR="0004363E" w:rsidRPr="005E20EC" w:rsidRDefault="0004363E" w:rsidP="00CD2CDE">
      <w:pPr>
        <w:spacing w:after="0"/>
        <w:rPr>
          <w:rFonts w:eastAsia="Cambria" w:cs="Calibri"/>
          <w:color w:val="000000"/>
        </w:rPr>
      </w:pPr>
      <w:r w:rsidRPr="005E20EC">
        <w:rPr>
          <w:rFonts w:eastAsia="Cambria" w:cs="Calibri"/>
          <w:color w:val="000000"/>
        </w:rPr>
        <w:t xml:space="preserve">Most regulatory, policy and guidance documents vary from one agency to the next, reflecting the personality of the leadership and philosophy of the organization.  </w:t>
      </w:r>
      <w:r w:rsidRPr="006820C3">
        <w:rPr>
          <w:rFonts w:eastAsia="Cambria" w:cs="Calibri"/>
          <w:color w:val="000000"/>
        </w:rPr>
        <w:t>However, ESCI recommends that P</w:t>
      </w:r>
      <w:r w:rsidRPr="005E20EC">
        <w:rPr>
          <w:rFonts w:eastAsia="Cambria" w:cs="Calibri"/>
          <w:color w:val="000000"/>
        </w:rPr>
        <w:t xml:space="preserve">FD take </w:t>
      </w:r>
      <w:r w:rsidRPr="006820C3">
        <w:rPr>
          <w:rFonts w:eastAsia="Cambria" w:cs="Calibri"/>
          <w:color w:val="000000"/>
        </w:rPr>
        <w:t>care</w:t>
      </w:r>
      <w:r w:rsidRPr="005E20EC">
        <w:rPr>
          <w:rFonts w:eastAsia="Cambria" w:cs="Calibri"/>
          <w:color w:val="000000"/>
        </w:rPr>
        <w:t xml:space="preserve"> to segregate the documents into three categories: </w:t>
      </w:r>
      <w:r w:rsidRPr="005E20EC">
        <w:rPr>
          <w:rFonts w:eastAsia="Cambria" w:cs="Calibri"/>
          <w:i/>
          <w:color w:val="000000"/>
        </w:rPr>
        <w:t>Regulatory</w:t>
      </w:r>
      <w:r w:rsidRPr="005E20EC">
        <w:rPr>
          <w:rFonts w:eastAsia="Cambria" w:cs="Calibri"/>
          <w:color w:val="000000"/>
        </w:rPr>
        <w:t xml:space="preserve">, </w:t>
      </w:r>
      <w:r w:rsidRPr="005E20EC">
        <w:rPr>
          <w:rFonts w:eastAsia="Cambria" w:cs="Calibri"/>
          <w:i/>
          <w:color w:val="000000"/>
        </w:rPr>
        <w:t>Policy</w:t>
      </w:r>
      <w:r w:rsidR="00CD2CDE">
        <w:rPr>
          <w:rFonts w:eastAsia="Cambria" w:cs="Calibri"/>
          <w:i/>
          <w:color w:val="000000"/>
        </w:rPr>
        <w:t>,</w:t>
      </w:r>
      <w:r w:rsidRPr="005E20EC">
        <w:rPr>
          <w:rFonts w:eastAsia="Cambria" w:cs="Calibri"/>
          <w:color w:val="000000"/>
        </w:rPr>
        <w:t xml:space="preserve"> and </w:t>
      </w:r>
      <w:r w:rsidRPr="005E20EC">
        <w:rPr>
          <w:rFonts w:eastAsia="Cambria" w:cs="Calibri"/>
          <w:i/>
          <w:color w:val="000000"/>
        </w:rPr>
        <w:t>Guidance</w:t>
      </w:r>
      <w:r w:rsidRPr="005E20EC">
        <w:rPr>
          <w:rFonts w:eastAsia="Cambria" w:cs="Calibri"/>
          <w:color w:val="000000"/>
        </w:rPr>
        <w:t xml:space="preserve">.  Examples of the contents of each of these categories include: </w:t>
      </w:r>
    </w:p>
    <w:p w14:paraId="04822CC3" w14:textId="77777777" w:rsidR="0004363E" w:rsidRPr="006820C3" w:rsidRDefault="0004363E" w:rsidP="00500DB3">
      <w:pPr>
        <w:numPr>
          <w:ilvl w:val="0"/>
          <w:numId w:val="29"/>
        </w:numPr>
        <w:spacing w:after="120" w:line="240" w:lineRule="auto"/>
        <w:ind w:left="720"/>
        <w:rPr>
          <w:rFonts w:eastAsia="Cambria" w:cs="Calibri"/>
          <w:color w:val="000000"/>
        </w:rPr>
      </w:pPr>
      <w:r w:rsidRPr="005E20EC">
        <w:rPr>
          <w:rFonts w:eastAsia="Cambria" w:cs="Calibri"/>
          <w:color w:val="000000"/>
        </w:rPr>
        <w:t xml:space="preserve">Regulatory – includes rules and regulations, code of conduct, code of ethics, and other actions or inaction where violation can result in serious consequences for the violator and/or the organization. </w:t>
      </w:r>
    </w:p>
    <w:p w14:paraId="10FBECAA" w14:textId="544027CF" w:rsidR="0004363E" w:rsidRPr="005E20EC" w:rsidRDefault="0004363E" w:rsidP="00500DB3">
      <w:pPr>
        <w:numPr>
          <w:ilvl w:val="0"/>
          <w:numId w:val="29"/>
        </w:numPr>
        <w:spacing w:after="120" w:line="240" w:lineRule="auto"/>
        <w:ind w:left="720"/>
        <w:rPr>
          <w:rFonts w:eastAsia="Cambria" w:cs="Calibri"/>
          <w:color w:val="000000"/>
        </w:rPr>
      </w:pPr>
      <w:r w:rsidRPr="005E20EC">
        <w:rPr>
          <w:rFonts w:eastAsia="Cambria" w:cs="Calibri"/>
          <w:color w:val="000000"/>
        </w:rPr>
        <w:t xml:space="preserve">Policy – includes those adopted by the </w:t>
      </w:r>
      <w:r>
        <w:rPr>
          <w:rFonts w:eastAsia="Cambria" w:cs="Calibri"/>
          <w:color w:val="000000"/>
        </w:rPr>
        <w:t>city council</w:t>
      </w:r>
      <w:r w:rsidRPr="005E20EC">
        <w:rPr>
          <w:rFonts w:eastAsia="Cambria" w:cs="Calibri"/>
          <w:color w:val="000000"/>
        </w:rPr>
        <w:t xml:space="preserve">, whether written by the </w:t>
      </w:r>
      <w:r>
        <w:rPr>
          <w:rFonts w:eastAsia="Cambria" w:cs="Calibri"/>
          <w:color w:val="000000"/>
        </w:rPr>
        <w:t>council</w:t>
      </w:r>
      <w:r w:rsidRPr="005E20EC">
        <w:rPr>
          <w:rFonts w:eastAsia="Cambria" w:cs="Calibri"/>
          <w:color w:val="000000"/>
        </w:rPr>
        <w:t xml:space="preserve"> itself, by </w:t>
      </w:r>
      <w:r w:rsidR="00CD2CDE">
        <w:rPr>
          <w:rFonts w:eastAsia="Cambria" w:cs="Calibri"/>
          <w:color w:val="000000"/>
        </w:rPr>
        <w:t>its</w:t>
      </w:r>
      <w:r w:rsidRPr="005E20EC">
        <w:rPr>
          <w:rFonts w:eastAsia="Cambria" w:cs="Calibri"/>
          <w:color w:val="000000"/>
        </w:rPr>
        <w:t xml:space="preserve"> legal counsel, or by the fire chief.  These are essentially the rigidly enforced practices of the department. Violation has serious consequences for the violator and the organization, potentially with legal implications.</w:t>
      </w:r>
    </w:p>
    <w:p w14:paraId="2BB2F599" w14:textId="1C769E6C" w:rsidR="0004363E" w:rsidRPr="005E20EC" w:rsidRDefault="0004363E" w:rsidP="00500DB3">
      <w:pPr>
        <w:numPr>
          <w:ilvl w:val="0"/>
          <w:numId w:val="29"/>
        </w:numPr>
        <w:spacing w:after="120" w:line="240" w:lineRule="auto"/>
        <w:ind w:left="720"/>
        <w:rPr>
          <w:rFonts w:eastAsia="Cambria" w:cs="Calibri"/>
          <w:color w:val="000000"/>
        </w:rPr>
      </w:pPr>
      <w:r w:rsidRPr="005E20EC">
        <w:rPr>
          <w:rFonts w:eastAsia="Cambria" w:cs="Calibri"/>
          <w:color w:val="000000"/>
        </w:rPr>
        <w:t>Guidance – includes standard ope</w:t>
      </w:r>
      <w:r w:rsidR="00CD2CDE">
        <w:rPr>
          <w:rFonts w:eastAsia="Cambria" w:cs="Calibri"/>
          <w:color w:val="000000"/>
        </w:rPr>
        <w:t>rating procedures or guidelines</w:t>
      </w:r>
      <w:r w:rsidRPr="005E20EC">
        <w:rPr>
          <w:rFonts w:eastAsia="Cambria" w:cs="Calibri"/>
          <w:color w:val="000000"/>
        </w:rPr>
        <w:t xml:space="preserve"> and issues where process or the leader’s intent is explained to the members.  These documents explain how something is performed or provides a framework for decision-making. Violation may or may not have serious consequences for the violator and/or the organization. </w:t>
      </w:r>
    </w:p>
    <w:p w14:paraId="0B84BF22" w14:textId="0DA85873" w:rsidR="0004363E" w:rsidRPr="005E20EC" w:rsidRDefault="0004363E" w:rsidP="0004363E">
      <w:pPr>
        <w:spacing w:before="240"/>
        <w:rPr>
          <w:rFonts w:eastAsia="Cambria" w:cs="Calibri"/>
          <w:color w:val="000000"/>
        </w:rPr>
      </w:pPr>
      <w:r w:rsidRPr="005E20EC">
        <w:rPr>
          <w:rFonts w:eastAsia="Cambria" w:cs="Calibri"/>
          <w:color w:val="000000"/>
        </w:rPr>
        <w:t>All of these documents should be reviewed and revised as appropriate on a planned cycle.  ESCI recommends that one-third of the documents be reviewed each year so that the complete set is reviewed and revised every three years. There should also be established a formal process to develop new regulations, policies</w:t>
      </w:r>
      <w:r w:rsidR="00CD2CDE">
        <w:rPr>
          <w:rFonts w:eastAsia="Cambria" w:cs="Calibri"/>
          <w:color w:val="000000"/>
        </w:rPr>
        <w:t>,</w:t>
      </w:r>
      <w:r w:rsidRPr="005E20EC">
        <w:rPr>
          <w:rFonts w:eastAsia="Cambria" w:cs="Calibri"/>
          <w:color w:val="000000"/>
        </w:rPr>
        <w:t xml:space="preserve"> and guidelines. </w:t>
      </w:r>
    </w:p>
    <w:p w14:paraId="7EA538F0" w14:textId="77777777" w:rsidR="0004363E" w:rsidRPr="005E20EC" w:rsidRDefault="0004363E" w:rsidP="0004363E">
      <w:pPr>
        <w:pStyle w:val="Heading3"/>
        <w:rPr>
          <w:rFonts w:eastAsia="Times New Roman"/>
        </w:rPr>
      </w:pPr>
      <w:bookmarkStart w:id="74" w:name="_Toc464323555"/>
      <w:bookmarkStart w:id="75" w:name="_Toc399772132"/>
      <w:bookmarkStart w:id="76" w:name="_Toc405875732"/>
      <w:r w:rsidRPr="005E20EC">
        <w:rPr>
          <w:rFonts w:eastAsia="Times New Roman"/>
        </w:rPr>
        <w:t>Critical Issues</w:t>
      </w:r>
      <w:bookmarkEnd w:id="74"/>
      <w:r w:rsidRPr="005E20EC">
        <w:rPr>
          <w:rFonts w:eastAsia="Times New Roman"/>
        </w:rPr>
        <w:t xml:space="preserve"> </w:t>
      </w:r>
      <w:bookmarkEnd w:id="75"/>
      <w:bookmarkEnd w:id="76"/>
    </w:p>
    <w:p w14:paraId="23865B3B" w14:textId="3E901D99" w:rsidR="0004363E" w:rsidRDefault="0004363E" w:rsidP="0004363E">
      <w:pPr>
        <w:rPr>
          <w:rFonts w:eastAsia="Cambria" w:cs="Calibri"/>
          <w:color w:val="000000"/>
        </w:rPr>
      </w:pPr>
      <w:r w:rsidRPr="005E20EC">
        <w:rPr>
          <w:rFonts w:eastAsia="Cambria" w:cs="Calibri"/>
          <w:color w:val="000000"/>
        </w:rPr>
        <w:t xml:space="preserve">Public safety agencies routinely face a complex array of new critical issues and emerging challenges. Some public safety leaders unwisely choose to face these issues and challenges alone and forego the benefits of involving numerous talented and capable members of the organization at all levels. The </w:t>
      </w:r>
      <w:r w:rsidRPr="006820C3">
        <w:rPr>
          <w:rFonts w:eastAsia="Cambria" w:cs="Calibri"/>
          <w:color w:val="000000"/>
        </w:rPr>
        <w:t>P</w:t>
      </w:r>
      <w:r w:rsidRPr="005E20EC">
        <w:rPr>
          <w:rFonts w:eastAsia="Cambria" w:cs="Calibri"/>
          <w:color w:val="000000"/>
        </w:rPr>
        <w:t>FD administration has listed the following critical issues facing the organization</w:t>
      </w:r>
      <w:r>
        <w:rPr>
          <w:rFonts w:eastAsia="Cambria" w:cs="Calibri"/>
          <w:color w:val="000000"/>
        </w:rPr>
        <w:t>:</w:t>
      </w:r>
    </w:p>
    <w:p w14:paraId="7466ACA3" w14:textId="4659AC6A" w:rsidR="0004363E" w:rsidRPr="005E20EC" w:rsidRDefault="0004363E" w:rsidP="009F6573">
      <w:pPr>
        <w:pStyle w:val="Caption"/>
        <w:rPr>
          <w:rFonts w:ascii="Calibri" w:eastAsia="Cambria" w:hAnsi="Calibri" w:cs="Calibri"/>
          <w:color w:val="000000"/>
        </w:rPr>
      </w:pPr>
      <w:bookmarkStart w:id="77" w:name="_Toc464323648"/>
      <w:r>
        <w:t xml:space="preserve">Figure </w:t>
      </w:r>
      <w:r w:rsidR="00432AD4">
        <w:fldChar w:fldCharType="begin"/>
      </w:r>
      <w:r w:rsidR="00432AD4">
        <w:instrText xml:space="preserve"> SEQ Figure \* ARABIC </w:instrText>
      </w:r>
      <w:r w:rsidR="00432AD4">
        <w:fldChar w:fldCharType="separate"/>
      </w:r>
      <w:r w:rsidR="008209A2">
        <w:rPr>
          <w:noProof/>
        </w:rPr>
        <w:t>6</w:t>
      </w:r>
      <w:r w:rsidR="00432AD4">
        <w:rPr>
          <w:noProof/>
        </w:rPr>
        <w:fldChar w:fldCharType="end"/>
      </w:r>
      <w:r w:rsidR="00C7448A">
        <w:t xml:space="preserve">: </w:t>
      </w:r>
      <w:r>
        <w:t>Critical Issues</w:t>
      </w:r>
      <w:bookmarkEnd w:id="77"/>
    </w:p>
    <w:tbl>
      <w:tblPr>
        <w:tblStyle w:val="TableGrid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00"/>
      </w:tblGrid>
      <w:tr w:rsidR="0004363E" w:rsidRPr="008B65C3" w14:paraId="0C9ED27C" w14:textId="77777777" w:rsidTr="00CD2CDE">
        <w:trPr>
          <w:trHeight w:val="548"/>
          <w:jc w:val="center"/>
        </w:trPr>
        <w:tc>
          <w:tcPr>
            <w:tcW w:w="6300" w:type="dxa"/>
            <w:tcBorders>
              <w:top w:val="single" w:sz="4" w:space="0" w:color="auto"/>
              <w:left w:val="single" w:sz="4" w:space="0" w:color="auto"/>
              <w:bottom w:val="single" w:sz="4" w:space="0" w:color="auto"/>
              <w:right w:val="single" w:sz="4" w:space="0" w:color="auto"/>
            </w:tcBorders>
            <w:shd w:val="clear" w:color="auto" w:fill="365F91"/>
            <w:vAlign w:val="center"/>
          </w:tcPr>
          <w:p w14:paraId="21F9F0FD" w14:textId="77777777" w:rsidR="0004363E" w:rsidRPr="005E20EC" w:rsidRDefault="0004363E" w:rsidP="00140AB4">
            <w:pPr>
              <w:spacing w:after="0" w:line="240" w:lineRule="auto"/>
              <w:jc w:val="center"/>
              <w:rPr>
                <w:rFonts w:eastAsia="Cambria" w:cs="Calibri"/>
                <w:b/>
                <w:color w:val="FFFFFF"/>
                <w:szCs w:val="20"/>
              </w:rPr>
            </w:pPr>
            <w:r w:rsidRPr="005E20EC">
              <w:rPr>
                <w:rFonts w:eastAsia="Cambria" w:cs="Calibri"/>
                <w:b/>
                <w:color w:val="FFFFFF"/>
                <w:szCs w:val="20"/>
              </w:rPr>
              <w:t>Critical Issues</w:t>
            </w:r>
          </w:p>
        </w:tc>
      </w:tr>
      <w:tr w:rsidR="0004363E" w:rsidRPr="008B65C3" w14:paraId="72B7072B" w14:textId="77777777" w:rsidTr="00CD2CDE">
        <w:trPr>
          <w:trHeight w:val="20"/>
          <w:jc w:val="center"/>
        </w:trPr>
        <w:tc>
          <w:tcPr>
            <w:tcW w:w="6300" w:type="dxa"/>
            <w:tcBorders>
              <w:top w:val="single" w:sz="4" w:space="0" w:color="auto"/>
              <w:right w:val="single" w:sz="4" w:space="0" w:color="auto"/>
            </w:tcBorders>
            <w:vAlign w:val="center"/>
          </w:tcPr>
          <w:p w14:paraId="43FD97D8" w14:textId="77777777" w:rsidR="0004363E" w:rsidRPr="005E20EC" w:rsidRDefault="0004363E" w:rsidP="007705AA">
            <w:pPr>
              <w:widowControl w:val="0"/>
              <w:numPr>
                <w:ilvl w:val="0"/>
                <w:numId w:val="30"/>
              </w:numPr>
              <w:spacing w:after="0" w:line="240" w:lineRule="auto"/>
              <w:jc w:val="left"/>
              <w:rPr>
                <w:rFonts w:eastAsia="Cambria" w:cs="Times New Roman"/>
              </w:rPr>
            </w:pPr>
            <w:r w:rsidRPr="008B65C3">
              <w:rPr>
                <w:rFonts w:eastAsia="Cambria" w:cs="Times New Roman"/>
              </w:rPr>
              <w:t>Low line staffing levels</w:t>
            </w:r>
          </w:p>
        </w:tc>
      </w:tr>
      <w:tr w:rsidR="0004363E" w:rsidRPr="008B65C3" w14:paraId="3B36069D" w14:textId="77777777" w:rsidTr="00CD2CDE">
        <w:trPr>
          <w:trHeight w:val="20"/>
          <w:jc w:val="center"/>
        </w:trPr>
        <w:tc>
          <w:tcPr>
            <w:tcW w:w="6300" w:type="dxa"/>
            <w:tcBorders>
              <w:right w:val="single" w:sz="4" w:space="0" w:color="auto"/>
            </w:tcBorders>
            <w:shd w:val="clear" w:color="auto" w:fill="D9D9D9"/>
            <w:vAlign w:val="center"/>
          </w:tcPr>
          <w:p w14:paraId="729AE452" w14:textId="77777777" w:rsidR="0004363E" w:rsidRPr="005E20EC" w:rsidRDefault="0004363E" w:rsidP="007705AA">
            <w:pPr>
              <w:widowControl w:val="0"/>
              <w:numPr>
                <w:ilvl w:val="0"/>
                <w:numId w:val="30"/>
              </w:numPr>
              <w:spacing w:after="0" w:line="240" w:lineRule="auto"/>
              <w:jc w:val="left"/>
              <w:rPr>
                <w:rFonts w:eastAsia="Cambria" w:cs="Times New Roman"/>
              </w:rPr>
            </w:pPr>
            <w:r w:rsidRPr="008B65C3">
              <w:rPr>
                <w:rFonts w:eastAsia="Cambria" w:cs="Times New Roman"/>
              </w:rPr>
              <w:t xml:space="preserve">Lack of sufficient number of </w:t>
            </w:r>
            <w:r>
              <w:rPr>
                <w:rFonts w:eastAsia="Cambria" w:cs="Times New Roman"/>
              </w:rPr>
              <w:t xml:space="preserve">operational </w:t>
            </w:r>
            <w:r w:rsidRPr="008B65C3">
              <w:rPr>
                <w:rFonts w:eastAsia="Cambria" w:cs="Times New Roman"/>
              </w:rPr>
              <w:t>stations</w:t>
            </w:r>
          </w:p>
        </w:tc>
      </w:tr>
      <w:tr w:rsidR="0004363E" w:rsidRPr="008B65C3" w14:paraId="382A714A" w14:textId="77777777" w:rsidTr="00CD2CDE">
        <w:trPr>
          <w:trHeight w:val="20"/>
          <w:jc w:val="center"/>
        </w:trPr>
        <w:tc>
          <w:tcPr>
            <w:tcW w:w="6300" w:type="dxa"/>
            <w:tcBorders>
              <w:right w:val="single" w:sz="4" w:space="0" w:color="auto"/>
            </w:tcBorders>
            <w:vAlign w:val="center"/>
          </w:tcPr>
          <w:p w14:paraId="22A8935F" w14:textId="77777777" w:rsidR="0004363E" w:rsidRPr="005E20EC" w:rsidRDefault="0004363E" w:rsidP="007705AA">
            <w:pPr>
              <w:widowControl w:val="0"/>
              <w:numPr>
                <w:ilvl w:val="0"/>
                <w:numId w:val="30"/>
              </w:numPr>
              <w:spacing w:after="0" w:line="240" w:lineRule="auto"/>
              <w:jc w:val="left"/>
              <w:rPr>
                <w:rFonts w:eastAsia="Cambria" w:cs="Times New Roman"/>
              </w:rPr>
            </w:pPr>
            <w:r w:rsidRPr="008B65C3">
              <w:rPr>
                <w:rFonts w:eastAsia="Cambria" w:cs="Times New Roman"/>
              </w:rPr>
              <w:t>Poor distribution of stations</w:t>
            </w:r>
          </w:p>
        </w:tc>
      </w:tr>
      <w:tr w:rsidR="0004363E" w:rsidRPr="008B65C3" w14:paraId="3B99D224" w14:textId="77777777" w:rsidTr="00CD2CDE">
        <w:trPr>
          <w:trHeight w:val="20"/>
          <w:jc w:val="center"/>
        </w:trPr>
        <w:tc>
          <w:tcPr>
            <w:tcW w:w="6300" w:type="dxa"/>
            <w:tcBorders>
              <w:right w:val="single" w:sz="4" w:space="0" w:color="auto"/>
            </w:tcBorders>
            <w:shd w:val="clear" w:color="auto" w:fill="D9D9D9"/>
            <w:vAlign w:val="center"/>
          </w:tcPr>
          <w:p w14:paraId="4F48EC30" w14:textId="77777777" w:rsidR="0004363E" w:rsidRPr="005E20EC" w:rsidRDefault="0004363E" w:rsidP="007705AA">
            <w:pPr>
              <w:widowControl w:val="0"/>
              <w:numPr>
                <w:ilvl w:val="0"/>
                <w:numId w:val="30"/>
              </w:numPr>
              <w:spacing w:after="0" w:line="240" w:lineRule="auto"/>
              <w:jc w:val="left"/>
              <w:rPr>
                <w:rFonts w:eastAsia="Cambria" w:cs="Times New Roman"/>
              </w:rPr>
            </w:pPr>
            <w:r w:rsidRPr="008B65C3">
              <w:rPr>
                <w:rFonts w:eastAsia="Cambria" w:cs="Times New Roman"/>
              </w:rPr>
              <w:t>Prevention and inspections not performed within PFD</w:t>
            </w:r>
          </w:p>
        </w:tc>
      </w:tr>
    </w:tbl>
    <w:p w14:paraId="171F8DB7" w14:textId="77777777" w:rsidR="0004363E" w:rsidRPr="005E20EC" w:rsidRDefault="0004363E" w:rsidP="0004363E">
      <w:pPr>
        <w:spacing w:after="0"/>
        <w:rPr>
          <w:rFonts w:eastAsia="Cambria" w:cs="Calibri"/>
          <w:highlight w:val="yellow"/>
        </w:rPr>
      </w:pPr>
    </w:p>
    <w:p w14:paraId="308C68C4" w14:textId="77777777" w:rsidR="0004363E" w:rsidRPr="005E20EC" w:rsidRDefault="0004363E" w:rsidP="0004363E">
      <w:pPr>
        <w:rPr>
          <w:rFonts w:eastAsia="Cambria" w:cs="Calibri"/>
        </w:rPr>
      </w:pPr>
      <w:r>
        <w:rPr>
          <w:rFonts w:eastAsia="Cambria" w:cs="Calibri"/>
        </w:rPr>
        <w:t>The items in the previous figure require engaging with city management to d</w:t>
      </w:r>
      <w:r w:rsidRPr="005E20EC">
        <w:rPr>
          <w:rFonts w:eastAsia="Cambria" w:cs="Calibri"/>
        </w:rPr>
        <w:t xml:space="preserve">evelop </w:t>
      </w:r>
      <w:r>
        <w:rPr>
          <w:rFonts w:eastAsia="Cambria" w:cs="Calibri"/>
        </w:rPr>
        <w:t>strategies to address these issues.  Doing so not only improves service to the community, it will likely result in an improved Public Protection Class, lowering some insurance premiums within the city.</w:t>
      </w:r>
      <w:r w:rsidRPr="005E20EC">
        <w:rPr>
          <w:rFonts w:eastAsia="Cambria" w:cs="Calibri"/>
        </w:rPr>
        <w:t xml:space="preserve">   </w:t>
      </w:r>
    </w:p>
    <w:p w14:paraId="159C0564" w14:textId="77777777" w:rsidR="0004363E" w:rsidRPr="005E20EC" w:rsidRDefault="0004363E" w:rsidP="0004363E">
      <w:pPr>
        <w:pStyle w:val="Heading3"/>
        <w:rPr>
          <w:rFonts w:eastAsia="Times New Roman"/>
        </w:rPr>
      </w:pPr>
      <w:bookmarkStart w:id="78" w:name="_Toc464323556"/>
      <w:r w:rsidRPr="005E20EC">
        <w:rPr>
          <w:rFonts w:eastAsia="Times New Roman"/>
        </w:rPr>
        <w:lastRenderedPageBreak/>
        <w:t>Communications</w:t>
      </w:r>
      <w:bookmarkEnd w:id="78"/>
    </w:p>
    <w:p w14:paraId="1D878D2B" w14:textId="5708EA78" w:rsidR="0004363E" w:rsidRPr="005E20EC" w:rsidRDefault="0004363E" w:rsidP="0004363E">
      <w:pPr>
        <w:rPr>
          <w:rFonts w:eastAsia="Cambria" w:cs="Calibri"/>
        </w:rPr>
      </w:pPr>
      <w:r w:rsidRPr="004544BD">
        <w:rPr>
          <w:rFonts w:eastAsia="Cambria" w:cs="Calibri"/>
        </w:rPr>
        <w:t>P</w:t>
      </w:r>
      <w:r w:rsidRPr="005E20EC">
        <w:rPr>
          <w:rFonts w:eastAsia="Cambria" w:cs="Calibri"/>
        </w:rPr>
        <w:t>FD invests significant time and effort into its internal communication.  Staff meetings are convened</w:t>
      </w:r>
      <w:r w:rsidRPr="004544BD">
        <w:rPr>
          <w:rFonts w:eastAsia="Cambria" w:cs="Calibri"/>
        </w:rPr>
        <w:t xml:space="preserve"> regularly</w:t>
      </w:r>
      <w:r w:rsidRPr="005E20EC">
        <w:rPr>
          <w:rFonts w:eastAsia="Cambria" w:cs="Calibri"/>
        </w:rPr>
        <w:t xml:space="preserve">, with minutes taken.  Written memoranda are </w:t>
      </w:r>
      <w:r w:rsidRPr="004544BD">
        <w:rPr>
          <w:rFonts w:eastAsia="Cambria" w:cs="Calibri"/>
        </w:rPr>
        <w:t xml:space="preserve">occasionally </w:t>
      </w:r>
      <w:r w:rsidRPr="005E20EC">
        <w:rPr>
          <w:rFonts w:eastAsia="Cambria" w:cs="Calibri"/>
        </w:rPr>
        <w:t xml:space="preserve">used to supplement staff meeting information and member forums are conducted </w:t>
      </w:r>
      <w:r w:rsidRPr="004544BD">
        <w:rPr>
          <w:rFonts w:eastAsia="Cambria" w:cs="Calibri"/>
        </w:rPr>
        <w:t>(all hands meetings) to address urgent issues of global impact</w:t>
      </w:r>
      <w:r w:rsidRPr="005E20EC">
        <w:rPr>
          <w:rFonts w:eastAsia="Cambria" w:cs="Calibri"/>
        </w:rPr>
        <w:t xml:space="preserve">.  The fire chief and his command staff subscribe to an open door policy.  </w:t>
      </w:r>
      <w:r w:rsidRPr="004544BD">
        <w:rPr>
          <w:rFonts w:eastAsia="Cambria" w:cs="Calibri"/>
        </w:rPr>
        <w:t xml:space="preserve">While the </w:t>
      </w:r>
      <w:r w:rsidRPr="005E20EC">
        <w:rPr>
          <w:rFonts w:eastAsia="Cambria" w:cs="Calibri"/>
        </w:rPr>
        <w:t>organization</w:t>
      </w:r>
      <w:r w:rsidRPr="004544BD">
        <w:rPr>
          <w:rFonts w:eastAsia="Cambria" w:cs="Calibri"/>
        </w:rPr>
        <w:t>al</w:t>
      </w:r>
      <w:r w:rsidRPr="005E20EC">
        <w:rPr>
          <w:rFonts w:eastAsia="Cambria" w:cs="Calibri"/>
        </w:rPr>
        <w:t xml:space="preserve"> chart</w:t>
      </w:r>
      <w:r w:rsidRPr="004544BD">
        <w:rPr>
          <w:rFonts w:eastAsia="Cambria" w:cs="Calibri"/>
        </w:rPr>
        <w:t xml:space="preserve"> clearly depicts formal authority, it reflects the emergent nature of the fire service</w:t>
      </w:r>
      <w:r w:rsidRPr="005E20EC">
        <w:rPr>
          <w:rFonts w:eastAsia="Cambria" w:cs="Calibri"/>
        </w:rPr>
        <w:t>.</w:t>
      </w:r>
      <w:r w:rsidRPr="004544BD">
        <w:rPr>
          <w:rFonts w:eastAsia="Cambria" w:cs="Calibri"/>
        </w:rPr>
        <w:t xml:space="preserve"> The routine, day-to-day </w:t>
      </w:r>
      <w:r w:rsidR="005C2D7B">
        <w:rPr>
          <w:rFonts w:eastAsia="Cambria" w:cs="Calibri"/>
        </w:rPr>
        <w:t xml:space="preserve">communication and </w:t>
      </w:r>
      <w:r w:rsidRPr="004544BD">
        <w:rPr>
          <w:rFonts w:eastAsia="Cambria" w:cs="Calibri"/>
        </w:rPr>
        <w:t xml:space="preserve">activities in the department </w:t>
      </w:r>
      <w:r w:rsidR="005C2D7B">
        <w:rPr>
          <w:rFonts w:eastAsia="Cambria" w:cs="Calibri"/>
        </w:rPr>
        <w:t>are</w:t>
      </w:r>
      <w:r w:rsidRPr="004544BD">
        <w:rPr>
          <w:rFonts w:eastAsia="Cambria" w:cs="Calibri"/>
        </w:rPr>
        <w:t xml:space="preserve"> less formal.  Programs are often assigned to personnel that deviate from the formal org chart.</w:t>
      </w:r>
      <w:r w:rsidRPr="005E20EC">
        <w:rPr>
          <w:rFonts w:eastAsia="Cambria" w:cs="Calibri"/>
        </w:rPr>
        <w:t xml:space="preserve"> </w:t>
      </w:r>
    </w:p>
    <w:p w14:paraId="743F7B2B" w14:textId="46249256" w:rsidR="0004363E" w:rsidRPr="004544BD" w:rsidRDefault="0004363E" w:rsidP="0004363E">
      <w:pPr>
        <w:rPr>
          <w:rFonts w:eastAsia="Cambria" w:cs="Calibri"/>
        </w:rPr>
      </w:pPr>
      <w:r w:rsidRPr="005E20EC">
        <w:rPr>
          <w:rFonts w:eastAsia="Cambria" w:cs="Calibri"/>
        </w:rPr>
        <w:t xml:space="preserve">External communication is </w:t>
      </w:r>
      <w:r w:rsidRPr="004544BD">
        <w:rPr>
          <w:rFonts w:eastAsia="Cambria" w:cs="Calibri"/>
        </w:rPr>
        <w:t>more dependent upon the broader city</w:t>
      </w:r>
      <w:r w:rsidRPr="005E20EC">
        <w:rPr>
          <w:rFonts w:eastAsia="Cambria" w:cs="Calibri"/>
        </w:rPr>
        <w:t xml:space="preserve">.  </w:t>
      </w:r>
      <w:r w:rsidRPr="004544BD">
        <w:rPr>
          <w:rFonts w:eastAsia="Cambria" w:cs="Calibri"/>
        </w:rPr>
        <w:t xml:space="preserve">PFD does have a formal complaint process in place and does rely occasionally on community surveys, performed by the city on behalf of all departments. </w:t>
      </w:r>
      <w:r w:rsidRPr="005E20EC">
        <w:rPr>
          <w:rFonts w:eastAsia="Cambria" w:cs="Calibri"/>
        </w:rPr>
        <w:t>A community newsletter</w:t>
      </w:r>
      <w:r w:rsidR="00693BB9">
        <w:rPr>
          <w:rFonts w:eastAsia="Cambria" w:cs="Calibri"/>
        </w:rPr>
        <w:t>,</w:t>
      </w:r>
      <w:r w:rsidRPr="005E20EC">
        <w:rPr>
          <w:rFonts w:eastAsia="Cambria" w:cs="Calibri"/>
        </w:rPr>
        <w:t xml:space="preserve"> </w:t>
      </w:r>
      <w:r w:rsidR="00693BB9" w:rsidRPr="004544BD">
        <w:rPr>
          <w:rFonts w:eastAsia="Cambria" w:cs="Calibri"/>
        </w:rPr>
        <w:t>which occasionally has articles of int</w:t>
      </w:r>
      <w:r w:rsidR="00693BB9">
        <w:rPr>
          <w:rFonts w:eastAsia="Cambria" w:cs="Calibri"/>
        </w:rPr>
        <w:t>erest about the fire department,</w:t>
      </w:r>
      <w:r w:rsidR="00693BB9" w:rsidRPr="005E20EC">
        <w:rPr>
          <w:rFonts w:eastAsia="Cambria" w:cs="Calibri"/>
        </w:rPr>
        <w:t xml:space="preserve"> </w:t>
      </w:r>
      <w:r w:rsidRPr="005E20EC">
        <w:rPr>
          <w:rFonts w:eastAsia="Cambria" w:cs="Calibri"/>
        </w:rPr>
        <w:t xml:space="preserve">is </w:t>
      </w:r>
      <w:r w:rsidR="00693BB9">
        <w:rPr>
          <w:rFonts w:eastAsia="Cambria" w:cs="Calibri"/>
        </w:rPr>
        <w:t>distributed</w:t>
      </w:r>
      <w:r w:rsidRPr="005E20EC">
        <w:rPr>
          <w:rFonts w:eastAsia="Cambria" w:cs="Calibri"/>
        </w:rPr>
        <w:t xml:space="preserve"> </w:t>
      </w:r>
      <w:r w:rsidRPr="004544BD">
        <w:rPr>
          <w:rFonts w:eastAsia="Cambria" w:cs="Calibri"/>
        </w:rPr>
        <w:t>by the city.</w:t>
      </w:r>
    </w:p>
    <w:p w14:paraId="42650493" w14:textId="77777777" w:rsidR="0004363E" w:rsidRPr="005E20EC" w:rsidRDefault="0004363E" w:rsidP="0004363E">
      <w:pPr>
        <w:pStyle w:val="Heading3"/>
        <w:rPr>
          <w:rFonts w:eastAsia="Times New Roman"/>
        </w:rPr>
      </w:pPr>
      <w:bookmarkStart w:id="79" w:name="_Toc390343374"/>
      <w:bookmarkStart w:id="80" w:name="_Toc399772133"/>
      <w:bookmarkStart w:id="81" w:name="_Toc405875733"/>
      <w:bookmarkStart w:id="82" w:name="_Toc464323557"/>
      <w:r w:rsidRPr="005E20EC">
        <w:rPr>
          <w:rFonts w:eastAsia="Times New Roman"/>
        </w:rPr>
        <w:t>Record Keeping and Documentation</w:t>
      </w:r>
      <w:bookmarkEnd w:id="79"/>
      <w:bookmarkEnd w:id="80"/>
      <w:bookmarkEnd w:id="81"/>
      <w:bookmarkEnd w:id="82"/>
      <w:r w:rsidRPr="005E20EC">
        <w:rPr>
          <w:rFonts w:eastAsia="Times New Roman"/>
        </w:rPr>
        <w:t xml:space="preserve"> </w:t>
      </w:r>
    </w:p>
    <w:p w14:paraId="386D613B" w14:textId="77777777" w:rsidR="0004363E" w:rsidRPr="005E20EC" w:rsidRDefault="0004363E" w:rsidP="0004363E">
      <w:pPr>
        <w:rPr>
          <w:rFonts w:eastAsia="Cambria" w:cs="Calibri"/>
        </w:rPr>
      </w:pPr>
      <w:r w:rsidRPr="005E20EC">
        <w:rPr>
          <w:rFonts w:eastAsia="Cambria" w:cs="Calibri"/>
        </w:rPr>
        <w:t xml:space="preserve">In any organization, documentation of activities is of paramount concern. Sound management decisions cannot be assured without sound data, which is gathered in records routinely.  </w:t>
      </w:r>
    </w:p>
    <w:p w14:paraId="5737E881" w14:textId="04037DF3" w:rsidR="0004363E" w:rsidRPr="005E20EC" w:rsidRDefault="0004363E" w:rsidP="0004363E">
      <w:pPr>
        <w:rPr>
          <w:rFonts w:eastAsia="Cambria" w:cs="Calibri"/>
          <w:color w:val="000000"/>
        </w:rPr>
      </w:pPr>
      <w:r w:rsidRPr="005E20EC">
        <w:rPr>
          <w:rFonts w:eastAsia="Cambria" w:cs="Calibri"/>
          <w:color w:val="000000"/>
        </w:rPr>
        <w:t xml:space="preserve">The </w:t>
      </w:r>
      <w:r w:rsidR="00CD2CDE" w:rsidRPr="005E20EC">
        <w:rPr>
          <w:rFonts w:eastAsia="Cambria" w:cs="Calibri"/>
          <w:color w:val="000000"/>
        </w:rPr>
        <w:t xml:space="preserve">Department </w:t>
      </w:r>
      <w:r w:rsidRPr="005E20EC">
        <w:rPr>
          <w:rFonts w:eastAsia="Cambria" w:cs="Calibri"/>
          <w:color w:val="000000"/>
        </w:rPr>
        <w:t xml:space="preserve">has </w:t>
      </w:r>
      <w:r w:rsidRPr="00770034">
        <w:rPr>
          <w:rFonts w:eastAsia="Cambria" w:cs="Calibri"/>
          <w:color w:val="000000"/>
        </w:rPr>
        <w:t>a process for public records access in place and has hard copy files protected in office file drawers.  The fire chief’s office is not routinely locked</w:t>
      </w:r>
      <w:r w:rsidR="00693BB9">
        <w:rPr>
          <w:rFonts w:eastAsia="Cambria" w:cs="Calibri"/>
          <w:color w:val="000000"/>
        </w:rPr>
        <w:t xml:space="preserve"> but</w:t>
      </w:r>
      <w:r w:rsidRPr="00770034">
        <w:rPr>
          <w:rFonts w:eastAsia="Cambria" w:cs="Calibri"/>
          <w:color w:val="000000"/>
        </w:rPr>
        <w:t xml:space="preserve"> should be if sensitive files are maintained in the office. </w:t>
      </w:r>
      <w:r w:rsidRPr="005E20EC">
        <w:rPr>
          <w:rFonts w:eastAsia="Cambria" w:cs="Calibri"/>
          <w:color w:val="000000"/>
        </w:rPr>
        <w:t xml:space="preserve">Electronic files are secured by passwords assigned to users with rights to appropriate documents and the file server is backed up daily off site.  These are sound practices in the fire service industry.  </w:t>
      </w:r>
    </w:p>
    <w:p w14:paraId="16DF6F10" w14:textId="77777777" w:rsidR="0004363E" w:rsidRPr="005E20EC" w:rsidRDefault="0004363E" w:rsidP="0004363E">
      <w:pPr>
        <w:rPr>
          <w:rFonts w:eastAsia="Cambria" w:cs="Calibri"/>
          <w:color w:val="000000"/>
        </w:rPr>
      </w:pPr>
      <w:r w:rsidRPr="005E20EC">
        <w:rPr>
          <w:rFonts w:eastAsia="Cambria" w:cs="Calibri"/>
          <w:color w:val="000000"/>
        </w:rPr>
        <w:t>At fire stations, public access doors are secured with combination locks.  Apparatus bay d</w:t>
      </w:r>
      <w:r w:rsidRPr="00770034">
        <w:rPr>
          <w:rFonts w:eastAsia="Cambria" w:cs="Calibri"/>
          <w:color w:val="000000"/>
        </w:rPr>
        <w:t>oors are occasionally left open—</w:t>
      </w:r>
      <w:r w:rsidRPr="005E20EC">
        <w:rPr>
          <w:rFonts w:eastAsia="Cambria" w:cs="Calibri"/>
          <w:color w:val="000000"/>
        </w:rPr>
        <w:t>both intentionally and unintentionally</w:t>
      </w:r>
      <w:r w:rsidRPr="00770034">
        <w:rPr>
          <w:rFonts w:eastAsia="Cambria" w:cs="Calibri"/>
          <w:color w:val="000000"/>
        </w:rPr>
        <w:t>—</w:t>
      </w:r>
      <w:r w:rsidRPr="005E20EC">
        <w:rPr>
          <w:rFonts w:eastAsia="Cambria" w:cs="Calibri"/>
          <w:color w:val="000000"/>
        </w:rPr>
        <w:t xml:space="preserve">which may compromise perimeter security. Response vehicles rely on locked fire stations to provide security (which can be defeated with open bay doors as identified above), but staff vehicles are typically unsecured in the parking lot. </w:t>
      </w:r>
    </w:p>
    <w:p w14:paraId="14B47642" w14:textId="77777777" w:rsidR="0004363E" w:rsidRPr="005E20EC" w:rsidRDefault="0004363E" w:rsidP="0004363E">
      <w:pPr>
        <w:rPr>
          <w:rFonts w:eastAsia="Cambria" w:cs="Calibri"/>
          <w:color w:val="000000"/>
        </w:rPr>
      </w:pPr>
      <w:r w:rsidRPr="005E20EC">
        <w:rPr>
          <w:rFonts w:eastAsia="Cambria" w:cs="Calibri"/>
          <w:color w:val="000000"/>
        </w:rPr>
        <w:t>All testing records are in place</w:t>
      </w:r>
      <w:r w:rsidRPr="00905EDF">
        <w:rPr>
          <w:rFonts w:eastAsia="Cambria" w:cs="Calibri"/>
          <w:color w:val="000000"/>
        </w:rPr>
        <w:t xml:space="preserve"> for self-contained breathing apparatus, hose, ladders, pumps, and breathing air from the cascade system.  Hose, ladder, pump and breathing air testing is contracted to a third party.  Vehicle maintenance records are retained at city shops</w:t>
      </w:r>
      <w:r w:rsidRPr="005E20EC">
        <w:rPr>
          <w:rFonts w:eastAsia="Cambria" w:cs="Calibri"/>
          <w:color w:val="000000"/>
        </w:rPr>
        <w:t xml:space="preserve">. The </w:t>
      </w:r>
      <w:r w:rsidRPr="00905EDF">
        <w:rPr>
          <w:rFonts w:eastAsia="Cambria" w:cs="Calibri"/>
          <w:color w:val="000000"/>
        </w:rPr>
        <w:t xml:space="preserve">rest of the testing, including gas monitor calibration, occurs internally.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576"/>
      </w:tblGrid>
      <w:tr w:rsidR="0004363E" w:rsidRPr="005E20EC" w14:paraId="09575013" w14:textId="77777777" w:rsidTr="0026247A">
        <w:tc>
          <w:tcPr>
            <w:tcW w:w="9576" w:type="dxa"/>
            <w:shd w:val="clear" w:color="auto" w:fill="D9D9D9"/>
          </w:tcPr>
          <w:p w14:paraId="6A29735A" w14:textId="77777777" w:rsidR="0004363E" w:rsidRPr="005E20EC" w:rsidRDefault="0004363E" w:rsidP="00BC0E09">
            <w:pPr>
              <w:keepNext/>
              <w:spacing w:after="120" w:line="240" w:lineRule="auto"/>
              <w:rPr>
                <w:rFonts w:eastAsia="Cambria" w:cs="Calibri"/>
                <w:b/>
                <w:szCs w:val="20"/>
              </w:rPr>
            </w:pPr>
            <w:r w:rsidRPr="005E20EC">
              <w:rPr>
                <w:rFonts w:eastAsia="Cambria" w:cs="Calibri"/>
                <w:b/>
                <w:szCs w:val="20"/>
              </w:rPr>
              <w:t>Recommendations:</w:t>
            </w:r>
          </w:p>
          <w:p w14:paraId="21F0D404" w14:textId="77777777" w:rsidR="0004363E" w:rsidRPr="00770034" w:rsidRDefault="0004363E" w:rsidP="007705AA">
            <w:pPr>
              <w:pStyle w:val="ListParagraph"/>
              <w:numPr>
                <w:ilvl w:val="0"/>
                <w:numId w:val="25"/>
              </w:numPr>
              <w:adjustRightInd/>
              <w:spacing w:after="120" w:line="240" w:lineRule="auto"/>
              <w:contextualSpacing w:val="0"/>
              <w:jc w:val="left"/>
              <w:rPr>
                <w:rFonts w:eastAsia="Cambria" w:cs="Calibri"/>
                <w:szCs w:val="20"/>
              </w:rPr>
            </w:pPr>
            <w:r w:rsidRPr="00770034">
              <w:rPr>
                <w:rFonts w:eastAsia="Cambria" w:cs="Calibri"/>
                <w:szCs w:val="20"/>
              </w:rPr>
              <w:t>Review and update all regulatory documents on at least a three-year cycle.</w:t>
            </w:r>
          </w:p>
          <w:p w14:paraId="2F026131" w14:textId="77777777" w:rsidR="0004363E" w:rsidRPr="005E20EC" w:rsidRDefault="0004363E" w:rsidP="007705AA">
            <w:pPr>
              <w:keepNext/>
              <w:numPr>
                <w:ilvl w:val="0"/>
                <w:numId w:val="25"/>
              </w:numPr>
              <w:spacing w:line="240" w:lineRule="auto"/>
              <w:rPr>
                <w:rFonts w:eastAsia="Cambria" w:cs="Calibri"/>
                <w:szCs w:val="20"/>
              </w:rPr>
            </w:pPr>
            <w:r w:rsidRPr="00770034">
              <w:rPr>
                <w:rFonts w:eastAsia="Cambria" w:cs="Calibri"/>
                <w:szCs w:val="20"/>
              </w:rPr>
              <w:t>The fire chief’s office should be secured if sensitive files are kept there.</w:t>
            </w:r>
          </w:p>
        </w:tc>
      </w:tr>
    </w:tbl>
    <w:p w14:paraId="75A79003" w14:textId="77777777" w:rsidR="0004363E" w:rsidRDefault="0004363E" w:rsidP="0004363E"/>
    <w:p w14:paraId="71666D95" w14:textId="77777777" w:rsidR="0004363E" w:rsidRDefault="0004363E">
      <w:pPr>
        <w:spacing w:after="200"/>
        <w:jc w:val="left"/>
        <w:rPr>
          <w:rFonts w:eastAsiaTheme="majorEastAsia" w:cs="Calibri"/>
          <w:bCs/>
          <w:caps/>
          <w:color w:val="808080" w:themeColor="background1" w:themeShade="80"/>
          <w:sz w:val="24"/>
          <w:szCs w:val="26"/>
        </w:rPr>
      </w:pPr>
      <w:r>
        <w:rPr>
          <w:rFonts w:cs="Calibri"/>
        </w:rPr>
        <w:br w:type="page"/>
      </w:r>
    </w:p>
    <w:p w14:paraId="2B72F90D" w14:textId="77777777" w:rsidR="00FD0084" w:rsidRDefault="00FD0084" w:rsidP="00FD0084">
      <w:pPr>
        <w:pStyle w:val="Heading2"/>
        <w:rPr>
          <w:rFonts w:eastAsia="Calibri"/>
        </w:rPr>
      </w:pPr>
      <w:bookmarkStart w:id="83" w:name="_Toc464323558"/>
      <w:r w:rsidRPr="00971B48">
        <w:rPr>
          <w:rFonts w:eastAsia="Calibri"/>
        </w:rPr>
        <w:lastRenderedPageBreak/>
        <w:t>Fiscal Analysis of Current Conditions</w:t>
      </w:r>
      <w:bookmarkEnd w:id="83"/>
      <w:r w:rsidRPr="00971B48">
        <w:rPr>
          <w:rFonts w:eastAsia="Calibri"/>
        </w:rPr>
        <w:t xml:space="preserve"> </w:t>
      </w:r>
    </w:p>
    <w:p w14:paraId="74C93845" w14:textId="01953846" w:rsidR="00FD0084" w:rsidRPr="002070B2" w:rsidRDefault="00FD0084" w:rsidP="00FD0084">
      <w:pPr>
        <w:rPr>
          <w:rFonts w:eastAsia="Calibri" w:cs="Times New Roman"/>
          <w:lang w:eastAsia="en-US"/>
        </w:rPr>
      </w:pPr>
      <w:r w:rsidRPr="002070B2">
        <w:rPr>
          <w:rFonts w:eastAsia="Calibri" w:cs="Times New Roman"/>
          <w:lang w:eastAsia="en-US"/>
        </w:rPr>
        <w:t>This section provides information on the financial condition of the Pasco Fire Department and the local/regional economic context affecting its future operations.  It begins with a review of selected national, state</w:t>
      </w:r>
      <w:r w:rsidR="00BC0E09">
        <w:rPr>
          <w:rFonts w:eastAsia="Calibri" w:cs="Times New Roman"/>
          <w:lang w:eastAsia="en-US"/>
        </w:rPr>
        <w:t>,</w:t>
      </w:r>
      <w:r w:rsidRPr="002070B2">
        <w:rPr>
          <w:rFonts w:eastAsia="Calibri" w:cs="Times New Roman"/>
          <w:lang w:eastAsia="en-US"/>
        </w:rPr>
        <w:t xml:space="preserve"> and local economic/demographic data to provide for the </w:t>
      </w:r>
      <w:r w:rsidR="00BC0E09" w:rsidRPr="002070B2">
        <w:rPr>
          <w:rFonts w:eastAsia="Calibri" w:cs="Times New Roman"/>
          <w:lang w:eastAsia="en-US"/>
        </w:rPr>
        <w:t xml:space="preserve">Department’s </w:t>
      </w:r>
      <w:r w:rsidRPr="002070B2">
        <w:rPr>
          <w:rFonts w:eastAsia="Calibri" w:cs="Times New Roman"/>
          <w:lang w:eastAsia="en-US"/>
        </w:rPr>
        <w:t xml:space="preserve">current condition and forecast outlook.  Historical revenues and expenses are examined, highlighting key aspects and factors affecting the </w:t>
      </w:r>
      <w:r w:rsidR="00BC0E09" w:rsidRPr="002070B2">
        <w:rPr>
          <w:rFonts w:eastAsia="Calibri" w:cs="Times New Roman"/>
          <w:lang w:eastAsia="en-US"/>
        </w:rPr>
        <w:t xml:space="preserve">Department’s </w:t>
      </w:r>
      <w:r w:rsidRPr="002070B2">
        <w:rPr>
          <w:rFonts w:eastAsia="Calibri" w:cs="Times New Roman"/>
          <w:lang w:eastAsia="en-US"/>
        </w:rPr>
        <w:t xml:space="preserve">revenue and expense trends.  Finally, using information provided by </w:t>
      </w:r>
      <w:r w:rsidR="00BC0E09" w:rsidRPr="002070B2">
        <w:rPr>
          <w:rFonts w:eastAsia="Calibri" w:cs="Times New Roman"/>
          <w:lang w:eastAsia="en-US"/>
        </w:rPr>
        <w:t xml:space="preserve">Department </w:t>
      </w:r>
      <w:r w:rsidRPr="002070B2">
        <w:rPr>
          <w:rFonts w:eastAsia="Calibri" w:cs="Times New Roman"/>
          <w:lang w:eastAsia="en-US"/>
        </w:rPr>
        <w:t>staff and regional economic contextual information, a forecast of revenues and expenses through 2021 is provided.</w:t>
      </w:r>
    </w:p>
    <w:p w14:paraId="66809305" w14:textId="3AE6D292" w:rsidR="00FD0084" w:rsidRPr="002070B2" w:rsidRDefault="00FD0084" w:rsidP="00FD0084">
      <w:pPr>
        <w:rPr>
          <w:rFonts w:eastAsia="Calibri" w:cs="Times New Roman"/>
          <w:lang w:eastAsia="en-US"/>
        </w:rPr>
      </w:pPr>
      <w:r w:rsidRPr="002070B2">
        <w:rPr>
          <w:rFonts w:eastAsia="Calibri" w:cs="Times New Roman"/>
          <w:lang w:eastAsia="en-US"/>
        </w:rPr>
        <w:t xml:space="preserve">This presentation and analysis, as well as various staffing and funding cases modelled, relied on the financial documentation provided by the </w:t>
      </w:r>
      <w:r w:rsidR="00BC0E09" w:rsidRPr="002070B2">
        <w:rPr>
          <w:rFonts w:eastAsia="Calibri" w:cs="Times New Roman"/>
          <w:lang w:eastAsia="en-US"/>
        </w:rPr>
        <w:t>Department</w:t>
      </w:r>
      <w:r w:rsidRPr="002070B2">
        <w:rPr>
          <w:rFonts w:eastAsia="Calibri" w:cs="Times New Roman"/>
          <w:lang w:eastAsia="en-US"/>
        </w:rPr>
        <w:t>.  Additional information sources included; the U</w:t>
      </w:r>
      <w:r w:rsidR="00BC0E09">
        <w:rPr>
          <w:rFonts w:eastAsia="Calibri" w:cs="Times New Roman"/>
          <w:lang w:eastAsia="en-US"/>
        </w:rPr>
        <w:t>.</w:t>
      </w:r>
      <w:r w:rsidRPr="002070B2">
        <w:rPr>
          <w:rFonts w:eastAsia="Calibri" w:cs="Times New Roman"/>
          <w:lang w:eastAsia="en-US"/>
        </w:rPr>
        <w:t>S</w:t>
      </w:r>
      <w:r w:rsidR="00BC0E09">
        <w:rPr>
          <w:rFonts w:eastAsia="Calibri" w:cs="Times New Roman"/>
          <w:lang w:eastAsia="en-US"/>
        </w:rPr>
        <w:t>.</w:t>
      </w:r>
      <w:r w:rsidRPr="002070B2">
        <w:rPr>
          <w:rFonts w:eastAsia="Calibri" w:cs="Times New Roman"/>
          <w:lang w:eastAsia="en-US"/>
        </w:rPr>
        <w:t xml:space="preserve"> Census Bureau, U</w:t>
      </w:r>
      <w:r w:rsidR="00BC0E09">
        <w:rPr>
          <w:rFonts w:eastAsia="Calibri" w:cs="Times New Roman"/>
          <w:lang w:eastAsia="en-US"/>
        </w:rPr>
        <w:t>.</w:t>
      </w:r>
      <w:r w:rsidRPr="002070B2">
        <w:rPr>
          <w:rFonts w:eastAsia="Calibri" w:cs="Times New Roman"/>
          <w:lang w:eastAsia="en-US"/>
        </w:rPr>
        <w:t>S</w:t>
      </w:r>
      <w:r w:rsidR="00BC0E09">
        <w:rPr>
          <w:rFonts w:eastAsia="Calibri" w:cs="Times New Roman"/>
          <w:lang w:eastAsia="en-US"/>
        </w:rPr>
        <w:t>.</w:t>
      </w:r>
      <w:r w:rsidRPr="002070B2">
        <w:rPr>
          <w:rFonts w:eastAsia="Calibri" w:cs="Times New Roman"/>
          <w:lang w:eastAsia="en-US"/>
        </w:rPr>
        <w:t xml:space="preserve"> Department of Commerce Bureau of Economic Analysis, the U</w:t>
      </w:r>
      <w:r w:rsidR="00BC0E09">
        <w:rPr>
          <w:rFonts w:eastAsia="Calibri" w:cs="Times New Roman"/>
          <w:lang w:eastAsia="en-US"/>
        </w:rPr>
        <w:t>.</w:t>
      </w:r>
      <w:r w:rsidRPr="002070B2">
        <w:rPr>
          <w:rFonts w:eastAsia="Calibri" w:cs="Times New Roman"/>
          <w:lang w:eastAsia="en-US"/>
        </w:rPr>
        <w:t>S</w:t>
      </w:r>
      <w:r w:rsidR="00BC0E09">
        <w:rPr>
          <w:rFonts w:eastAsia="Calibri" w:cs="Times New Roman"/>
          <w:lang w:eastAsia="en-US"/>
        </w:rPr>
        <w:t>.</w:t>
      </w:r>
      <w:r w:rsidRPr="002070B2">
        <w:rPr>
          <w:rFonts w:eastAsia="Calibri" w:cs="Times New Roman"/>
          <w:lang w:eastAsia="en-US"/>
        </w:rPr>
        <w:t xml:space="preserve"> Department of Labor (Bureau of Labor Statistics), the State of Washington Office of Financial Management, the Washington Center for Real Estate Research, the Franklin County Tax Assessor, the Pasco </w:t>
      </w:r>
      <w:r w:rsidR="00FF64FB">
        <w:rPr>
          <w:rFonts w:eastAsia="Calibri" w:cs="Times New Roman"/>
          <w:lang w:eastAsia="en-US"/>
        </w:rPr>
        <w:t>Building Permits &amp; Inspection Services</w:t>
      </w:r>
      <w:r w:rsidR="00BC0E09">
        <w:rPr>
          <w:rFonts w:eastAsia="Calibri" w:cs="Times New Roman"/>
          <w:lang w:eastAsia="en-US"/>
        </w:rPr>
        <w:t>,</w:t>
      </w:r>
      <w:r w:rsidRPr="002070B2">
        <w:rPr>
          <w:rFonts w:eastAsia="Calibri" w:cs="Times New Roman"/>
          <w:lang w:eastAsia="en-US"/>
        </w:rPr>
        <w:t xml:space="preserve"> and the Pasco Comprehensive Annual Financial Reports (CAFRs). The assumptions used in the forecast were developed by ESCI and reviewed by </w:t>
      </w:r>
      <w:r w:rsidR="00BC0E09" w:rsidRPr="002070B2">
        <w:rPr>
          <w:rFonts w:eastAsia="Calibri" w:cs="Times New Roman"/>
          <w:lang w:eastAsia="en-US"/>
        </w:rPr>
        <w:t xml:space="preserve">Department </w:t>
      </w:r>
      <w:r w:rsidRPr="002070B2">
        <w:rPr>
          <w:rFonts w:eastAsia="Calibri" w:cs="Times New Roman"/>
          <w:lang w:eastAsia="en-US"/>
        </w:rPr>
        <w:t>staff.</w:t>
      </w:r>
    </w:p>
    <w:p w14:paraId="6D950CA4" w14:textId="77777777" w:rsidR="00FD0084" w:rsidRPr="002070B2" w:rsidRDefault="00FD0084" w:rsidP="00FD0084">
      <w:pPr>
        <w:pStyle w:val="Heading3"/>
        <w:rPr>
          <w:rFonts w:eastAsia="Times New Roman"/>
        </w:rPr>
      </w:pPr>
      <w:bookmarkStart w:id="84" w:name="_Toc464323559"/>
      <w:r w:rsidRPr="002070B2">
        <w:rPr>
          <w:rFonts w:eastAsia="Times New Roman"/>
        </w:rPr>
        <w:t>Economic Context</w:t>
      </w:r>
      <w:bookmarkEnd w:id="84"/>
      <w:r w:rsidRPr="002070B2">
        <w:rPr>
          <w:rFonts w:eastAsia="Times New Roman"/>
        </w:rPr>
        <w:t xml:space="preserve"> </w:t>
      </w:r>
    </w:p>
    <w:p w14:paraId="0A12EA04" w14:textId="36FAAC51" w:rsidR="00FD0084" w:rsidRPr="002070B2" w:rsidRDefault="00FD0084" w:rsidP="00FD0084">
      <w:pPr>
        <w:rPr>
          <w:rFonts w:eastAsia="Calibri" w:cs="Arial"/>
          <w:bCs/>
          <w:lang w:eastAsia="en-US"/>
        </w:rPr>
      </w:pPr>
      <w:r w:rsidRPr="002070B2">
        <w:rPr>
          <w:rFonts w:eastAsia="Calibri" w:cs="Times New Roman"/>
          <w:lang w:eastAsia="en-US"/>
        </w:rPr>
        <w:t>Economic data from Franklin County and the Kennewick-Pasco-Richland Metropolitan Statistical Area (MSA) suggests that the local economy may not have suffered as much as other parts of the country during the 2008-2011 recession and some indicators suggest that the area’s economy has met or exceeded pre-recession highs</w:t>
      </w:r>
      <w:r w:rsidR="00BC0E09">
        <w:rPr>
          <w:rFonts w:eastAsia="Calibri" w:cs="Times New Roman"/>
          <w:lang w:eastAsia="en-US"/>
        </w:rPr>
        <w:t xml:space="preserve"> </w:t>
      </w:r>
      <w:r w:rsidR="00BC0E09" w:rsidRPr="002070B2">
        <w:rPr>
          <w:rFonts w:eastAsia="Calibri" w:cs="Times New Roman"/>
          <w:lang w:eastAsia="en-US"/>
        </w:rPr>
        <w:t>in some respects</w:t>
      </w:r>
      <w:r w:rsidRPr="002070B2">
        <w:rPr>
          <w:rFonts w:eastAsia="Calibri" w:cs="Times New Roman"/>
          <w:lang w:eastAsia="en-US"/>
        </w:rPr>
        <w:t>. Economic activity incl</w:t>
      </w:r>
      <w:r w:rsidR="00BC0E09">
        <w:rPr>
          <w:rFonts w:eastAsia="Calibri" w:cs="Times New Roman"/>
          <w:lang w:eastAsia="en-US"/>
        </w:rPr>
        <w:t>uding levels of employment, one</w:t>
      </w:r>
      <w:r w:rsidRPr="002070B2">
        <w:rPr>
          <w:rFonts w:eastAsia="Calibri" w:cs="Times New Roman"/>
          <w:lang w:eastAsia="en-US"/>
        </w:rPr>
        <w:t xml:space="preserve"> and two-family residential permits, residential home sales in the region, per capita and median fam</w:t>
      </w:r>
      <w:r w:rsidR="00BC0E09">
        <w:rPr>
          <w:rFonts w:eastAsia="Calibri" w:cs="Times New Roman"/>
          <w:lang w:eastAsia="en-US"/>
        </w:rPr>
        <w:t>ily income among other measures</w:t>
      </w:r>
      <w:r w:rsidRPr="002070B2">
        <w:rPr>
          <w:rFonts w:eastAsia="Calibri" w:cs="Times New Roman"/>
          <w:lang w:eastAsia="en-US"/>
        </w:rPr>
        <w:t xml:space="preserve"> have</w:t>
      </w:r>
      <w:r w:rsidR="00BC0E09">
        <w:rPr>
          <w:rFonts w:eastAsia="Calibri" w:cs="Times New Roman"/>
          <w:lang w:eastAsia="en-US"/>
        </w:rPr>
        <w:t xml:space="preserve"> generally recovered and in some cases exceeded</w:t>
      </w:r>
      <w:r w:rsidRPr="002070B2">
        <w:rPr>
          <w:rFonts w:eastAsia="Calibri" w:cs="Times New Roman"/>
          <w:lang w:eastAsia="en-US"/>
        </w:rPr>
        <w:t xml:space="preserve"> their pre-recession peaks.</w:t>
      </w:r>
      <w:r w:rsidRPr="002070B2">
        <w:rPr>
          <w:rFonts w:eastAsia="Calibri" w:cs="Arial"/>
          <w:bCs/>
          <w:lang w:eastAsia="en-US"/>
        </w:rPr>
        <w:t xml:space="preserve"> </w:t>
      </w:r>
    </w:p>
    <w:p w14:paraId="12A84770" w14:textId="393F2953" w:rsidR="00FD0084" w:rsidRPr="002070B2" w:rsidRDefault="00FD0084" w:rsidP="00FD0084">
      <w:pPr>
        <w:rPr>
          <w:rFonts w:eastAsia="Calibri" w:cs="Arial"/>
          <w:bCs/>
          <w:lang w:eastAsia="en-US"/>
        </w:rPr>
      </w:pPr>
      <w:r w:rsidRPr="002070B2">
        <w:rPr>
          <w:rFonts w:eastAsia="Calibri" w:cs="Arial"/>
          <w:bCs/>
          <w:lang w:eastAsia="en-US"/>
        </w:rPr>
        <w:t>The following figure shows non-seasonally adjusted average annual trends in total employment and available total labor force on the left-hand axis (red and blue lines; respectively) and unemployment rates on the right-hand axis (green bars) for the Kennewick-Pasco-Richland MSA from 2006 through 2015.  As shown, both the available labor force and number of workers employed have trended similarly throughout the period</w:t>
      </w:r>
      <w:r w:rsidR="00BC0E09">
        <w:rPr>
          <w:rFonts w:eastAsia="Calibri" w:cs="Arial"/>
          <w:bCs/>
          <w:lang w:eastAsia="en-US"/>
        </w:rPr>
        <w:t>,</w:t>
      </w:r>
      <w:r w:rsidRPr="002070B2">
        <w:rPr>
          <w:rFonts w:eastAsia="Calibri" w:cs="Arial"/>
          <w:bCs/>
          <w:lang w:eastAsia="en-US"/>
        </w:rPr>
        <w:t xml:space="preserve"> rising rapidly to their respective peaks in 2010.  Both measures gradually declined to respective lows in 2013-14 after which they again began to climb</w:t>
      </w:r>
      <w:r w:rsidR="00BC0E09">
        <w:rPr>
          <w:rFonts w:eastAsia="Calibri" w:cs="Arial"/>
          <w:bCs/>
          <w:lang w:eastAsia="en-US"/>
        </w:rPr>
        <w:t>,</w:t>
      </w:r>
      <w:r w:rsidRPr="002070B2">
        <w:rPr>
          <w:rFonts w:eastAsia="Calibri" w:cs="Arial"/>
          <w:bCs/>
          <w:lang w:eastAsia="en-US"/>
        </w:rPr>
        <w:t xml:space="preserve"> almost reaching t</w:t>
      </w:r>
      <w:r w:rsidR="00BC0E09">
        <w:rPr>
          <w:rFonts w:eastAsia="Calibri" w:cs="Arial"/>
          <w:bCs/>
          <w:lang w:eastAsia="en-US"/>
        </w:rPr>
        <w:t xml:space="preserve">heir 2010 peak values by 2015. </w:t>
      </w:r>
    </w:p>
    <w:p w14:paraId="5CC95F10" w14:textId="60B0BFB2" w:rsidR="00FD0084" w:rsidRPr="002070B2" w:rsidRDefault="00FD0084" w:rsidP="009F6573">
      <w:pPr>
        <w:pStyle w:val="Caption"/>
      </w:pPr>
      <w:bookmarkStart w:id="85" w:name="_Ref456116650"/>
      <w:bookmarkStart w:id="86" w:name="_Toc464323649"/>
      <w:r w:rsidRPr="002070B2">
        <w:lastRenderedPageBreak/>
        <w:t xml:space="preserve">Figure </w:t>
      </w:r>
      <w:r w:rsidR="00432AD4">
        <w:fldChar w:fldCharType="begin"/>
      </w:r>
      <w:r w:rsidR="00432AD4">
        <w:instrText xml:space="preserve"> SEQ Figure \* ARABIC </w:instrText>
      </w:r>
      <w:r w:rsidR="00432AD4">
        <w:fldChar w:fldCharType="separate"/>
      </w:r>
      <w:r w:rsidR="008209A2">
        <w:rPr>
          <w:noProof/>
        </w:rPr>
        <w:t>7</w:t>
      </w:r>
      <w:r w:rsidR="00432AD4">
        <w:rPr>
          <w:noProof/>
        </w:rPr>
        <w:fldChar w:fldCharType="end"/>
      </w:r>
      <w:bookmarkEnd w:id="85"/>
      <w:r w:rsidRPr="002070B2">
        <w:t>: Tri-Cities Employment, Available Labor Force and Unemployment Rate</w:t>
      </w:r>
      <w:r w:rsidR="00220002">
        <w:t>,</w:t>
      </w:r>
      <w:r w:rsidRPr="002070B2">
        <w:t xml:space="preserve"> 2006-2015</w:t>
      </w:r>
      <w:bookmarkEnd w:id="86"/>
    </w:p>
    <w:p w14:paraId="3450DEAD" w14:textId="77777777" w:rsidR="00FD0084" w:rsidRPr="002070B2" w:rsidRDefault="00FD0084" w:rsidP="00FD0084">
      <w:pPr>
        <w:spacing w:after="0"/>
        <w:jc w:val="center"/>
        <w:rPr>
          <w:rFonts w:eastAsia="Calibri" w:cs="Arial"/>
          <w:b/>
          <w:bCs/>
          <w:lang w:eastAsia="en-US"/>
        </w:rPr>
      </w:pPr>
      <w:r w:rsidRPr="002070B2">
        <w:rPr>
          <w:rFonts w:eastAsia="Calibri" w:cs="Times New Roman"/>
          <w:noProof/>
          <w:lang w:eastAsia="en-US"/>
        </w:rPr>
        <w:drawing>
          <wp:inline distT="0" distB="0" distL="0" distR="0" wp14:anchorId="60519D13" wp14:editId="53898AAC">
            <wp:extent cx="5210175" cy="2981325"/>
            <wp:effectExtent l="0" t="0" r="9525" b="9525"/>
            <wp:docPr id="37" name="Chart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1D7B61F9" w14:textId="2BDEE0C1" w:rsidR="00FD0084" w:rsidRPr="002070B2" w:rsidRDefault="00FD0084" w:rsidP="00FD0084">
      <w:pPr>
        <w:jc w:val="left"/>
        <w:rPr>
          <w:rFonts w:eastAsia="Calibri" w:cs="Arial"/>
          <w:bCs/>
          <w:i/>
          <w:sz w:val="20"/>
          <w:szCs w:val="20"/>
          <w:lang w:eastAsia="en-US"/>
        </w:rPr>
      </w:pPr>
      <w:r w:rsidRPr="002070B2">
        <w:rPr>
          <w:rFonts w:eastAsia="Calibri" w:cs="Arial"/>
          <w:bCs/>
          <w:i/>
          <w:sz w:val="20"/>
          <w:szCs w:val="20"/>
          <w:lang w:eastAsia="en-US"/>
        </w:rPr>
        <w:t>Source: U</w:t>
      </w:r>
      <w:r w:rsidR="00220002">
        <w:rPr>
          <w:rFonts w:eastAsia="Calibri" w:cs="Arial"/>
          <w:bCs/>
          <w:i/>
          <w:sz w:val="20"/>
          <w:szCs w:val="20"/>
          <w:lang w:eastAsia="en-US"/>
        </w:rPr>
        <w:t>.</w:t>
      </w:r>
      <w:r w:rsidRPr="002070B2">
        <w:rPr>
          <w:rFonts w:eastAsia="Calibri" w:cs="Arial"/>
          <w:bCs/>
          <w:i/>
          <w:sz w:val="20"/>
          <w:szCs w:val="20"/>
          <w:lang w:eastAsia="en-US"/>
        </w:rPr>
        <w:t>S</w:t>
      </w:r>
      <w:r w:rsidR="00220002">
        <w:rPr>
          <w:rFonts w:eastAsia="Calibri" w:cs="Arial"/>
          <w:bCs/>
          <w:i/>
          <w:sz w:val="20"/>
          <w:szCs w:val="20"/>
          <w:lang w:eastAsia="en-US"/>
        </w:rPr>
        <w:t>.</w:t>
      </w:r>
      <w:r w:rsidRPr="002070B2">
        <w:rPr>
          <w:rFonts w:eastAsia="Calibri" w:cs="Arial"/>
          <w:bCs/>
          <w:i/>
          <w:sz w:val="20"/>
          <w:szCs w:val="20"/>
          <w:lang w:eastAsia="en-US"/>
        </w:rPr>
        <w:t xml:space="preserve"> Department of Labor, Bureau of Labor Statistics</w:t>
      </w:r>
    </w:p>
    <w:p w14:paraId="014F5492" w14:textId="77777777" w:rsidR="009F6573" w:rsidRDefault="00FD0084" w:rsidP="009F6573">
      <w:pPr>
        <w:spacing w:after="240"/>
        <w:rPr>
          <w:rFonts w:eastAsia="Calibri" w:cs="Arial"/>
          <w:bCs/>
          <w:lang w:eastAsia="en-US"/>
        </w:rPr>
      </w:pPr>
      <w:r w:rsidRPr="002070B2">
        <w:rPr>
          <w:rFonts w:eastAsia="Calibri" w:cs="Arial"/>
          <w:bCs/>
          <w:lang w:eastAsia="en-US"/>
        </w:rPr>
        <w:t>The unemployment rate declined from 6.6 percent in 2006 to a low of 5.7</w:t>
      </w:r>
      <w:r w:rsidR="00220002">
        <w:rPr>
          <w:rFonts w:eastAsia="Calibri" w:cs="Arial"/>
          <w:bCs/>
          <w:lang w:eastAsia="en-US"/>
        </w:rPr>
        <w:t xml:space="preserve"> percent</w:t>
      </w:r>
      <w:r w:rsidRPr="002070B2">
        <w:rPr>
          <w:rFonts w:eastAsia="Calibri" w:cs="Arial"/>
          <w:bCs/>
          <w:lang w:eastAsia="en-US"/>
        </w:rPr>
        <w:t xml:space="preserve"> in 2008, after which it rose rapidly to its highest level of the period at 9.4 percent by 2012, slightly later than experienced in other parts of the country during the recession.  </w:t>
      </w:r>
    </w:p>
    <w:p w14:paraId="216A601B" w14:textId="11EA620C" w:rsidR="00FD0084" w:rsidRPr="002070B2" w:rsidRDefault="009F6573" w:rsidP="00FD0084">
      <w:pPr>
        <w:spacing w:after="0"/>
        <w:rPr>
          <w:rFonts w:eastAsia="Calibri" w:cs="Arial"/>
          <w:bCs/>
          <w:lang w:eastAsia="en-US"/>
        </w:rPr>
      </w:pPr>
      <w:r>
        <w:rPr>
          <w:rFonts w:eastAsia="Calibri" w:cs="Arial"/>
          <w:bCs/>
          <w:lang w:eastAsia="en-US"/>
        </w:rPr>
        <w:t xml:space="preserve">The following figure </w:t>
      </w:r>
      <w:r w:rsidR="00FD0084" w:rsidRPr="002070B2">
        <w:rPr>
          <w:rFonts w:eastAsia="Calibri" w:cs="Arial"/>
          <w:bCs/>
          <w:lang w:eastAsia="en-US"/>
        </w:rPr>
        <w:t>compares the une</w:t>
      </w:r>
      <w:r>
        <w:rPr>
          <w:rFonts w:eastAsia="Calibri" w:cs="Arial"/>
          <w:bCs/>
          <w:lang w:eastAsia="en-US"/>
        </w:rPr>
        <w:t xml:space="preserve">mployment rate for the </w:t>
      </w:r>
      <w:r w:rsidR="00FD0084" w:rsidRPr="002070B2">
        <w:rPr>
          <w:rFonts w:eastAsia="Calibri" w:cs="Arial"/>
          <w:bCs/>
          <w:lang w:eastAsia="en-US"/>
        </w:rPr>
        <w:t xml:space="preserve">Washington </w:t>
      </w:r>
      <w:r>
        <w:rPr>
          <w:rFonts w:eastAsia="Calibri" w:cs="Arial"/>
          <w:bCs/>
          <w:lang w:eastAsia="en-US"/>
        </w:rPr>
        <w:t xml:space="preserve">State </w:t>
      </w:r>
      <w:r w:rsidR="00FD0084" w:rsidRPr="002070B2">
        <w:rPr>
          <w:rFonts w:eastAsia="Calibri" w:cs="Arial"/>
          <w:bCs/>
          <w:lang w:eastAsia="en-US"/>
        </w:rPr>
        <w:t>with that in the Tri-Cities area.  The state reached its peak unemployment rate of 9.9</w:t>
      </w:r>
      <w:r>
        <w:rPr>
          <w:rFonts w:eastAsia="Calibri" w:cs="Arial"/>
          <w:bCs/>
          <w:lang w:eastAsia="en-US"/>
        </w:rPr>
        <w:t xml:space="preserve"> percent in 2010,</w:t>
      </w:r>
      <w:r w:rsidR="00FD0084" w:rsidRPr="002070B2">
        <w:rPr>
          <w:rFonts w:eastAsia="Calibri" w:cs="Arial"/>
          <w:bCs/>
          <w:lang w:eastAsia="en-US"/>
        </w:rPr>
        <w:t xml:space="preserve"> the low point of the recession generally observed elsewhere in the country</w:t>
      </w:r>
      <w:r>
        <w:rPr>
          <w:rFonts w:eastAsia="Calibri" w:cs="Arial"/>
          <w:bCs/>
          <w:lang w:eastAsia="en-US"/>
        </w:rPr>
        <w:t>;</w:t>
      </w:r>
      <w:r w:rsidR="00FD0084" w:rsidRPr="002070B2">
        <w:rPr>
          <w:rFonts w:eastAsia="Calibri" w:cs="Arial"/>
          <w:bCs/>
          <w:lang w:eastAsia="en-US"/>
        </w:rPr>
        <w:t xml:space="preserve"> whereas the Tri-</w:t>
      </w:r>
      <w:r w:rsidRPr="002070B2">
        <w:rPr>
          <w:rFonts w:eastAsia="Calibri" w:cs="Arial"/>
          <w:bCs/>
          <w:lang w:eastAsia="en-US"/>
        </w:rPr>
        <w:t xml:space="preserve">Cities </w:t>
      </w:r>
      <w:r w:rsidR="00FD0084" w:rsidRPr="002070B2">
        <w:rPr>
          <w:rFonts w:eastAsia="Calibri" w:cs="Arial"/>
          <w:bCs/>
          <w:lang w:eastAsia="en-US"/>
        </w:rPr>
        <w:t xml:space="preserve">area’s unemployment rate while climbing during the recession, did so at a slower rate and did not reach its peak until 2012.  </w:t>
      </w:r>
      <w:r>
        <w:rPr>
          <w:rFonts w:eastAsia="Calibri" w:cs="Arial"/>
          <w:bCs/>
          <w:lang w:eastAsia="en-US"/>
        </w:rPr>
        <w:t>W</w:t>
      </w:r>
      <w:r w:rsidR="00FD0084" w:rsidRPr="002070B2">
        <w:rPr>
          <w:rFonts w:eastAsia="Calibri" w:cs="Arial"/>
          <w:bCs/>
          <w:lang w:eastAsia="en-US"/>
        </w:rPr>
        <w:t>hile both the state and Tri-</w:t>
      </w:r>
      <w:r w:rsidRPr="002070B2">
        <w:rPr>
          <w:rFonts w:eastAsia="Calibri" w:cs="Arial"/>
          <w:bCs/>
          <w:lang w:eastAsia="en-US"/>
        </w:rPr>
        <w:t xml:space="preserve">Cities </w:t>
      </w:r>
      <w:r w:rsidR="00FD0084" w:rsidRPr="002070B2">
        <w:rPr>
          <w:rFonts w:eastAsia="Calibri" w:cs="Arial"/>
          <w:bCs/>
          <w:lang w:eastAsia="en-US"/>
        </w:rPr>
        <w:t>area are continuing to recover jobs, the Tri-</w:t>
      </w:r>
      <w:r w:rsidRPr="002070B2">
        <w:rPr>
          <w:rFonts w:eastAsia="Calibri" w:cs="Arial"/>
          <w:bCs/>
          <w:lang w:eastAsia="en-US"/>
        </w:rPr>
        <w:t xml:space="preserve">Cities </w:t>
      </w:r>
      <w:r w:rsidR="00FD0084" w:rsidRPr="002070B2">
        <w:rPr>
          <w:rFonts w:eastAsia="Calibri" w:cs="Arial"/>
          <w:bCs/>
          <w:lang w:eastAsia="en-US"/>
        </w:rPr>
        <w:t>area did not experience as great a fluctuation in total employment as seen statewide.</w:t>
      </w:r>
    </w:p>
    <w:p w14:paraId="08F5ACB3" w14:textId="77777777" w:rsidR="00FD0084" w:rsidRPr="002070B2" w:rsidRDefault="00FD0084" w:rsidP="00FD0084">
      <w:pPr>
        <w:spacing w:after="0"/>
        <w:rPr>
          <w:rFonts w:eastAsia="Calibri" w:cs="Arial"/>
          <w:bCs/>
          <w:lang w:eastAsia="en-US"/>
        </w:rPr>
      </w:pPr>
    </w:p>
    <w:p w14:paraId="14FA8C9F" w14:textId="3FAF2C14" w:rsidR="00FD0084" w:rsidRPr="002070B2" w:rsidRDefault="00FD0084" w:rsidP="009F6573">
      <w:pPr>
        <w:pStyle w:val="Caption"/>
      </w:pPr>
      <w:bookmarkStart w:id="87" w:name="_Toc464323650"/>
      <w:r w:rsidRPr="002070B2">
        <w:lastRenderedPageBreak/>
        <w:t xml:space="preserve">Figure </w:t>
      </w:r>
      <w:r w:rsidR="00432AD4">
        <w:fldChar w:fldCharType="begin"/>
      </w:r>
      <w:r w:rsidR="00432AD4">
        <w:instrText xml:space="preserve"> SEQ Figure \* ARABIC </w:instrText>
      </w:r>
      <w:r w:rsidR="00432AD4">
        <w:fldChar w:fldCharType="separate"/>
      </w:r>
      <w:r w:rsidR="008209A2">
        <w:rPr>
          <w:noProof/>
        </w:rPr>
        <w:t>8</w:t>
      </w:r>
      <w:r w:rsidR="00432AD4">
        <w:rPr>
          <w:noProof/>
        </w:rPr>
        <w:fldChar w:fldCharType="end"/>
      </w:r>
      <w:r w:rsidRPr="002070B2">
        <w:t>: Comparison of State of Washington and Kennewick-Pasco-Richland MSA</w:t>
      </w:r>
      <w:r w:rsidR="00220002">
        <w:br/>
      </w:r>
      <w:r w:rsidRPr="002070B2">
        <w:t>Unemployment Rates</w:t>
      </w:r>
      <w:r w:rsidR="00220002">
        <w:t>,</w:t>
      </w:r>
      <w:r w:rsidRPr="002070B2">
        <w:t xml:space="preserve"> 2006-2015</w:t>
      </w:r>
      <w:bookmarkEnd w:id="87"/>
    </w:p>
    <w:p w14:paraId="6AF17452" w14:textId="77777777" w:rsidR="00FD0084" w:rsidRPr="002070B2" w:rsidRDefault="00FD0084" w:rsidP="00457FAF">
      <w:pPr>
        <w:spacing w:after="0"/>
        <w:jc w:val="center"/>
        <w:rPr>
          <w:rFonts w:eastAsia="Calibri" w:cs="Arial"/>
          <w:bCs/>
          <w:lang w:eastAsia="en-US"/>
        </w:rPr>
      </w:pPr>
      <w:r w:rsidRPr="002070B2">
        <w:rPr>
          <w:rFonts w:eastAsia="Calibri" w:cs="Times New Roman"/>
          <w:noProof/>
          <w:lang w:eastAsia="en-US"/>
        </w:rPr>
        <w:drawing>
          <wp:inline distT="0" distB="0" distL="0" distR="0" wp14:anchorId="4C84C8CF" wp14:editId="5E99CEE9">
            <wp:extent cx="5210175" cy="2886075"/>
            <wp:effectExtent l="0" t="0" r="9525" b="9525"/>
            <wp:docPr id="39" name="Chart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4C084F58" w14:textId="52AB75E2" w:rsidR="00FD0084" w:rsidRPr="002070B2" w:rsidRDefault="00FD0084" w:rsidP="00FD0084">
      <w:pPr>
        <w:jc w:val="left"/>
        <w:rPr>
          <w:rFonts w:eastAsia="Calibri" w:cs="Arial"/>
          <w:bCs/>
          <w:i/>
          <w:sz w:val="20"/>
          <w:szCs w:val="20"/>
          <w:lang w:eastAsia="en-US"/>
        </w:rPr>
      </w:pPr>
      <w:r w:rsidRPr="002070B2">
        <w:rPr>
          <w:rFonts w:eastAsia="Calibri" w:cs="Arial"/>
          <w:bCs/>
          <w:i/>
          <w:sz w:val="20"/>
          <w:szCs w:val="20"/>
          <w:lang w:eastAsia="en-US"/>
        </w:rPr>
        <w:t>Source: U</w:t>
      </w:r>
      <w:r w:rsidR="009F6573">
        <w:rPr>
          <w:rFonts w:eastAsia="Calibri" w:cs="Arial"/>
          <w:bCs/>
          <w:i/>
          <w:sz w:val="20"/>
          <w:szCs w:val="20"/>
          <w:lang w:eastAsia="en-US"/>
        </w:rPr>
        <w:t>.</w:t>
      </w:r>
      <w:r w:rsidRPr="002070B2">
        <w:rPr>
          <w:rFonts w:eastAsia="Calibri" w:cs="Arial"/>
          <w:bCs/>
          <w:i/>
          <w:sz w:val="20"/>
          <w:szCs w:val="20"/>
          <w:lang w:eastAsia="en-US"/>
        </w:rPr>
        <w:t>S</w:t>
      </w:r>
      <w:r w:rsidR="009F6573">
        <w:rPr>
          <w:rFonts w:eastAsia="Calibri" w:cs="Arial"/>
          <w:bCs/>
          <w:i/>
          <w:sz w:val="20"/>
          <w:szCs w:val="20"/>
          <w:lang w:eastAsia="en-US"/>
        </w:rPr>
        <w:t>.</w:t>
      </w:r>
      <w:r w:rsidRPr="002070B2">
        <w:rPr>
          <w:rFonts w:eastAsia="Calibri" w:cs="Arial"/>
          <w:bCs/>
          <w:i/>
          <w:sz w:val="20"/>
          <w:szCs w:val="20"/>
          <w:lang w:eastAsia="en-US"/>
        </w:rPr>
        <w:t xml:space="preserve"> Department of Labor, Bureau of Labor Statistics</w:t>
      </w:r>
    </w:p>
    <w:p w14:paraId="75D8CFFD" w14:textId="3E0F1FEE" w:rsidR="00FD0084" w:rsidRPr="002070B2" w:rsidRDefault="00FD0084" w:rsidP="00FD0084">
      <w:pPr>
        <w:rPr>
          <w:rFonts w:eastAsia="Calibri" w:cs="Arial"/>
          <w:bCs/>
          <w:lang w:eastAsia="en-US"/>
        </w:rPr>
      </w:pPr>
      <w:r w:rsidRPr="002070B2">
        <w:rPr>
          <w:rFonts w:eastAsia="Calibri" w:cs="Arial"/>
          <w:bCs/>
          <w:lang w:eastAsia="en-US"/>
        </w:rPr>
        <w:t>The following figure shows inflation adjusted per capita income in 2013 dollars for Washington and the United States for the period 2005 through 2014.  Both show similar trends with income peaking in 2007-</w:t>
      </w:r>
      <w:r w:rsidR="009F6573">
        <w:rPr>
          <w:rFonts w:eastAsia="Calibri" w:cs="Arial"/>
          <w:bCs/>
          <w:lang w:eastAsia="en-US"/>
        </w:rPr>
        <w:t>20</w:t>
      </w:r>
      <w:r w:rsidRPr="002070B2">
        <w:rPr>
          <w:rFonts w:eastAsia="Calibri" w:cs="Arial"/>
          <w:bCs/>
          <w:lang w:eastAsia="en-US"/>
        </w:rPr>
        <w:t>08 just ahead of the recession and reaching recession lows in 2010 before beginning to recover in 2011.  By 2012, per capita income in both the United States and Washington had surpassed respective pre-recession highs and continues to climb.  Per capita income in the state has been higher than the national average throughout the period and was about 7.5 percent above the U</w:t>
      </w:r>
      <w:r w:rsidR="009F6573">
        <w:rPr>
          <w:rFonts w:eastAsia="Calibri" w:cs="Arial"/>
          <w:bCs/>
          <w:lang w:eastAsia="en-US"/>
        </w:rPr>
        <w:t>.</w:t>
      </w:r>
      <w:r w:rsidRPr="002070B2">
        <w:rPr>
          <w:rFonts w:eastAsia="Calibri" w:cs="Arial"/>
          <w:bCs/>
          <w:lang w:eastAsia="en-US"/>
        </w:rPr>
        <w:t>S</w:t>
      </w:r>
      <w:r w:rsidR="009F6573">
        <w:rPr>
          <w:rFonts w:eastAsia="Calibri" w:cs="Arial"/>
          <w:bCs/>
          <w:lang w:eastAsia="en-US"/>
        </w:rPr>
        <w:t>.</w:t>
      </w:r>
      <w:r w:rsidRPr="002070B2">
        <w:rPr>
          <w:rFonts w:eastAsia="Calibri" w:cs="Arial"/>
          <w:bCs/>
          <w:lang w:eastAsia="en-US"/>
        </w:rPr>
        <w:t xml:space="preserve"> average in 2014.  </w:t>
      </w:r>
    </w:p>
    <w:p w14:paraId="10408290" w14:textId="1B3DE00B" w:rsidR="00FD0084" w:rsidRPr="002070B2" w:rsidRDefault="00FD0084" w:rsidP="009F6573">
      <w:pPr>
        <w:pStyle w:val="Caption"/>
      </w:pPr>
      <w:bookmarkStart w:id="88" w:name="_Toc464323651"/>
      <w:r w:rsidRPr="002070B2">
        <w:lastRenderedPageBreak/>
        <w:t xml:space="preserve">Figure </w:t>
      </w:r>
      <w:r w:rsidR="00432AD4">
        <w:fldChar w:fldCharType="begin"/>
      </w:r>
      <w:r w:rsidR="00432AD4">
        <w:instrText xml:space="preserve"> SEQ Figure \* ARABIC </w:instrText>
      </w:r>
      <w:r w:rsidR="00432AD4">
        <w:fldChar w:fldCharType="separate"/>
      </w:r>
      <w:r w:rsidR="008209A2">
        <w:rPr>
          <w:noProof/>
        </w:rPr>
        <w:t>9</w:t>
      </w:r>
      <w:r w:rsidR="00432AD4">
        <w:rPr>
          <w:noProof/>
        </w:rPr>
        <w:fldChar w:fldCharType="end"/>
      </w:r>
      <w:r w:rsidRPr="002070B2">
        <w:t>: Comparison of Per Capita Income (Inflation Adjusted 2013 Dollars)</w:t>
      </w:r>
      <w:r w:rsidR="009F6573">
        <w:br/>
      </w:r>
      <w:r w:rsidRPr="002070B2">
        <w:t>United States and Washington</w:t>
      </w:r>
      <w:r w:rsidR="009F6573">
        <w:t>,</w:t>
      </w:r>
      <w:r w:rsidRPr="002070B2">
        <w:t xml:space="preserve"> 2005-2014</w:t>
      </w:r>
      <w:bookmarkEnd w:id="88"/>
    </w:p>
    <w:p w14:paraId="15DD974C" w14:textId="77777777" w:rsidR="00FD0084" w:rsidRPr="002070B2" w:rsidRDefault="00FD0084" w:rsidP="00457FAF">
      <w:pPr>
        <w:keepNext/>
        <w:spacing w:after="0"/>
        <w:jc w:val="center"/>
        <w:rPr>
          <w:rFonts w:eastAsia="Calibri" w:cs="Arial"/>
          <w:bCs/>
          <w:lang w:eastAsia="en-US"/>
        </w:rPr>
      </w:pPr>
      <w:r w:rsidRPr="002070B2">
        <w:rPr>
          <w:rFonts w:eastAsia="Calibri" w:cs="Times New Roman"/>
          <w:noProof/>
          <w:lang w:eastAsia="en-US"/>
        </w:rPr>
        <w:drawing>
          <wp:inline distT="0" distB="0" distL="0" distR="0" wp14:anchorId="5334C2F5" wp14:editId="4DA3A619">
            <wp:extent cx="5212080" cy="2790825"/>
            <wp:effectExtent l="0" t="0" r="7620" b="9525"/>
            <wp:docPr id="40" name="Chart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7101EEEF" w14:textId="77777777" w:rsidR="00FD0084" w:rsidRPr="002070B2" w:rsidRDefault="00FD0084" w:rsidP="00FD0084">
      <w:pPr>
        <w:jc w:val="left"/>
        <w:rPr>
          <w:rFonts w:eastAsia="Calibri" w:cs="Arial"/>
          <w:bCs/>
          <w:i/>
          <w:sz w:val="20"/>
          <w:szCs w:val="20"/>
          <w:lang w:eastAsia="en-US"/>
        </w:rPr>
      </w:pPr>
      <w:r w:rsidRPr="002070B2">
        <w:rPr>
          <w:rFonts w:eastAsia="Calibri" w:cs="Arial"/>
          <w:bCs/>
          <w:i/>
          <w:sz w:val="20"/>
          <w:szCs w:val="20"/>
          <w:lang w:eastAsia="en-US"/>
        </w:rPr>
        <w:t>Source: State of Washington Office of Financial Management</w:t>
      </w:r>
    </w:p>
    <w:p w14:paraId="72384D18" w14:textId="3AD577AC" w:rsidR="00FD0084" w:rsidRPr="002070B2" w:rsidRDefault="00FD0084" w:rsidP="00FD0084">
      <w:pPr>
        <w:rPr>
          <w:rFonts w:eastAsia="Calibri" w:cs="Arial"/>
          <w:bCs/>
          <w:lang w:eastAsia="en-US"/>
        </w:rPr>
      </w:pPr>
      <w:r w:rsidRPr="002070B2">
        <w:rPr>
          <w:rFonts w:eastAsia="Calibri" w:cs="Arial"/>
          <w:bCs/>
          <w:lang w:eastAsia="en-US"/>
        </w:rPr>
        <w:t>The following figure compares median household income for Washington State and Franklin County for the period 2005-2014.  Statewide median household income parallels the trend seen across the state for per capita income in the previous figure.  That is, income peaked at $57,858 in 2008 and then declined during the recession to a low of $54,888 in 2010 for a loss of 5.1 percent.  Statewide per capita income dropped from $47,981 in 2008 to $45,523 in 2010</w:t>
      </w:r>
      <w:r w:rsidR="009F6573">
        <w:rPr>
          <w:rFonts w:eastAsia="Calibri" w:cs="Arial"/>
          <w:bCs/>
          <w:lang w:eastAsia="en-US"/>
        </w:rPr>
        <w:t>, also a loss of 5.1 percent</w:t>
      </w:r>
      <w:r w:rsidRPr="002070B2">
        <w:rPr>
          <w:rFonts w:eastAsia="Calibri" w:cs="Arial"/>
          <w:bCs/>
          <w:lang w:eastAsia="en-US"/>
        </w:rPr>
        <w:t>.  Median household income for Franklin County followed a rather different trend than that observed statewide.  Income rose slightly between 2005 and 2006 before spiking in 2007 at $49,337 after which it fell to a low in 2009 of $43,754 for a decline of 11.3 percent.  However, the very next year the median increased to $53,355 surpassing the pre-recession high by $4,018 or 8.1 percent.  Thereafter, median income steadily increased to the point where it essentially matches the statewide median income.</w:t>
      </w:r>
    </w:p>
    <w:p w14:paraId="74F27EBD" w14:textId="1E8349EA" w:rsidR="00FD0084" w:rsidRPr="009F6573" w:rsidRDefault="00FD0084" w:rsidP="009F6573">
      <w:pPr>
        <w:pStyle w:val="Caption"/>
      </w:pPr>
      <w:bookmarkStart w:id="89" w:name="_Toc464323652"/>
      <w:r w:rsidRPr="009F6573">
        <w:lastRenderedPageBreak/>
        <w:t xml:space="preserve">Figure </w:t>
      </w:r>
      <w:r w:rsidR="00432AD4">
        <w:fldChar w:fldCharType="begin"/>
      </w:r>
      <w:r w:rsidR="00432AD4">
        <w:instrText xml:space="preserve"> SEQ Figure \* ARABIC </w:instrText>
      </w:r>
      <w:r w:rsidR="00432AD4">
        <w:fldChar w:fldCharType="separate"/>
      </w:r>
      <w:r w:rsidR="008209A2">
        <w:rPr>
          <w:noProof/>
        </w:rPr>
        <w:t>10</w:t>
      </w:r>
      <w:r w:rsidR="00432AD4">
        <w:rPr>
          <w:noProof/>
        </w:rPr>
        <w:fldChar w:fldCharType="end"/>
      </w:r>
      <w:r w:rsidRPr="009F6573">
        <w:t>: Median Annual Household Income, Washington State and Franklin County</w:t>
      </w:r>
      <w:r w:rsidR="009F6573" w:rsidRPr="009F6573">
        <w:t>,</w:t>
      </w:r>
      <w:r w:rsidRPr="009F6573">
        <w:t xml:space="preserve"> 2005 to 2014</w:t>
      </w:r>
      <w:bookmarkEnd w:id="89"/>
    </w:p>
    <w:p w14:paraId="15F4FD97" w14:textId="77777777" w:rsidR="00FD0084" w:rsidRPr="002070B2" w:rsidRDefault="00FD0084" w:rsidP="00457FAF">
      <w:pPr>
        <w:spacing w:after="0"/>
        <w:jc w:val="center"/>
        <w:rPr>
          <w:rFonts w:eastAsia="Calibri" w:cs="Arial"/>
          <w:bCs/>
          <w:lang w:eastAsia="en-US"/>
        </w:rPr>
      </w:pPr>
      <w:r w:rsidRPr="002070B2">
        <w:rPr>
          <w:rFonts w:eastAsia="Calibri" w:cs="Times New Roman"/>
          <w:noProof/>
          <w:lang w:eastAsia="en-US"/>
        </w:rPr>
        <w:drawing>
          <wp:inline distT="0" distB="0" distL="0" distR="0" wp14:anchorId="5CD31689" wp14:editId="1A27E4AD">
            <wp:extent cx="5212080" cy="2743200"/>
            <wp:effectExtent l="0" t="0" r="7620" b="0"/>
            <wp:docPr id="41" name="Chart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72B1571B" w14:textId="77777777" w:rsidR="00FD0084" w:rsidRPr="002070B2" w:rsidRDefault="00FD0084" w:rsidP="00457FAF">
      <w:pPr>
        <w:spacing w:line="240" w:lineRule="auto"/>
        <w:jc w:val="left"/>
        <w:rPr>
          <w:rFonts w:eastAsia="Calibri" w:cs="Arial"/>
          <w:bCs/>
          <w:i/>
          <w:sz w:val="20"/>
          <w:szCs w:val="20"/>
          <w:lang w:eastAsia="en-US"/>
        </w:rPr>
      </w:pPr>
      <w:r w:rsidRPr="002070B2">
        <w:rPr>
          <w:rFonts w:eastAsia="Calibri" w:cs="Arial"/>
          <w:bCs/>
          <w:i/>
          <w:sz w:val="20"/>
          <w:szCs w:val="20"/>
          <w:lang w:eastAsia="en-US"/>
        </w:rPr>
        <w:t>Source: State of Washington Office of Financial Management</w:t>
      </w:r>
    </w:p>
    <w:p w14:paraId="18678B11" w14:textId="420523F4" w:rsidR="00FD0084" w:rsidRPr="002070B2" w:rsidRDefault="00FD0084" w:rsidP="00FD0084">
      <w:pPr>
        <w:rPr>
          <w:rFonts w:eastAsia="Calibri" w:cs="Arial"/>
          <w:bCs/>
          <w:lang w:eastAsia="en-US"/>
        </w:rPr>
      </w:pPr>
      <w:r w:rsidRPr="002070B2">
        <w:rPr>
          <w:rFonts w:eastAsia="Calibri" w:cs="Arial"/>
          <w:bCs/>
          <w:lang w:eastAsia="en-US"/>
        </w:rPr>
        <w:t>One fairly consistent indicator of economic conditions is the volume of residential home sales and median sales price of those homes.  The following figure shows the long-term trend of median sales price</w:t>
      </w:r>
      <w:r w:rsidR="009F6573">
        <w:rPr>
          <w:rFonts w:eastAsia="Calibri" w:cs="Arial"/>
          <w:bCs/>
          <w:lang w:eastAsia="en-US"/>
        </w:rPr>
        <w:t xml:space="preserve"> for homes sold in </w:t>
      </w:r>
      <w:r w:rsidRPr="002070B2">
        <w:rPr>
          <w:rFonts w:eastAsia="Calibri" w:cs="Arial"/>
          <w:bCs/>
          <w:lang w:eastAsia="en-US"/>
        </w:rPr>
        <w:t>Washington from 2000 through 2014. The run-up of prices prior to the 2008-2011 recession is a fairly common trend seen in most areas of the country.  Prices peaked in 2007 at $309,600 and then dropped to recession lows in 2011 of $224,180</w:t>
      </w:r>
      <w:r w:rsidR="009F6573">
        <w:rPr>
          <w:rFonts w:eastAsia="Calibri" w:cs="Arial"/>
          <w:bCs/>
          <w:lang w:eastAsia="en-US"/>
        </w:rPr>
        <w:t>,</w:t>
      </w:r>
      <w:r w:rsidRPr="002070B2">
        <w:rPr>
          <w:rFonts w:eastAsia="Calibri" w:cs="Arial"/>
          <w:bCs/>
          <w:lang w:eastAsia="en-US"/>
        </w:rPr>
        <w:t xml:space="preserve"> a loss of $85,420 or 27.6 percent of their peak value.  </w:t>
      </w:r>
    </w:p>
    <w:p w14:paraId="574EC026" w14:textId="31CE9A1D" w:rsidR="00FD0084" w:rsidRPr="002070B2" w:rsidRDefault="00FD0084" w:rsidP="00FD0084">
      <w:pPr>
        <w:rPr>
          <w:rFonts w:eastAsia="Calibri" w:cs="Arial"/>
          <w:bCs/>
          <w:lang w:eastAsia="en-US"/>
        </w:rPr>
      </w:pPr>
      <w:r w:rsidRPr="002070B2">
        <w:rPr>
          <w:rFonts w:eastAsia="Calibri" w:cs="Arial"/>
          <w:bCs/>
          <w:lang w:eastAsia="en-US"/>
        </w:rPr>
        <w:t>Since 2011, values have been recovering at a rate approximat</w:t>
      </w:r>
      <w:r w:rsidR="009F6573">
        <w:rPr>
          <w:rFonts w:eastAsia="Calibri" w:cs="Arial"/>
          <w:bCs/>
          <w:lang w:eastAsia="en-US"/>
        </w:rPr>
        <w:t>ing</w:t>
      </w:r>
      <w:r w:rsidRPr="002070B2">
        <w:rPr>
          <w:rFonts w:eastAsia="Calibri" w:cs="Arial"/>
          <w:bCs/>
          <w:lang w:eastAsia="en-US"/>
        </w:rPr>
        <w:t xml:space="preserve"> that seen from 2000-01 through 2003</w:t>
      </w:r>
      <w:r w:rsidR="009F6573">
        <w:rPr>
          <w:rFonts w:eastAsia="Calibri" w:cs="Arial"/>
          <w:bCs/>
          <w:lang w:eastAsia="en-US"/>
        </w:rPr>
        <w:t>,</w:t>
      </w:r>
      <w:r w:rsidRPr="002070B2">
        <w:rPr>
          <w:rFonts w:eastAsia="Calibri" w:cs="Arial"/>
          <w:bCs/>
          <w:lang w:eastAsia="en-US"/>
        </w:rPr>
        <w:t xml:space="preserve"> which seems to be a reasonable “background” rate of rise in value.  By 2014, median home prices have recovered to $268,400 gaining back a bit over half of the value lost from the pre-recession peak.  If the “bubble” is removed from this trend, values have risen from $176,300 in 2000 to $268,400 in 2014 an increase of $92,100 or 52.2 percent over 14 years</w:t>
      </w:r>
      <w:r w:rsidR="009F6573">
        <w:rPr>
          <w:rFonts w:eastAsia="Calibri" w:cs="Arial"/>
          <w:bCs/>
          <w:lang w:eastAsia="en-US"/>
        </w:rPr>
        <w:t>,</w:t>
      </w:r>
      <w:r w:rsidRPr="002070B2">
        <w:rPr>
          <w:rFonts w:eastAsia="Calibri" w:cs="Arial"/>
          <w:bCs/>
          <w:lang w:eastAsia="en-US"/>
        </w:rPr>
        <w:t xml:space="preserve"> an average of 3.7 percent per year.</w:t>
      </w:r>
    </w:p>
    <w:p w14:paraId="032E5BC2" w14:textId="49BBC97E" w:rsidR="00FD0084" w:rsidRPr="002070B2" w:rsidRDefault="00FD0084" w:rsidP="009F6573">
      <w:pPr>
        <w:pStyle w:val="Caption"/>
      </w:pPr>
      <w:bookmarkStart w:id="90" w:name="_Toc464323653"/>
      <w:r w:rsidRPr="002070B2">
        <w:lastRenderedPageBreak/>
        <w:t xml:space="preserve">Figure </w:t>
      </w:r>
      <w:r w:rsidR="00432AD4">
        <w:fldChar w:fldCharType="begin"/>
      </w:r>
      <w:r w:rsidR="00432AD4">
        <w:instrText xml:space="preserve"> SE</w:instrText>
      </w:r>
      <w:r w:rsidR="00432AD4">
        <w:instrText xml:space="preserve">Q Figure \* ARABIC </w:instrText>
      </w:r>
      <w:r w:rsidR="00432AD4">
        <w:fldChar w:fldCharType="separate"/>
      </w:r>
      <w:r w:rsidR="008209A2">
        <w:rPr>
          <w:noProof/>
        </w:rPr>
        <w:t>11</w:t>
      </w:r>
      <w:r w:rsidR="00432AD4">
        <w:rPr>
          <w:noProof/>
        </w:rPr>
        <w:fldChar w:fldCharType="end"/>
      </w:r>
      <w:r w:rsidRPr="002070B2">
        <w:t>: Median Home Sales Price in Washington State</w:t>
      </w:r>
      <w:r w:rsidR="009F6573">
        <w:t>,</w:t>
      </w:r>
      <w:r w:rsidRPr="002070B2">
        <w:t xml:space="preserve"> 2000 to 2014</w:t>
      </w:r>
      <w:bookmarkEnd w:id="90"/>
    </w:p>
    <w:p w14:paraId="2482CECF" w14:textId="77777777" w:rsidR="00FD0084" w:rsidRPr="002070B2" w:rsidRDefault="00FD0084" w:rsidP="00FD0084">
      <w:pPr>
        <w:spacing w:after="0"/>
        <w:jc w:val="center"/>
        <w:rPr>
          <w:rFonts w:eastAsia="Calibri" w:cs="Arial"/>
          <w:bCs/>
          <w:lang w:eastAsia="en-US"/>
        </w:rPr>
      </w:pPr>
      <w:r w:rsidRPr="002070B2">
        <w:rPr>
          <w:rFonts w:eastAsia="Calibri" w:cs="Times New Roman"/>
          <w:noProof/>
          <w:lang w:eastAsia="en-US"/>
        </w:rPr>
        <w:drawing>
          <wp:inline distT="0" distB="0" distL="0" distR="0" wp14:anchorId="11538AEE" wp14:editId="077C814A">
            <wp:extent cx="5212080" cy="2486025"/>
            <wp:effectExtent l="0" t="0" r="7620" b="9525"/>
            <wp:docPr id="43" name="Chart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4944B0EB" w14:textId="77777777" w:rsidR="00FD0084" w:rsidRPr="002070B2" w:rsidRDefault="00FD0084" w:rsidP="00FD0084">
      <w:pPr>
        <w:jc w:val="left"/>
        <w:rPr>
          <w:rFonts w:eastAsia="Calibri" w:cs="Arial"/>
          <w:bCs/>
          <w:i/>
          <w:sz w:val="20"/>
          <w:szCs w:val="20"/>
          <w:lang w:eastAsia="en-US"/>
        </w:rPr>
      </w:pPr>
      <w:r w:rsidRPr="002070B2">
        <w:rPr>
          <w:rFonts w:eastAsia="Calibri" w:cs="Arial"/>
          <w:bCs/>
          <w:i/>
          <w:sz w:val="20"/>
          <w:szCs w:val="20"/>
          <w:lang w:eastAsia="en-US"/>
        </w:rPr>
        <w:t>Source: State of Washington Office of Financial Management</w:t>
      </w:r>
    </w:p>
    <w:p w14:paraId="6B44106B" w14:textId="3FA53206" w:rsidR="00FD0084" w:rsidRPr="002070B2" w:rsidRDefault="00FD0084" w:rsidP="009F6573">
      <w:pPr>
        <w:pStyle w:val="Caption"/>
      </w:pPr>
      <w:bookmarkStart w:id="91" w:name="_Toc464323654"/>
      <w:r w:rsidRPr="002070B2">
        <w:lastRenderedPageBreak/>
        <w:t xml:space="preserve">Figure </w:t>
      </w:r>
      <w:r w:rsidR="00432AD4">
        <w:fldChar w:fldCharType="begin"/>
      </w:r>
      <w:r w:rsidR="00432AD4">
        <w:instrText xml:space="preserve"> SEQ Figure \* ARABIC </w:instrText>
      </w:r>
      <w:r w:rsidR="00432AD4">
        <w:fldChar w:fldCharType="separate"/>
      </w:r>
      <w:r w:rsidR="008209A2">
        <w:rPr>
          <w:noProof/>
        </w:rPr>
        <w:t>12</w:t>
      </w:r>
      <w:r w:rsidR="00432AD4">
        <w:rPr>
          <w:noProof/>
        </w:rPr>
        <w:fldChar w:fldCharType="end"/>
      </w:r>
      <w:r w:rsidRPr="002070B2">
        <w:t>: Median Home Sales Price and Sales Volume (Seasonally Adjusted First Quarter Sales) in Washington State and Franklin County</w:t>
      </w:r>
      <w:r w:rsidR="00D57D86">
        <w:t>,</w:t>
      </w:r>
      <w:r w:rsidRPr="002070B2">
        <w:t xml:space="preserve"> 2008 to 2016</w:t>
      </w:r>
      <w:bookmarkEnd w:id="91"/>
    </w:p>
    <w:p w14:paraId="2D36CC0A" w14:textId="504E36E6" w:rsidR="00FD0084" w:rsidRPr="002070B2" w:rsidRDefault="00FD0084" w:rsidP="00457FAF">
      <w:pPr>
        <w:spacing w:after="0"/>
        <w:jc w:val="center"/>
        <w:rPr>
          <w:rFonts w:eastAsia="Calibri" w:cs="Arial"/>
          <w:bCs/>
          <w:lang w:eastAsia="en-US"/>
        </w:rPr>
      </w:pPr>
      <w:r w:rsidRPr="00D57D86">
        <w:rPr>
          <w:rFonts w:eastAsia="Calibri" w:cs="Arial"/>
          <w:bCs/>
          <w:noProof/>
          <w:sz w:val="20"/>
          <w:szCs w:val="20"/>
          <w:lang w:eastAsia="en-US"/>
        </w:rPr>
        <w:drawing>
          <wp:inline distT="0" distB="0" distL="0" distR="0" wp14:anchorId="659FBC27" wp14:editId="75AA51CB">
            <wp:extent cx="4480560" cy="4697986"/>
            <wp:effectExtent l="19050" t="19050" r="15240" b="2667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480560" cy="4697986"/>
                    </a:xfrm>
                    <a:prstGeom prst="rect">
                      <a:avLst/>
                    </a:prstGeom>
                    <a:noFill/>
                    <a:ln w="15875" cmpd="thickThin">
                      <a:solidFill>
                        <a:sysClr val="windowText" lastClr="000000"/>
                      </a:solidFill>
                    </a:ln>
                  </pic:spPr>
                </pic:pic>
              </a:graphicData>
            </a:graphic>
          </wp:inline>
        </w:drawing>
      </w:r>
    </w:p>
    <w:p w14:paraId="2A3E5627" w14:textId="6E2659C1" w:rsidR="00FD0084" w:rsidRPr="002070B2" w:rsidRDefault="00FD0084" w:rsidP="00FD0084">
      <w:pPr>
        <w:jc w:val="left"/>
        <w:rPr>
          <w:rFonts w:eastAsia="Calibri" w:cs="Arial"/>
          <w:bCs/>
          <w:i/>
          <w:sz w:val="20"/>
          <w:szCs w:val="20"/>
          <w:lang w:eastAsia="en-US"/>
        </w:rPr>
      </w:pPr>
      <w:r w:rsidRPr="002070B2">
        <w:rPr>
          <w:rFonts w:eastAsia="Calibri" w:cs="Arial"/>
          <w:bCs/>
          <w:i/>
          <w:sz w:val="20"/>
          <w:szCs w:val="20"/>
          <w:lang w:eastAsia="en-US"/>
        </w:rPr>
        <w:t>Source: U</w:t>
      </w:r>
      <w:r w:rsidR="00D57D86">
        <w:rPr>
          <w:rFonts w:eastAsia="Calibri" w:cs="Arial"/>
          <w:bCs/>
          <w:i/>
          <w:sz w:val="20"/>
          <w:szCs w:val="20"/>
          <w:lang w:eastAsia="en-US"/>
        </w:rPr>
        <w:t>.</w:t>
      </w:r>
      <w:r w:rsidRPr="002070B2">
        <w:rPr>
          <w:rFonts w:eastAsia="Calibri" w:cs="Arial"/>
          <w:bCs/>
          <w:i/>
          <w:sz w:val="20"/>
          <w:szCs w:val="20"/>
          <w:lang w:eastAsia="en-US"/>
        </w:rPr>
        <w:t>S</w:t>
      </w:r>
      <w:r w:rsidR="00D57D86">
        <w:rPr>
          <w:rFonts w:eastAsia="Calibri" w:cs="Arial"/>
          <w:bCs/>
          <w:i/>
          <w:sz w:val="20"/>
          <w:szCs w:val="20"/>
          <w:lang w:eastAsia="en-US"/>
        </w:rPr>
        <w:t>.</w:t>
      </w:r>
      <w:r w:rsidRPr="002070B2">
        <w:rPr>
          <w:rFonts w:eastAsia="Calibri" w:cs="Arial"/>
          <w:bCs/>
          <w:i/>
          <w:sz w:val="20"/>
          <w:szCs w:val="20"/>
          <w:lang w:eastAsia="en-US"/>
        </w:rPr>
        <w:t xml:space="preserve"> Census Bureau, Washington Center for Real Estate Research</w:t>
      </w:r>
    </w:p>
    <w:p w14:paraId="347BEAB0" w14:textId="77777777" w:rsidR="00FD0084" w:rsidRPr="002070B2" w:rsidRDefault="00FD0084" w:rsidP="00FD0084">
      <w:pPr>
        <w:rPr>
          <w:rFonts w:eastAsia="Calibri" w:cs="Arial"/>
          <w:bCs/>
          <w:lang w:eastAsia="en-US"/>
        </w:rPr>
      </w:pPr>
      <w:r w:rsidRPr="002070B2">
        <w:rPr>
          <w:rFonts w:eastAsia="Calibri" w:cs="Arial"/>
          <w:bCs/>
          <w:lang w:eastAsia="en-US"/>
        </w:rPr>
        <w:t xml:space="preserve">The previous figure focuses in on the period from 2008, close to the pre-recession peak, through 2016.  The data in this figure represents seasonally adjusted sales volume for the first quarter of each year shown.  </w:t>
      </w:r>
    </w:p>
    <w:p w14:paraId="10E73795" w14:textId="77777777" w:rsidR="00FD0084" w:rsidRPr="002070B2" w:rsidRDefault="00FD0084" w:rsidP="00FD0084">
      <w:pPr>
        <w:rPr>
          <w:rFonts w:eastAsia="Calibri" w:cs="Arial"/>
          <w:bCs/>
          <w:lang w:eastAsia="en-US"/>
        </w:rPr>
      </w:pPr>
      <w:r w:rsidRPr="002070B2">
        <w:rPr>
          <w:rFonts w:eastAsia="Calibri" w:cs="Arial"/>
          <w:bCs/>
          <w:lang w:eastAsia="en-US"/>
        </w:rPr>
        <w:t>It is interesting to note the stark difference between what happened statewide and locally in Franklin County.  While median values in the state fell significantly during the recession to their lowest point in 2012, a trend similar to that seen across the nation during the recession, values in Franklin County merely stayed relatively flat through the recession.  Sales volume statewide has not really shown any particular trend while volume in Franklin County was relatively flat from 2008 through 2012.  From 2012, first quarterly sales volume began a healthy trend almost doubling from 650 in 2012 to 1290 in 2016, an increase of 98.5 percent in four years or almost 25 percent annually.</w:t>
      </w:r>
    </w:p>
    <w:p w14:paraId="114C1A36" w14:textId="6F0F40FA" w:rsidR="00FD0084" w:rsidRPr="002070B2" w:rsidRDefault="00FD0084" w:rsidP="00F843F0">
      <w:pPr>
        <w:pStyle w:val="Caption"/>
      </w:pPr>
      <w:bookmarkStart w:id="92" w:name="_Toc464323655"/>
      <w:r w:rsidRPr="002070B2">
        <w:lastRenderedPageBreak/>
        <w:t xml:space="preserve">Figure </w:t>
      </w:r>
      <w:r w:rsidR="00432AD4">
        <w:fldChar w:fldCharType="begin"/>
      </w:r>
      <w:r w:rsidR="00432AD4">
        <w:instrText xml:space="preserve"> SEQ Figure \* ARABIC </w:instrText>
      </w:r>
      <w:r w:rsidR="00432AD4">
        <w:fldChar w:fldCharType="separate"/>
      </w:r>
      <w:r w:rsidR="008209A2">
        <w:rPr>
          <w:noProof/>
        </w:rPr>
        <w:t>13</w:t>
      </w:r>
      <w:r w:rsidR="00432AD4">
        <w:rPr>
          <w:noProof/>
        </w:rPr>
        <w:fldChar w:fldCharType="end"/>
      </w:r>
      <w:r w:rsidRPr="002070B2">
        <w:t xml:space="preserve">: Single Family Residential Permits and Total Value and Commercial/Industrial Permits Issued by Pasco </w:t>
      </w:r>
      <w:r w:rsidR="00FF64FB">
        <w:t>Building Permits &amp; Inspection Services</w:t>
      </w:r>
      <w:r w:rsidR="00F843F0">
        <w:t>,</w:t>
      </w:r>
      <w:r w:rsidRPr="002070B2">
        <w:t xml:space="preserve"> 2005-2014</w:t>
      </w:r>
      <w:bookmarkEnd w:id="92"/>
    </w:p>
    <w:p w14:paraId="2F963D3E" w14:textId="77777777" w:rsidR="00FD0084" w:rsidRPr="002070B2" w:rsidRDefault="00FD0084" w:rsidP="00457FAF">
      <w:pPr>
        <w:spacing w:after="0"/>
        <w:jc w:val="center"/>
        <w:rPr>
          <w:rFonts w:eastAsia="Calibri" w:cs="Arial"/>
          <w:bCs/>
          <w:lang w:eastAsia="en-US"/>
        </w:rPr>
      </w:pPr>
      <w:r w:rsidRPr="002070B2">
        <w:rPr>
          <w:rFonts w:eastAsia="Calibri" w:cs="Times New Roman"/>
          <w:noProof/>
          <w:lang w:eastAsia="en-US"/>
        </w:rPr>
        <w:drawing>
          <wp:inline distT="0" distB="0" distL="0" distR="0" wp14:anchorId="367CC1BD" wp14:editId="4E78AF73">
            <wp:extent cx="5781675" cy="3000375"/>
            <wp:effectExtent l="0" t="0" r="9525" b="9525"/>
            <wp:docPr id="50" name="Chart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31B85322" w14:textId="77777777" w:rsidR="00FD0084" w:rsidRPr="002070B2" w:rsidRDefault="00FD0084" w:rsidP="00457FAF">
      <w:pPr>
        <w:spacing w:line="240" w:lineRule="auto"/>
        <w:jc w:val="left"/>
        <w:rPr>
          <w:rFonts w:eastAsia="Calibri" w:cs="Arial"/>
          <w:bCs/>
          <w:i/>
          <w:sz w:val="20"/>
          <w:szCs w:val="20"/>
          <w:lang w:eastAsia="en-US"/>
        </w:rPr>
      </w:pPr>
      <w:r w:rsidRPr="002070B2">
        <w:rPr>
          <w:rFonts w:eastAsia="Calibri" w:cs="Arial"/>
          <w:bCs/>
          <w:i/>
          <w:sz w:val="20"/>
          <w:szCs w:val="20"/>
          <w:lang w:eastAsia="en-US"/>
        </w:rPr>
        <w:t>Source: City of Pasco Building Department</w:t>
      </w:r>
    </w:p>
    <w:p w14:paraId="075A1081" w14:textId="47C3B698" w:rsidR="00FD0084" w:rsidRPr="002070B2" w:rsidRDefault="00FD0084" w:rsidP="00FD0084">
      <w:pPr>
        <w:rPr>
          <w:rFonts w:eastAsia="Calibri" w:cs="Arial"/>
          <w:bCs/>
          <w:lang w:eastAsia="en-US"/>
        </w:rPr>
      </w:pPr>
      <w:r w:rsidRPr="002070B2">
        <w:rPr>
          <w:rFonts w:eastAsia="Calibri" w:cs="Arial"/>
          <w:bCs/>
          <w:lang w:eastAsia="en-US"/>
        </w:rPr>
        <w:t xml:space="preserve">The previous figure shows the number of single-family residential permits issued by the Pasco </w:t>
      </w:r>
      <w:r w:rsidR="00FF64FB">
        <w:rPr>
          <w:rFonts w:eastAsia="Calibri" w:cs="Arial"/>
          <w:bCs/>
          <w:lang w:eastAsia="en-US"/>
        </w:rPr>
        <w:t>Building Permits &amp; Inspection Services</w:t>
      </w:r>
      <w:r w:rsidRPr="002070B2">
        <w:rPr>
          <w:rFonts w:eastAsia="Calibri" w:cs="Arial"/>
          <w:bCs/>
          <w:lang w:eastAsia="en-US"/>
        </w:rPr>
        <w:t xml:space="preserve"> along with total value of the projects over the period 2005-2014 as well as the number of commercial and industrial permits issued for the same period.  Unlike other parts of the country where residential construction activity rose through 2008 and then declined during the recession, the trend in Pasco was that of a sharp decline from 1</w:t>
      </w:r>
      <w:r w:rsidR="00F843F0">
        <w:rPr>
          <w:rFonts w:eastAsia="Calibri" w:cs="Arial"/>
          <w:bCs/>
          <w:lang w:eastAsia="en-US"/>
        </w:rPr>
        <w:t>,</w:t>
      </w:r>
      <w:r w:rsidRPr="002070B2">
        <w:rPr>
          <w:rFonts w:eastAsia="Calibri" w:cs="Arial"/>
          <w:bCs/>
          <w:lang w:eastAsia="en-US"/>
        </w:rPr>
        <w:t>027 residential permits issued in 2005 to a low of 404 permits issued in 2008 for a drop of 60.7 percent in three years.  Residential construction investment dropped by almost $88 million or 53 percent during the same period.  However, residential activity picked up again by 2009 reaching a post-2008 peak of 544 permits issued in 2010 when most of the country was in the middle of the recession.  After 2010, residential construction activity again fell to its lowest point of the period at 220 permits issued in 2013 with only three more issued in 2014.  Commercial and Industrial permits have generally fluctuated between a low of 274 permits in 2008 and a high of 408 issued in 2013.  Other than a slight rise in 2009, activity in this sector generally fell from a high in 2006 to a low in 2008 and 2010 after which activity increased to its highest level in 2013, falling off slightly in 2014.</w:t>
      </w:r>
    </w:p>
    <w:p w14:paraId="2537CD7A" w14:textId="1D41B4B4" w:rsidR="00FD0084" w:rsidRPr="002070B2" w:rsidRDefault="00FD0084" w:rsidP="00F843F0">
      <w:pPr>
        <w:pStyle w:val="Caption"/>
      </w:pPr>
      <w:bookmarkStart w:id="93" w:name="_Toc464323656"/>
      <w:r w:rsidRPr="002070B2">
        <w:lastRenderedPageBreak/>
        <w:t xml:space="preserve">Figure </w:t>
      </w:r>
      <w:r w:rsidR="00432AD4">
        <w:fldChar w:fldCharType="begin"/>
      </w:r>
      <w:r w:rsidR="00432AD4">
        <w:instrText xml:space="preserve"> SEQ Figure \* ARABIC </w:instrText>
      </w:r>
      <w:r w:rsidR="00432AD4">
        <w:fldChar w:fldCharType="separate"/>
      </w:r>
      <w:r w:rsidR="008209A2">
        <w:rPr>
          <w:noProof/>
        </w:rPr>
        <w:t>14</w:t>
      </w:r>
      <w:r w:rsidR="00432AD4">
        <w:rPr>
          <w:noProof/>
        </w:rPr>
        <w:fldChar w:fldCharType="end"/>
      </w:r>
      <w:r w:rsidRPr="002070B2">
        <w:t>: State of Washington, Franklin County and City of Pasco Historical Population</w:t>
      </w:r>
      <w:r w:rsidR="00F843F0">
        <w:t>,</w:t>
      </w:r>
      <w:r w:rsidRPr="002070B2">
        <w:t xml:space="preserve"> 2005-2015</w:t>
      </w:r>
      <w:bookmarkEnd w:id="93"/>
    </w:p>
    <w:p w14:paraId="68D28607" w14:textId="77777777" w:rsidR="00FD0084" w:rsidRPr="002070B2" w:rsidRDefault="00FD0084" w:rsidP="00457FAF">
      <w:pPr>
        <w:spacing w:after="0"/>
        <w:jc w:val="center"/>
        <w:rPr>
          <w:rFonts w:eastAsia="Calibri" w:cs="Arial"/>
          <w:lang w:eastAsia="en-US"/>
        </w:rPr>
      </w:pPr>
      <w:r w:rsidRPr="002070B2">
        <w:rPr>
          <w:rFonts w:eastAsia="Calibri" w:cs="Times New Roman"/>
          <w:noProof/>
          <w:lang w:eastAsia="en-US"/>
        </w:rPr>
        <w:drawing>
          <wp:inline distT="0" distB="0" distL="0" distR="0" wp14:anchorId="7832B7FA" wp14:editId="06EFB821">
            <wp:extent cx="5212080" cy="2847975"/>
            <wp:effectExtent l="0" t="0" r="7620" b="9525"/>
            <wp:docPr id="45" name="Chart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6F6CAA09" w14:textId="0DA58278" w:rsidR="00FD0084" w:rsidRPr="002070B2" w:rsidRDefault="00FD0084" w:rsidP="00FD0084">
      <w:pPr>
        <w:jc w:val="left"/>
        <w:rPr>
          <w:rFonts w:eastAsia="Calibri" w:cs="Arial"/>
          <w:bCs/>
          <w:i/>
          <w:sz w:val="20"/>
          <w:szCs w:val="20"/>
          <w:lang w:eastAsia="en-US"/>
        </w:rPr>
      </w:pPr>
      <w:r w:rsidRPr="002070B2">
        <w:rPr>
          <w:rFonts w:eastAsia="Calibri" w:cs="Arial"/>
          <w:bCs/>
          <w:i/>
          <w:sz w:val="20"/>
          <w:szCs w:val="20"/>
          <w:lang w:eastAsia="en-US"/>
        </w:rPr>
        <w:t>Source: U</w:t>
      </w:r>
      <w:r w:rsidR="00F843F0">
        <w:rPr>
          <w:rFonts w:eastAsia="Calibri" w:cs="Arial"/>
          <w:bCs/>
          <w:i/>
          <w:sz w:val="20"/>
          <w:szCs w:val="20"/>
          <w:lang w:eastAsia="en-US"/>
        </w:rPr>
        <w:t>.</w:t>
      </w:r>
      <w:r w:rsidRPr="002070B2">
        <w:rPr>
          <w:rFonts w:eastAsia="Calibri" w:cs="Arial"/>
          <w:bCs/>
          <w:i/>
          <w:sz w:val="20"/>
          <w:szCs w:val="20"/>
          <w:lang w:eastAsia="en-US"/>
        </w:rPr>
        <w:t>S</w:t>
      </w:r>
      <w:r w:rsidR="00F843F0">
        <w:rPr>
          <w:rFonts w:eastAsia="Calibri" w:cs="Arial"/>
          <w:bCs/>
          <w:i/>
          <w:sz w:val="20"/>
          <w:szCs w:val="20"/>
          <w:lang w:eastAsia="en-US"/>
        </w:rPr>
        <w:t>.</w:t>
      </w:r>
      <w:r w:rsidRPr="002070B2">
        <w:rPr>
          <w:rFonts w:eastAsia="Calibri" w:cs="Arial"/>
          <w:bCs/>
          <w:i/>
          <w:sz w:val="20"/>
          <w:szCs w:val="20"/>
          <w:lang w:eastAsia="en-US"/>
        </w:rPr>
        <w:t xml:space="preserve"> Census Bureau, State of Washington Office of Financial Management</w:t>
      </w:r>
    </w:p>
    <w:p w14:paraId="36C3FFE6" w14:textId="35396DF3" w:rsidR="00FD0084" w:rsidRPr="002070B2" w:rsidRDefault="00FD0084" w:rsidP="00FD0084">
      <w:pPr>
        <w:rPr>
          <w:rFonts w:eastAsia="Calibri" w:cs="Arial"/>
          <w:lang w:eastAsia="en-US"/>
        </w:rPr>
      </w:pPr>
      <w:r w:rsidRPr="002070B2">
        <w:rPr>
          <w:rFonts w:eastAsia="Calibri" w:cs="Arial"/>
          <w:lang w:eastAsia="en-US"/>
        </w:rPr>
        <w:t>The previous figure graphically il</w:t>
      </w:r>
      <w:r w:rsidR="00F843F0">
        <w:rPr>
          <w:rFonts w:eastAsia="Calibri" w:cs="Arial"/>
          <w:lang w:eastAsia="en-US"/>
        </w:rPr>
        <w:t xml:space="preserve">lustrates population trends for </w:t>
      </w:r>
      <w:r w:rsidRPr="002070B2">
        <w:rPr>
          <w:rFonts w:eastAsia="Calibri" w:cs="Arial"/>
          <w:lang w:eastAsia="en-US"/>
        </w:rPr>
        <w:t>Washington</w:t>
      </w:r>
      <w:r w:rsidR="00F843F0">
        <w:rPr>
          <w:rFonts w:eastAsia="Calibri" w:cs="Arial"/>
          <w:lang w:eastAsia="en-US"/>
        </w:rPr>
        <w:t xml:space="preserve"> State</w:t>
      </w:r>
      <w:r w:rsidRPr="002070B2">
        <w:rPr>
          <w:rFonts w:eastAsia="Calibri" w:cs="Arial"/>
          <w:lang w:eastAsia="en-US"/>
        </w:rPr>
        <w:t xml:space="preserve"> (blue line on the left axis), Franklin County</w:t>
      </w:r>
      <w:r w:rsidR="00F843F0">
        <w:rPr>
          <w:rFonts w:eastAsia="Calibri" w:cs="Arial"/>
          <w:lang w:eastAsia="en-US"/>
        </w:rPr>
        <w:t>,</w:t>
      </w:r>
      <w:r w:rsidRPr="002070B2">
        <w:rPr>
          <w:rFonts w:eastAsia="Calibri" w:cs="Arial"/>
          <w:lang w:eastAsia="en-US"/>
        </w:rPr>
        <w:t xml:space="preserve"> and the </w:t>
      </w:r>
      <w:r w:rsidR="00F843F0" w:rsidRPr="002070B2">
        <w:rPr>
          <w:rFonts w:eastAsia="Calibri" w:cs="Arial"/>
          <w:lang w:eastAsia="en-US"/>
        </w:rPr>
        <w:t xml:space="preserve">city </w:t>
      </w:r>
      <w:r w:rsidR="00F843F0">
        <w:rPr>
          <w:rFonts w:eastAsia="Calibri" w:cs="Arial"/>
          <w:lang w:eastAsia="en-US"/>
        </w:rPr>
        <w:t>of Pasco (red and green lines,</w:t>
      </w:r>
      <w:r w:rsidRPr="002070B2">
        <w:rPr>
          <w:rFonts w:eastAsia="Calibri" w:cs="Arial"/>
          <w:lang w:eastAsia="en-US"/>
        </w:rPr>
        <w:t xml:space="preserve"> respectively, on the right axis) from 2005 through 2015.  Pasco has comprised between 73 and 78 percent of the total Franklin County population over the ten-year period</w:t>
      </w:r>
      <w:r w:rsidR="00F843F0">
        <w:rPr>
          <w:rFonts w:eastAsia="Calibri" w:cs="Arial"/>
          <w:lang w:eastAsia="en-US"/>
        </w:rPr>
        <w:t>,</w:t>
      </w:r>
      <w:r w:rsidRPr="002070B2">
        <w:rPr>
          <w:rFonts w:eastAsia="Calibri" w:cs="Arial"/>
          <w:lang w:eastAsia="en-US"/>
        </w:rPr>
        <w:t xml:space="preserve"> gaining slightly by 2015. The city has grown from 45,846 in 2005 to 68,240 in 2015, an increase of 22,394 residents or 48.8 percent during this period.  The growth has been relatively steady at just under 5 percent per year and is the major driver of Franklin County’s population increase, accounting for 91.1 percent of the county’s growth.  During the same period, the state’s population increased by 762,594 or 12.1 percent which equates to just over</w:t>
      </w:r>
      <w:r w:rsidR="00DC4461">
        <w:rPr>
          <w:rFonts w:eastAsia="Calibri" w:cs="Arial"/>
          <w:lang w:eastAsia="en-US"/>
        </w:rPr>
        <w:t xml:space="preserve"> </w:t>
      </w:r>
      <w:r w:rsidR="00F843F0">
        <w:rPr>
          <w:rFonts w:eastAsia="Calibri" w:cs="Arial"/>
          <w:lang w:eastAsia="en-US"/>
        </w:rPr>
        <w:t>1</w:t>
      </w:r>
      <w:r w:rsidRPr="002070B2">
        <w:rPr>
          <w:rFonts w:eastAsia="Calibri" w:cs="Arial"/>
          <w:lang w:eastAsia="en-US"/>
        </w:rPr>
        <w:t xml:space="preserve"> percent annually.</w:t>
      </w:r>
    </w:p>
    <w:p w14:paraId="0ACAA378" w14:textId="77777777" w:rsidR="00F843F0" w:rsidRDefault="00FD0084" w:rsidP="00FD0084">
      <w:pPr>
        <w:rPr>
          <w:rFonts w:eastAsia="Calibri" w:cs="Arial"/>
          <w:lang w:eastAsia="en-US"/>
        </w:rPr>
      </w:pPr>
      <w:r w:rsidRPr="002070B2">
        <w:rPr>
          <w:rFonts w:eastAsia="Calibri" w:cs="Arial"/>
          <w:lang w:eastAsia="en-US"/>
        </w:rPr>
        <w:t>The following figure shows high, medium</w:t>
      </w:r>
      <w:r w:rsidR="00F843F0">
        <w:rPr>
          <w:rFonts w:eastAsia="Calibri" w:cs="Arial"/>
          <w:lang w:eastAsia="en-US"/>
        </w:rPr>
        <w:t>,</w:t>
      </w:r>
      <w:r w:rsidRPr="002070B2">
        <w:rPr>
          <w:rFonts w:eastAsia="Calibri" w:cs="Arial"/>
          <w:lang w:eastAsia="en-US"/>
        </w:rPr>
        <w:t xml:space="preserve"> and low population projections for the total Franklin County population through 2030.  If the major growth continues to occur within the city limits of Pasco as seen historically, this may significantly increase demand for emergency services.  </w:t>
      </w:r>
    </w:p>
    <w:p w14:paraId="183CF24C" w14:textId="2EBAB1A9" w:rsidR="00FD0084" w:rsidRPr="002070B2" w:rsidRDefault="00FD0084" w:rsidP="00FD0084">
      <w:pPr>
        <w:rPr>
          <w:rFonts w:eastAsia="Calibri" w:cs="Arial"/>
          <w:lang w:eastAsia="en-US"/>
        </w:rPr>
      </w:pPr>
      <w:r w:rsidRPr="002070B2">
        <w:rPr>
          <w:rFonts w:eastAsia="Calibri" w:cs="Arial"/>
          <w:lang w:eastAsia="en-US"/>
        </w:rPr>
        <w:t>Further, population demographics may play an increasing role in the demand for emergency services.  While projections were not available specifically for the City of Pasco, data for the state shows that t</w:t>
      </w:r>
      <w:r w:rsidR="00F843F0">
        <w:rPr>
          <w:rFonts w:eastAsia="Calibri" w:cs="Arial"/>
          <w:lang w:eastAsia="en-US"/>
        </w:rPr>
        <w:t>he fastest growing demographic</w:t>
      </w:r>
      <w:r w:rsidRPr="002070B2">
        <w:rPr>
          <w:rFonts w:eastAsia="Calibri" w:cs="Arial"/>
          <w:lang w:eastAsia="en-US"/>
        </w:rPr>
        <w:t xml:space="preserve"> by far is the over age 65 population class.  This trend may or may not impact Pasco into the future as the median age in the Benton and Franklin County region between 2005 and 2015 has only averaged approximately 33 years.</w:t>
      </w:r>
    </w:p>
    <w:p w14:paraId="75281BFB" w14:textId="061A2EF2" w:rsidR="00FD0084" w:rsidRPr="002070B2" w:rsidRDefault="00FD0084" w:rsidP="00F843F0">
      <w:pPr>
        <w:pStyle w:val="Caption"/>
      </w:pPr>
      <w:bookmarkStart w:id="94" w:name="_Toc464323657"/>
      <w:r w:rsidRPr="002070B2">
        <w:lastRenderedPageBreak/>
        <w:t xml:space="preserve">Figure </w:t>
      </w:r>
      <w:r w:rsidR="00432AD4">
        <w:fldChar w:fldCharType="begin"/>
      </w:r>
      <w:r w:rsidR="00432AD4">
        <w:instrText xml:space="preserve"> SEQ Figure \* ARABIC </w:instrText>
      </w:r>
      <w:r w:rsidR="00432AD4">
        <w:fldChar w:fldCharType="separate"/>
      </w:r>
      <w:r w:rsidR="008209A2">
        <w:rPr>
          <w:noProof/>
        </w:rPr>
        <w:t>15</w:t>
      </w:r>
      <w:r w:rsidR="00432AD4">
        <w:rPr>
          <w:noProof/>
        </w:rPr>
        <w:fldChar w:fldCharType="end"/>
      </w:r>
      <w:r w:rsidRPr="002070B2">
        <w:t>: High, Medium</w:t>
      </w:r>
      <w:r w:rsidR="00F843F0">
        <w:t>,</w:t>
      </w:r>
      <w:r w:rsidRPr="002070B2">
        <w:t xml:space="preserve"> and Low Population P</w:t>
      </w:r>
      <w:r w:rsidR="00F843F0">
        <w:t>rojections for Franklin County t</w:t>
      </w:r>
      <w:r w:rsidRPr="002070B2">
        <w:t>hrough 2030</w:t>
      </w:r>
      <w:bookmarkEnd w:id="94"/>
    </w:p>
    <w:p w14:paraId="1EC66C3D" w14:textId="77777777" w:rsidR="00FD0084" w:rsidRPr="002070B2" w:rsidRDefault="00FD0084" w:rsidP="00457FAF">
      <w:pPr>
        <w:spacing w:after="0"/>
        <w:jc w:val="center"/>
        <w:rPr>
          <w:rFonts w:eastAsia="Calibri" w:cs="Arial"/>
          <w:lang w:eastAsia="en-US"/>
        </w:rPr>
      </w:pPr>
      <w:r w:rsidRPr="002070B2">
        <w:rPr>
          <w:rFonts w:eastAsia="Calibri" w:cs="Times New Roman"/>
          <w:noProof/>
          <w:lang w:eastAsia="en-US"/>
        </w:rPr>
        <w:drawing>
          <wp:inline distT="0" distB="0" distL="0" distR="0" wp14:anchorId="54279FDB" wp14:editId="35778C4D">
            <wp:extent cx="5212080" cy="2657475"/>
            <wp:effectExtent l="0" t="0" r="7620" b="9525"/>
            <wp:docPr id="46" name="Chart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3D3323F9" w14:textId="344485C8" w:rsidR="00FD0084" w:rsidRPr="002070B2" w:rsidRDefault="00FD0084" w:rsidP="00FD0084">
      <w:pPr>
        <w:rPr>
          <w:rFonts w:eastAsia="Calibri" w:cs="Arial"/>
          <w:bCs/>
          <w:i/>
          <w:sz w:val="20"/>
          <w:szCs w:val="20"/>
          <w:lang w:eastAsia="en-US"/>
        </w:rPr>
      </w:pPr>
      <w:r w:rsidRPr="002070B2">
        <w:rPr>
          <w:rFonts w:eastAsia="Calibri" w:cs="Arial"/>
          <w:bCs/>
          <w:i/>
          <w:sz w:val="20"/>
          <w:szCs w:val="20"/>
          <w:lang w:eastAsia="en-US"/>
        </w:rPr>
        <w:t>Source: U</w:t>
      </w:r>
      <w:r w:rsidR="00F843F0">
        <w:rPr>
          <w:rFonts w:eastAsia="Calibri" w:cs="Arial"/>
          <w:bCs/>
          <w:i/>
          <w:sz w:val="20"/>
          <w:szCs w:val="20"/>
          <w:lang w:eastAsia="en-US"/>
        </w:rPr>
        <w:t>.</w:t>
      </w:r>
      <w:r w:rsidRPr="002070B2">
        <w:rPr>
          <w:rFonts w:eastAsia="Calibri" w:cs="Arial"/>
          <w:bCs/>
          <w:i/>
          <w:sz w:val="20"/>
          <w:szCs w:val="20"/>
          <w:lang w:eastAsia="en-US"/>
        </w:rPr>
        <w:t>S</w:t>
      </w:r>
      <w:r w:rsidR="00F843F0">
        <w:rPr>
          <w:rFonts w:eastAsia="Calibri" w:cs="Arial"/>
          <w:bCs/>
          <w:i/>
          <w:sz w:val="20"/>
          <w:szCs w:val="20"/>
          <w:lang w:eastAsia="en-US"/>
        </w:rPr>
        <w:t>.</w:t>
      </w:r>
      <w:r w:rsidRPr="002070B2">
        <w:rPr>
          <w:rFonts w:eastAsia="Calibri" w:cs="Arial"/>
          <w:bCs/>
          <w:i/>
          <w:sz w:val="20"/>
          <w:szCs w:val="20"/>
          <w:lang w:eastAsia="en-US"/>
        </w:rPr>
        <w:t xml:space="preserve"> Census Bureau, State of Washington Office of Financial Management</w:t>
      </w:r>
    </w:p>
    <w:p w14:paraId="6DF7C9B1" w14:textId="6C440DED" w:rsidR="00FD0084" w:rsidRPr="002070B2" w:rsidRDefault="00FD0084" w:rsidP="00F843F0">
      <w:pPr>
        <w:pStyle w:val="Caption"/>
      </w:pPr>
      <w:bookmarkStart w:id="95" w:name="_Toc464323658"/>
      <w:r w:rsidRPr="002070B2">
        <w:t xml:space="preserve">Figure </w:t>
      </w:r>
      <w:r w:rsidR="00432AD4">
        <w:fldChar w:fldCharType="begin"/>
      </w:r>
      <w:r w:rsidR="00432AD4">
        <w:instrText xml:space="preserve"> SEQ Figure \* ARABIC </w:instrText>
      </w:r>
      <w:r w:rsidR="00432AD4">
        <w:fldChar w:fldCharType="separate"/>
      </w:r>
      <w:r w:rsidR="008209A2">
        <w:rPr>
          <w:noProof/>
        </w:rPr>
        <w:t>16</w:t>
      </w:r>
      <w:r w:rsidR="00432AD4">
        <w:rPr>
          <w:noProof/>
        </w:rPr>
        <w:fldChar w:fldCharType="end"/>
      </w:r>
      <w:r w:rsidRPr="002070B2">
        <w:t>: Washington State Selected Historical and Projected Population by Age Group</w:t>
      </w:r>
      <w:r w:rsidR="00F843F0">
        <w:t>,</w:t>
      </w:r>
      <w:r w:rsidRPr="002070B2">
        <w:t xml:space="preserve"> 20</w:t>
      </w:r>
      <w:r w:rsidR="00F843F0">
        <w:t>0</w:t>
      </w:r>
      <w:r w:rsidRPr="002070B2">
        <w:t>5-2030</w:t>
      </w:r>
      <w:bookmarkEnd w:id="95"/>
    </w:p>
    <w:p w14:paraId="56017B05" w14:textId="77777777" w:rsidR="00FD0084" w:rsidRPr="002070B2" w:rsidRDefault="00FD0084" w:rsidP="00457FAF">
      <w:pPr>
        <w:spacing w:after="0"/>
        <w:jc w:val="center"/>
        <w:rPr>
          <w:rFonts w:eastAsia="Calibri" w:cs="Arial"/>
          <w:lang w:eastAsia="en-US"/>
        </w:rPr>
      </w:pPr>
      <w:r w:rsidRPr="002070B2">
        <w:rPr>
          <w:rFonts w:eastAsia="Calibri" w:cs="Times New Roman"/>
          <w:noProof/>
          <w:lang w:eastAsia="en-US"/>
        </w:rPr>
        <w:drawing>
          <wp:inline distT="0" distB="0" distL="0" distR="0" wp14:anchorId="392C12DA" wp14:editId="464E364C">
            <wp:extent cx="5448300" cy="2828925"/>
            <wp:effectExtent l="0" t="0" r="0" b="9525"/>
            <wp:docPr id="47" name="Chart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11D94211" w14:textId="69E599B9" w:rsidR="00FD0084" w:rsidRPr="002070B2" w:rsidRDefault="00FD0084" w:rsidP="00FD0084">
      <w:pPr>
        <w:rPr>
          <w:rFonts w:eastAsia="Calibri" w:cs="Arial"/>
          <w:sz w:val="20"/>
          <w:szCs w:val="20"/>
          <w:lang w:eastAsia="en-US"/>
        </w:rPr>
      </w:pPr>
      <w:r w:rsidRPr="002070B2">
        <w:rPr>
          <w:rFonts w:eastAsia="Calibri" w:cs="Arial"/>
          <w:bCs/>
          <w:i/>
          <w:sz w:val="20"/>
          <w:szCs w:val="20"/>
          <w:lang w:eastAsia="en-US"/>
        </w:rPr>
        <w:t>Source: U</w:t>
      </w:r>
      <w:r w:rsidR="00F843F0">
        <w:rPr>
          <w:rFonts w:eastAsia="Calibri" w:cs="Arial"/>
          <w:bCs/>
          <w:i/>
          <w:sz w:val="20"/>
          <w:szCs w:val="20"/>
          <w:lang w:eastAsia="en-US"/>
        </w:rPr>
        <w:t>.</w:t>
      </w:r>
      <w:r w:rsidRPr="002070B2">
        <w:rPr>
          <w:rFonts w:eastAsia="Calibri" w:cs="Arial"/>
          <w:bCs/>
          <w:i/>
          <w:sz w:val="20"/>
          <w:szCs w:val="20"/>
          <w:lang w:eastAsia="en-US"/>
        </w:rPr>
        <w:t>S</w:t>
      </w:r>
      <w:r w:rsidR="00F843F0">
        <w:rPr>
          <w:rFonts w:eastAsia="Calibri" w:cs="Arial"/>
          <w:bCs/>
          <w:i/>
          <w:sz w:val="20"/>
          <w:szCs w:val="20"/>
          <w:lang w:eastAsia="en-US"/>
        </w:rPr>
        <w:t>.</w:t>
      </w:r>
      <w:r w:rsidRPr="002070B2">
        <w:rPr>
          <w:rFonts w:eastAsia="Calibri" w:cs="Arial"/>
          <w:bCs/>
          <w:i/>
          <w:sz w:val="20"/>
          <w:szCs w:val="20"/>
          <w:lang w:eastAsia="en-US"/>
        </w:rPr>
        <w:t xml:space="preserve"> Census Bureau</w:t>
      </w:r>
    </w:p>
    <w:p w14:paraId="56C83215" w14:textId="0BD5FA9F" w:rsidR="00FD0084" w:rsidRPr="002070B2" w:rsidRDefault="00FD0084" w:rsidP="00FD0084">
      <w:pPr>
        <w:rPr>
          <w:rFonts w:eastAsia="Calibri" w:cs="Arial"/>
          <w:bCs/>
          <w:i/>
          <w:lang w:eastAsia="en-US"/>
        </w:rPr>
      </w:pPr>
      <w:r w:rsidRPr="002070B2">
        <w:rPr>
          <w:rFonts w:eastAsia="Calibri" w:cs="Arial"/>
          <w:lang w:eastAsia="en-US"/>
        </w:rPr>
        <w:t>Inflation is another measure of economic activity.  Section 2 of the agreement between the City of Pasco and the Port of Pasco (airport) for fire service refers to increases in the annual payment for service and how this is calculated.  Generally, annual payments are based upon actual personnel costs established through collective bargaining.  However, in the event that the city and union do not reach agreement, “…the annual service payment shall be increased by the Consumer Price Index issued by the U</w:t>
      </w:r>
      <w:r w:rsidR="00F843F0">
        <w:rPr>
          <w:rFonts w:eastAsia="Calibri" w:cs="Arial"/>
          <w:lang w:eastAsia="en-US"/>
        </w:rPr>
        <w:t>.</w:t>
      </w:r>
      <w:r w:rsidRPr="002070B2">
        <w:rPr>
          <w:rFonts w:eastAsia="Calibri" w:cs="Arial"/>
          <w:lang w:eastAsia="en-US"/>
        </w:rPr>
        <w:t>S</w:t>
      </w:r>
      <w:r w:rsidR="00F843F0">
        <w:rPr>
          <w:rFonts w:eastAsia="Calibri" w:cs="Arial"/>
          <w:lang w:eastAsia="en-US"/>
        </w:rPr>
        <w:t>.</w:t>
      </w:r>
      <w:r w:rsidRPr="002070B2">
        <w:rPr>
          <w:rFonts w:eastAsia="Calibri" w:cs="Arial"/>
          <w:lang w:eastAsia="en-US"/>
        </w:rPr>
        <w:t xml:space="preserve"> Department of Labor for the West Coast Class B/C Cities.”  The following figure shows the trend from 2000 through 2015 of the West Coast Class B/C Cities Urban Consumer Price Index for All Urban </w:t>
      </w:r>
      <w:r w:rsidRPr="002070B2">
        <w:rPr>
          <w:rFonts w:eastAsia="Calibri" w:cs="Arial"/>
          <w:lang w:eastAsia="en-US"/>
        </w:rPr>
        <w:lastRenderedPageBreak/>
        <w:t>Consumers (CPI-U).  The index averaged 3 percent in 2000-</w:t>
      </w:r>
      <w:r w:rsidR="00F843F0">
        <w:rPr>
          <w:rFonts w:eastAsia="Calibri" w:cs="Arial"/>
          <w:lang w:eastAsia="en-US"/>
        </w:rPr>
        <w:t>200</w:t>
      </w:r>
      <w:r w:rsidRPr="002070B2">
        <w:rPr>
          <w:rFonts w:eastAsia="Calibri" w:cs="Arial"/>
          <w:lang w:eastAsia="en-US"/>
        </w:rPr>
        <w:t>1 after which it dropped to 1.5 percent and t</w:t>
      </w:r>
      <w:r w:rsidR="00F843F0">
        <w:rPr>
          <w:rFonts w:eastAsia="Calibri" w:cs="Arial"/>
          <w:lang w:eastAsia="en-US"/>
        </w:rPr>
        <w:t>h</w:t>
      </w:r>
      <w:r w:rsidRPr="002070B2">
        <w:rPr>
          <w:rFonts w:eastAsia="Calibri" w:cs="Arial"/>
          <w:lang w:eastAsia="en-US"/>
        </w:rPr>
        <w:t>en climbed steadily to a pre-recession high of 3.5 percent in 2008.  During the nine years preceding the recession, the average annual inflation factor was approximately for West Coast B/C cities was 2.73 percent, slightly lower than the national average of 2.89 percent.  It actually dropped to -0.6 percent in 2009, immediately after the pre-recession peak of the economy in 2008 and jumped to 3.0 percent by 2011, generally regarded as the low point in the recession economy.  As the economy began to show signs of recovery, the annual inflation index dropped to 1.7 percent in 2012 and then appeared to stabilize around 1.2 percent over the next two years before again falling in 2015 to 0.4 percent.  The average post-recession high has been 1.3 percent.</w:t>
      </w:r>
    </w:p>
    <w:p w14:paraId="59363A67" w14:textId="35D448CE" w:rsidR="00FD0084" w:rsidRPr="002070B2" w:rsidRDefault="00FD0084" w:rsidP="006E3B04">
      <w:pPr>
        <w:pStyle w:val="Caption"/>
        <w:rPr>
          <w:i/>
        </w:rPr>
      </w:pPr>
      <w:bookmarkStart w:id="96" w:name="_Toc464323659"/>
      <w:r w:rsidRPr="002070B2">
        <w:t xml:space="preserve">Figure </w:t>
      </w:r>
      <w:r w:rsidR="00432AD4">
        <w:fldChar w:fldCharType="begin"/>
      </w:r>
      <w:r w:rsidR="00432AD4">
        <w:instrText xml:space="preserve"> SEQ Figure \* ARABIC </w:instrText>
      </w:r>
      <w:r w:rsidR="00432AD4">
        <w:fldChar w:fldCharType="separate"/>
      </w:r>
      <w:r w:rsidR="008209A2">
        <w:rPr>
          <w:noProof/>
        </w:rPr>
        <w:t>17</w:t>
      </w:r>
      <w:r w:rsidR="00432AD4">
        <w:rPr>
          <w:noProof/>
        </w:rPr>
        <w:fldChar w:fldCharType="end"/>
      </w:r>
      <w:r w:rsidRPr="002070B2">
        <w:t>: Inflation Trends: Urban CPI-U West Coast Class B/C Cities</w:t>
      </w:r>
      <w:r w:rsidR="006E3B04">
        <w:t>,</w:t>
      </w:r>
      <w:r w:rsidRPr="002070B2">
        <w:t xml:space="preserve"> 2000-2015</w:t>
      </w:r>
      <w:bookmarkEnd w:id="96"/>
    </w:p>
    <w:p w14:paraId="106B550B" w14:textId="77777777" w:rsidR="00FD0084" w:rsidRPr="002070B2" w:rsidRDefault="00FD0084" w:rsidP="005232AD">
      <w:pPr>
        <w:spacing w:after="0"/>
        <w:jc w:val="center"/>
        <w:rPr>
          <w:rFonts w:eastAsia="Calibri" w:cs="Arial"/>
          <w:lang w:eastAsia="en-US"/>
        </w:rPr>
      </w:pPr>
      <w:r w:rsidRPr="002070B2">
        <w:rPr>
          <w:rFonts w:eastAsia="Calibri" w:cs="Times New Roman"/>
          <w:noProof/>
          <w:lang w:eastAsia="en-US"/>
        </w:rPr>
        <w:drawing>
          <wp:inline distT="0" distB="0" distL="0" distR="0" wp14:anchorId="1839726F" wp14:editId="4185D0A9">
            <wp:extent cx="5212080" cy="3352800"/>
            <wp:effectExtent l="0" t="0" r="7620" b="0"/>
            <wp:docPr id="48" name="Chart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00AA2F63" w14:textId="7DBDEF41" w:rsidR="00FD0084" w:rsidRPr="002070B2" w:rsidRDefault="00FD0084" w:rsidP="006A3A68">
      <w:pPr>
        <w:spacing w:line="240" w:lineRule="auto"/>
        <w:jc w:val="left"/>
        <w:rPr>
          <w:rFonts w:eastAsia="Calibri" w:cs="Arial"/>
          <w:bCs/>
          <w:i/>
          <w:sz w:val="20"/>
          <w:szCs w:val="20"/>
          <w:lang w:eastAsia="en-US"/>
        </w:rPr>
      </w:pPr>
      <w:r w:rsidRPr="002070B2">
        <w:rPr>
          <w:rFonts w:eastAsia="Calibri" w:cs="Arial"/>
          <w:bCs/>
          <w:i/>
          <w:sz w:val="20"/>
          <w:szCs w:val="20"/>
          <w:lang w:eastAsia="en-US"/>
        </w:rPr>
        <w:t>Source:  U</w:t>
      </w:r>
      <w:r w:rsidR="006E3B04">
        <w:rPr>
          <w:rFonts w:eastAsia="Calibri" w:cs="Arial"/>
          <w:bCs/>
          <w:i/>
          <w:sz w:val="20"/>
          <w:szCs w:val="20"/>
          <w:lang w:eastAsia="en-US"/>
        </w:rPr>
        <w:t>.</w:t>
      </w:r>
      <w:r w:rsidRPr="002070B2">
        <w:rPr>
          <w:rFonts w:eastAsia="Calibri" w:cs="Arial"/>
          <w:bCs/>
          <w:i/>
          <w:sz w:val="20"/>
          <w:szCs w:val="20"/>
          <w:lang w:eastAsia="en-US"/>
        </w:rPr>
        <w:t>S</w:t>
      </w:r>
      <w:r w:rsidR="006E3B04">
        <w:rPr>
          <w:rFonts w:eastAsia="Calibri" w:cs="Arial"/>
          <w:bCs/>
          <w:i/>
          <w:sz w:val="20"/>
          <w:szCs w:val="20"/>
          <w:lang w:eastAsia="en-US"/>
        </w:rPr>
        <w:t>.</w:t>
      </w:r>
      <w:r w:rsidRPr="002070B2">
        <w:rPr>
          <w:rFonts w:eastAsia="Calibri" w:cs="Arial"/>
          <w:bCs/>
          <w:i/>
          <w:sz w:val="20"/>
          <w:szCs w:val="20"/>
          <w:lang w:eastAsia="en-US"/>
        </w:rPr>
        <w:t xml:space="preserve"> Bureau of Labor Statistics</w:t>
      </w:r>
    </w:p>
    <w:p w14:paraId="1BE898C6" w14:textId="721EE6C4" w:rsidR="00FD0084" w:rsidRPr="002070B2" w:rsidRDefault="00FD0084" w:rsidP="00FD0084">
      <w:pPr>
        <w:rPr>
          <w:rFonts w:eastAsia="Calibri" w:cs="Arial"/>
          <w:lang w:eastAsia="en-US"/>
        </w:rPr>
      </w:pPr>
      <w:r w:rsidRPr="002070B2">
        <w:rPr>
          <w:rFonts w:eastAsia="Calibri" w:cs="Arial"/>
          <w:lang w:eastAsia="en-US"/>
        </w:rPr>
        <w:t xml:space="preserve">Taxable retail sales and shared plus local option sales tax revenues respond very quickly to changing economic conditions and are a good indicator of the health of an area’s economy.  The following figure provides a comparison of Franklin County and </w:t>
      </w:r>
      <w:r w:rsidR="006E3B04" w:rsidRPr="002070B2">
        <w:rPr>
          <w:rFonts w:eastAsia="Calibri" w:cs="Arial"/>
          <w:lang w:eastAsia="en-US"/>
        </w:rPr>
        <w:t xml:space="preserve">city </w:t>
      </w:r>
      <w:r w:rsidRPr="002070B2">
        <w:rPr>
          <w:rFonts w:eastAsia="Calibri" w:cs="Arial"/>
          <w:lang w:eastAsia="en-US"/>
        </w:rPr>
        <w:t>of Pasco taxable retail sales (red and blue lines; respectively) for the period 2005 through 2014.  Taxable sales in both jurisdictions rose from 2005 to their respective pre-recession peaks in 2007-08 and 2008 for Franklin County and Pasco</w:t>
      </w:r>
      <w:r w:rsidR="006E3B04">
        <w:rPr>
          <w:rFonts w:eastAsia="Calibri" w:cs="Arial"/>
          <w:lang w:eastAsia="en-US"/>
        </w:rPr>
        <w:t>,</w:t>
      </w:r>
      <w:r w:rsidRPr="002070B2">
        <w:rPr>
          <w:rFonts w:eastAsia="Calibri" w:cs="Arial"/>
          <w:lang w:eastAsia="en-US"/>
        </w:rPr>
        <w:t xml:space="preserve"> respectively, before falling to a recession low in 2009.  Pasco fell off by 8.5 percent while Franklin County dropped 13.2 percent.  Both Franklin County and Pasco have seen an increasing trend in sales from their 2009 lows and had surpassed their pre-recession peak between 2012 and 2013.  Franklin County taxable retail sales have increased 30.4 percent between 2009 and 2014</w:t>
      </w:r>
      <w:r w:rsidR="006E3B04">
        <w:rPr>
          <w:rFonts w:eastAsia="Calibri" w:cs="Arial"/>
          <w:lang w:eastAsia="en-US"/>
        </w:rPr>
        <w:t>,</w:t>
      </w:r>
      <w:r w:rsidRPr="002070B2">
        <w:rPr>
          <w:rFonts w:eastAsia="Calibri" w:cs="Arial"/>
          <w:lang w:eastAsia="en-US"/>
        </w:rPr>
        <w:t xml:space="preserve"> approximately 6.1 percent each year.  Pasco has seen its sales increase by 26.7 percent, or 5.3 percent each year, over the same period.  Both economies appear to be improving at a significant rate.</w:t>
      </w:r>
    </w:p>
    <w:p w14:paraId="45399310" w14:textId="7A0F9324" w:rsidR="00FD0084" w:rsidRPr="002070B2" w:rsidRDefault="00FD0084" w:rsidP="00C7448A">
      <w:pPr>
        <w:pStyle w:val="Caption"/>
      </w:pPr>
      <w:bookmarkStart w:id="97" w:name="_Toc464323660"/>
      <w:r w:rsidRPr="002070B2">
        <w:lastRenderedPageBreak/>
        <w:t xml:space="preserve">Figure </w:t>
      </w:r>
      <w:r w:rsidR="00432AD4">
        <w:fldChar w:fldCharType="begin"/>
      </w:r>
      <w:r w:rsidR="00432AD4">
        <w:instrText xml:space="preserve"> SEQ Figure \* ARABIC </w:instrText>
      </w:r>
      <w:r w:rsidR="00432AD4">
        <w:fldChar w:fldCharType="separate"/>
      </w:r>
      <w:r w:rsidR="008209A2">
        <w:rPr>
          <w:noProof/>
        </w:rPr>
        <w:t>18</w:t>
      </w:r>
      <w:r w:rsidR="00432AD4">
        <w:rPr>
          <w:noProof/>
        </w:rPr>
        <w:fldChar w:fldCharType="end"/>
      </w:r>
      <w:r w:rsidRPr="002070B2">
        <w:t>: Franklin County and City of Pasco Taxable Retail Sales Trends</w:t>
      </w:r>
      <w:r w:rsidR="006E3B04">
        <w:t>,</w:t>
      </w:r>
      <w:r w:rsidRPr="002070B2">
        <w:t xml:space="preserve"> 2005-2014</w:t>
      </w:r>
      <w:bookmarkEnd w:id="97"/>
    </w:p>
    <w:p w14:paraId="4CCB9574" w14:textId="77777777" w:rsidR="00FD0084" w:rsidRPr="002070B2" w:rsidRDefault="00FD0084" w:rsidP="005232AD">
      <w:pPr>
        <w:spacing w:after="0"/>
        <w:rPr>
          <w:rFonts w:eastAsia="Calibri" w:cs="Arial"/>
          <w:b/>
          <w:sz w:val="20"/>
          <w:lang w:eastAsia="en-US"/>
        </w:rPr>
      </w:pPr>
      <w:r w:rsidRPr="002070B2">
        <w:rPr>
          <w:rFonts w:eastAsia="Calibri" w:cs="Times New Roman"/>
          <w:noProof/>
          <w:lang w:eastAsia="en-US"/>
        </w:rPr>
        <w:drawing>
          <wp:inline distT="0" distB="0" distL="0" distR="0" wp14:anchorId="4E2E50B1" wp14:editId="45A2AF12">
            <wp:extent cx="5772150" cy="3171825"/>
            <wp:effectExtent l="0" t="0" r="0" b="9525"/>
            <wp:docPr id="38" name="Chart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393173FC" w14:textId="77777777" w:rsidR="00FD0084" w:rsidRPr="002070B2" w:rsidRDefault="00FD0084" w:rsidP="006A3A68">
      <w:pPr>
        <w:spacing w:line="240" w:lineRule="auto"/>
        <w:jc w:val="left"/>
        <w:rPr>
          <w:rFonts w:eastAsia="Calibri" w:cs="Arial"/>
          <w:bCs/>
          <w:i/>
          <w:sz w:val="20"/>
          <w:szCs w:val="20"/>
          <w:lang w:eastAsia="en-US"/>
        </w:rPr>
      </w:pPr>
      <w:r w:rsidRPr="002070B2">
        <w:rPr>
          <w:rFonts w:eastAsia="Calibri" w:cs="Arial"/>
          <w:bCs/>
          <w:i/>
          <w:sz w:val="20"/>
          <w:szCs w:val="20"/>
          <w:lang w:eastAsia="en-US"/>
        </w:rPr>
        <w:t>Source:  State of Washington Department of Revenue</w:t>
      </w:r>
    </w:p>
    <w:p w14:paraId="393B5327" w14:textId="16B12451" w:rsidR="00FD0084" w:rsidRPr="002070B2" w:rsidRDefault="00FD0084" w:rsidP="00FD0084">
      <w:pPr>
        <w:rPr>
          <w:rFonts w:eastAsia="Calibri" w:cs="Arial"/>
          <w:bCs/>
          <w:lang w:eastAsia="en-US"/>
        </w:rPr>
      </w:pPr>
      <w:r w:rsidRPr="002070B2">
        <w:rPr>
          <w:rFonts w:eastAsia="Calibri" w:cs="Arial"/>
          <w:bCs/>
          <w:lang w:eastAsia="en-US"/>
        </w:rPr>
        <w:t>The improvement in taxable retail sales seen in the previous figure translates into increased local option and shared sales tax rev</w:t>
      </w:r>
      <w:r w:rsidR="006E3B04">
        <w:rPr>
          <w:rFonts w:eastAsia="Calibri" w:cs="Arial"/>
          <w:bCs/>
          <w:lang w:eastAsia="en-US"/>
        </w:rPr>
        <w:t xml:space="preserve">enue for the city.  This is illustrated in the following figure, </w:t>
      </w:r>
      <w:r w:rsidRPr="002070B2">
        <w:rPr>
          <w:rFonts w:eastAsia="Calibri" w:cs="Arial"/>
          <w:bCs/>
          <w:lang w:eastAsia="en-US"/>
        </w:rPr>
        <w:t>which divides the revenue into four categories</w:t>
      </w:r>
      <w:r w:rsidR="006E3B04">
        <w:rPr>
          <w:rFonts w:eastAsia="Calibri" w:cs="Arial"/>
          <w:bCs/>
          <w:lang w:eastAsia="en-US"/>
        </w:rPr>
        <w:t>:</w:t>
      </w:r>
      <w:r w:rsidRPr="002070B2">
        <w:rPr>
          <w:rFonts w:eastAsia="Calibri" w:cs="Arial"/>
          <w:bCs/>
          <w:lang w:eastAsia="en-US"/>
        </w:rPr>
        <w:t xml:space="preserve"> basic, optional, criminal justice and public safety/health.  Aggregate sales tax revenue is shown for each year.  Specifically, sales tax revenue climbed from $7.82 million in 2005 to a peak of $8.98 million in 2008 before falling to a recession low of $7.92 million in 2009.  Total sales tax revenue had recovered from the recession low point and had already surpassed its pre-recession peak between 2011 and 2012.  Revenue has continued to climb at a steady rate to $12.61 million in 2015 for total increase since 2009 of 59.2 percent or approximately 9.9 percent annually.</w:t>
      </w:r>
    </w:p>
    <w:p w14:paraId="33F1D962" w14:textId="2337EFE0" w:rsidR="00FD0084" w:rsidRPr="002070B2" w:rsidRDefault="00FD0084" w:rsidP="006E3B04">
      <w:pPr>
        <w:pStyle w:val="Caption"/>
      </w:pPr>
      <w:bookmarkStart w:id="98" w:name="_Toc464323661"/>
      <w:r w:rsidRPr="002070B2">
        <w:lastRenderedPageBreak/>
        <w:t xml:space="preserve">Figure </w:t>
      </w:r>
      <w:r w:rsidR="00432AD4">
        <w:fldChar w:fldCharType="begin"/>
      </w:r>
      <w:r w:rsidR="00432AD4">
        <w:instrText xml:space="preserve"> SEQ Figure \* ARABIC </w:instrText>
      </w:r>
      <w:r w:rsidR="00432AD4">
        <w:fldChar w:fldCharType="separate"/>
      </w:r>
      <w:r w:rsidR="008209A2">
        <w:rPr>
          <w:noProof/>
        </w:rPr>
        <w:t>19</w:t>
      </w:r>
      <w:r w:rsidR="00432AD4">
        <w:rPr>
          <w:noProof/>
        </w:rPr>
        <w:fldChar w:fldCharType="end"/>
      </w:r>
      <w:r w:rsidRPr="002070B2">
        <w:t>: Pasco Local Sales and Use Tax Distribution by Major Function</w:t>
      </w:r>
      <w:r w:rsidR="006E3B04">
        <w:t>,</w:t>
      </w:r>
      <w:r w:rsidRPr="002070B2">
        <w:t xml:space="preserve"> 2005-2015</w:t>
      </w:r>
      <w:bookmarkEnd w:id="98"/>
    </w:p>
    <w:p w14:paraId="602D52C0" w14:textId="77777777" w:rsidR="00FD0084" w:rsidRPr="002070B2" w:rsidRDefault="00FD0084" w:rsidP="005232AD">
      <w:pPr>
        <w:spacing w:after="0"/>
        <w:jc w:val="center"/>
        <w:rPr>
          <w:rFonts w:eastAsia="Calibri" w:cs="Arial"/>
          <w:bCs/>
          <w:lang w:eastAsia="en-US"/>
        </w:rPr>
      </w:pPr>
      <w:r w:rsidRPr="002070B2">
        <w:rPr>
          <w:rFonts w:eastAsia="Calibri" w:cs="Times New Roman"/>
          <w:noProof/>
          <w:lang w:eastAsia="en-US"/>
        </w:rPr>
        <w:drawing>
          <wp:inline distT="0" distB="0" distL="0" distR="0" wp14:anchorId="161DCEF5" wp14:editId="0D2330EA">
            <wp:extent cx="5212080" cy="3200400"/>
            <wp:effectExtent l="0" t="0" r="7620" b="0"/>
            <wp:docPr id="42" name="Chart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45CC7AE6" w14:textId="77777777" w:rsidR="00FD0084" w:rsidRPr="002070B2" w:rsidRDefault="00FD0084" w:rsidP="006A3A68">
      <w:pPr>
        <w:spacing w:line="240" w:lineRule="auto"/>
        <w:jc w:val="left"/>
        <w:rPr>
          <w:rFonts w:eastAsia="Calibri" w:cs="Arial"/>
          <w:bCs/>
          <w:i/>
          <w:sz w:val="20"/>
          <w:szCs w:val="20"/>
          <w:lang w:eastAsia="en-US"/>
        </w:rPr>
      </w:pPr>
      <w:r w:rsidRPr="002070B2">
        <w:rPr>
          <w:rFonts w:eastAsia="Calibri" w:cs="Arial"/>
          <w:bCs/>
          <w:i/>
          <w:sz w:val="20"/>
          <w:szCs w:val="20"/>
          <w:lang w:eastAsia="en-US"/>
        </w:rPr>
        <w:t>Source:  State of Washington Department of Revenue</w:t>
      </w:r>
    </w:p>
    <w:p w14:paraId="509399A7" w14:textId="4780DCB1" w:rsidR="00FD0084" w:rsidRPr="002070B2" w:rsidRDefault="00FD0084" w:rsidP="00FD0084">
      <w:pPr>
        <w:rPr>
          <w:rFonts w:eastAsia="Calibri" w:cs="Arial"/>
          <w:bCs/>
          <w:lang w:eastAsia="en-US"/>
        </w:rPr>
      </w:pPr>
      <w:r w:rsidRPr="002070B2">
        <w:rPr>
          <w:rFonts w:eastAsia="Calibri" w:cs="Arial"/>
          <w:bCs/>
          <w:lang w:eastAsia="en-US"/>
        </w:rPr>
        <w:t xml:space="preserve">The following figure shows property values for the </w:t>
      </w:r>
      <w:r w:rsidR="006E3B04" w:rsidRPr="002070B2">
        <w:rPr>
          <w:rFonts w:eastAsia="Calibri" w:cs="Arial"/>
          <w:bCs/>
          <w:lang w:eastAsia="en-US"/>
        </w:rPr>
        <w:t xml:space="preserve">city </w:t>
      </w:r>
      <w:r w:rsidRPr="002070B2">
        <w:rPr>
          <w:rFonts w:eastAsia="Calibri" w:cs="Arial"/>
          <w:bCs/>
          <w:lang w:eastAsia="en-US"/>
        </w:rPr>
        <w:t>of Pasco from 2005 through 2014.  Residential values are shown as blue bars, commercial as red</w:t>
      </w:r>
      <w:r w:rsidR="006E3B04">
        <w:rPr>
          <w:rFonts w:eastAsia="Calibri" w:cs="Arial"/>
          <w:bCs/>
          <w:lang w:eastAsia="en-US"/>
        </w:rPr>
        <w:t>,</w:t>
      </w:r>
      <w:r w:rsidRPr="002070B2">
        <w:rPr>
          <w:rFonts w:eastAsia="Calibri" w:cs="Arial"/>
          <w:bCs/>
          <w:lang w:eastAsia="en-US"/>
        </w:rPr>
        <w:t xml:space="preserve"> and other property </w:t>
      </w:r>
      <w:r w:rsidR="006E3B04">
        <w:rPr>
          <w:rFonts w:eastAsia="Calibri" w:cs="Arial"/>
          <w:bCs/>
          <w:lang w:eastAsia="en-US"/>
        </w:rPr>
        <w:t>as</w:t>
      </w:r>
      <w:r w:rsidRPr="002070B2">
        <w:rPr>
          <w:rFonts w:eastAsia="Calibri" w:cs="Arial"/>
          <w:bCs/>
          <w:lang w:eastAsia="en-US"/>
        </w:rPr>
        <w:t xml:space="preserve"> green.  Combined property value (in thousands of dollars) is shown numerically above each year.  After dropping slightly in 2006 to $1.83 billion, total property value continued a slow climb to its 2014 high of $3.48 billion, a total increase of 90.1 percent over the period or approximately 11.3 percent annually.  Residential values declined to a low point in 2009</w:t>
      </w:r>
      <w:r w:rsidR="006E3B04">
        <w:rPr>
          <w:rFonts w:eastAsia="Calibri" w:cs="Arial"/>
          <w:bCs/>
          <w:lang w:eastAsia="en-US"/>
        </w:rPr>
        <w:t>,</w:t>
      </w:r>
      <w:r w:rsidRPr="002070B2">
        <w:rPr>
          <w:rFonts w:eastAsia="Calibri" w:cs="Arial"/>
          <w:bCs/>
          <w:lang w:eastAsia="en-US"/>
        </w:rPr>
        <w:t xml:space="preserve"> but overall values were sustained by an increase that year in commercial and other property values.</w:t>
      </w:r>
    </w:p>
    <w:p w14:paraId="497A7C2D" w14:textId="30D372C0" w:rsidR="00FD0084" w:rsidRPr="002070B2" w:rsidRDefault="00FD0084" w:rsidP="006E3B04">
      <w:pPr>
        <w:pStyle w:val="Caption"/>
      </w:pPr>
      <w:bookmarkStart w:id="99" w:name="_Toc464323662"/>
      <w:r w:rsidRPr="002070B2">
        <w:lastRenderedPageBreak/>
        <w:t xml:space="preserve">Figure </w:t>
      </w:r>
      <w:r w:rsidR="00432AD4">
        <w:fldChar w:fldCharType="begin"/>
      </w:r>
      <w:r w:rsidR="00432AD4">
        <w:instrText xml:space="preserve"> SEQ Figure \* ARABIC </w:instrText>
      </w:r>
      <w:r w:rsidR="00432AD4">
        <w:fldChar w:fldCharType="separate"/>
      </w:r>
      <w:r w:rsidR="008209A2">
        <w:rPr>
          <w:noProof/>
        </w:rPr>
        <w:t>20</w:t>
      </w:r>
      <w:r w:rsidR="00432AD4">
        <w:rPr>
          <w:noProof/>
        </w:rPr>
        <w:fldChar w:fldCharType="end"/>
      </w:r>
      <w:r w:rsidRPr="002070B2">
        <w:t>: City of Pasco Residential, Commercial</w:t>
      </w:r>
      <w:r w:rsidR="00216D47">
        <w:t>,</w:t>
      </w:r>
      <w:r w:rsidRPr="002070B2">
        <w:t xml:space="preserve"> and Other Property Values</w:t>
      </w:r>
      <w:r w:rsidR="006E3B04">
        <w:t>,</w:t>
      </w:r>
      <w:r w:rsidRPr="002070B2">
        <w:t xml:space="preserve"> 2005-2014</w:t>
      </w:r>
      <w:bookmarkEnd w:id="99"/>
    </w:p>
    <w:p w14:paraId="7AFAA263" w14:textId="77777777" w:rsidR="00FD0084" w:rsidRPr="002070B2" w:rsidRDefault="00FD0084" w:rsidP="005232AD">
      <w:pPr>
        <w:spacing w:after="0"/>
        <w:jc w:val="center"/>
        <w:rPr>
          <w:rFonts w:eastAsia="Calibri" w:cs="Arial"/>
          <w:bCs/>
          <w:lang w:eastAsia="en-US"/>
        </w:rPr>
      </w:pPr>
      <w:r w:rsidRPr="002070B2">
        <w:rPr>
          <w:rFonts w:eastAsia="Calibri" w:cs="Times New Roman"/>
          <w:noProof/>
          <w:lang w:eastAsia="en-US"/>
        </w:rPr>
        <w:drawing>
          <wp:inline distT="0" distB="0" distL="0" distR="0" wp14:anchorId="6393319C" wp14:editId="1A183FA7">
            <wp:extent cx="5212080" cy="3171825"/>
            <wp:effectExtent l="0" t="0" r="7620" b="9525"/>
            <wp:docPr id="51" name="Chart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7C349A36" w14:textId="77777777" w:rsidR="00FD0084" w:rsidRPr="002070B2" w:rsidRDefault="00FD0084" w:rsidP="006A3A68">
      <w:pPr>
        <w:spacing w:line="240" w:lineRule="auto"/>
        <w:jc w:val="left"/>
        <w:rPr>
          <w:rFonts w:eastAsia="Calibri" w:cs="Arial"/>
          <w:bCs/>
          <w:sz w:val="20"/>
          <w:szCs w:val="20"/>
          <w:lang w:eastAsia="en-US"/>
        </w:rPr>
      </w:pPr>
      <w:r w:rsidRPr="002070B2">
        <w:rPr>
          <w:rFonts w:eastAsia="Calibri" w:cs="Arial"/>
          <w:bCs/>
          <w:i/>
          <w:sz w:val="20"/>
          <w:szCs w:val="20"/>
          <w:lang w:eastAsia="en-US"/>
        </w:rPr>
        <w:t>Source:  Franklin County Tax Assessor</w:t>
      </w:r>
    </w:p>
    <w:p w14:paraId="090CF957" w14:textId="6C6D76EF" w:rsidR="00FD0084" w:rsidRPr="002070B2" w:rsidRDefault="00FD0084" w:rsidP="00FD0084">
      <w:pPr>
        <w:rPr>
          <w:rFonts w:eastAsia="Calibri" w:cs="Arial"/>
          <w:bCs/>
          <w:lang w:eastAsia="en-US"/>
        </w:rPr>
      </w:pPr>
      <w:r w:rsidRPr="002070B2">
        <w:rPr>
          <w:rFonts w:eastAsia="Calibri" w:cs="Arial"/>
          <w:bCs/>
          <w:lang w:eastAsia="en-US"/>
        </w:rPr>
        <w:t>The following figure illustrates the relationship between combined property values for the period 2005 through 2014 and the city debt service and operating millage rates</w:t>
      </w:r>
      <w:r w:rsidR="006E3B04">
        <w:rPr>
          <w:rFonts w:eastAsia="Calibri" w:cs="Arial"/>
          <w:bCs/>
          <w:lang w:eastAsia="en-US"/>
        </w:rPr>
        <w:t>,</w:t>
      </w:r>
      <w:r w:rsidRPr="002070B2">
        <w:rPr>
          <w:rFonts w:eastAsia="Calibri" w:cs="Arial"/>
          <w:bCs/>
          <w:lang w:eastAsia="en-US"/>
        </w:rPr>
        <w:t xml:space="preserve"> which ultimately determine city property tax revenue each year.  City council sets the millage rates each year</w:t>
      </w:r>
      <w:r w:rsidR="006E3B04">
        <w:rPr>
          <w:rFonts w:eastAsia="Calibri" w:cs="Arial"/>
          <w:bCs/>
          <w:lang w:eastAsia="en-US"/>
        </w:rPr>
        <w:t>,</w:t>
      </w:r>
      <w:r w:rsidRPr="002070B2">
        <w:rPr>
          <w:rFonts w:eastAsia="Calibri" w:cs="Arial"/>
          <w:bCs/>
          <w:lang w:eastAsia="en-US"/>
        </w:rPr>
        <w:t xml:space="preserve"> which are then applied to taxable property value as determined by the county tax assessor.  As overall property values have risen from 2006 to 2014, the city council has been able to reduce the millage or tax rates each year.  Typically, as taxable value goes up, the same tax rate will generally provide the taxing entity with more revenue.  In order to maintain the same annual revenue stream then, if</w:t>
      </w:r>
      <w:r w:rsidR="00DC7492">
        <w:rPr>
          <w:rFonts w:eastAsia="Calibri" w:cs="Arial"/>
          <w:bCs/>
          <w:lang w:eastAsia="en-US"/>
        </w:rPr>
        <w:t xml:space="preserve"> the taxable value goes up,</w:t>
      </w:r>
      <w:r w:rsidRPr="002070B2">
        <w:rPr>
          <w:rFonts w:eastAsia="Calibri" w:cs="Arial"/>
          <w:bCs/>
          <w:lang w:eastAsia="en-US"/>
        </w:rPr>
        <w:t xml:space="preserve"> the tax rate is reduced and vice versa.    </w:t>
      </w:r>
    </w:p>
    <w:p w14:paraId="51C62B7D" w14:textId="27F08BFE" w:rsidR="00FD0084" w:rsidRPr="002070B2" w:rsidRDefault="00FD0084" w:rsidP="00DC7492">
      <w:pPr>
        <w:pStyle w:val="Caption"/>
      </w:pPr>
      <w:bookmarkStart w:id="100" w:name="_Toc464323663"/>
      <w:r w:rsidRPr="002070B2">
        <w:lastRenderedPageBreak/>
        <w:t xml:space="preserve">Figure </w:t>
      </w:r>
      <w:r w:rsidR="00432AD4">
        <w:fldChar w:fldCharType="begin"/>
      </w:r>
      <w:r w:rsidR="00432AD4">
        <w:instrText xml:space="preserve"> SEQ Figure \* ARABIC </w:instrText>
      </w:r>
      <w:r w:rsidR="00432AD4">
        <w:fldChar w:fldCharType="separate"/>
      </w:r>
      <w:r w:rsidR="008209A2">
        <w:rPr>
          <w:noProof/>
        </w:rPr>
        <w:t>21</w:t>
      </w:r>
      <w:r w:rsidR="00432AD4">
        <w:rPr>
          <w:noProof/>
        </w:rPr>
        <w:fldChar w:fldCharType="end"/>
      </w:r>
      <w:r w:rsidRPr="002070B2">
        <w:t>: City of Pasco Debt Servi</w:t>
      </w:r>
      <w:r w:rsidR="00DC7492">
        <w:t>ce and Operating Millage Rates v</w:t>
      </w:r>
      <w:r w:rsidRPr="002070B2">
        <w:t>s</w:t>
      </w:r>
      <w:r w:rsidR="00C7448A">
        <w:t>.</w:t>
      </w:r>
      <w:r w:rsidRPr="002070B2">
        <w:t xml:space="preserve"> Total Property Value</w:t>
      </w:r>
      <w:r w:rsidR="00DC7492">
        <w:t>,</w:t>
      </w:r>
      <w:r w:rsidRPr="002070B2">
        <w:t xml:space="preserve"> 2005-</w:t>
      </w:r>
      <w:r w:rsidR="00DC7492">
        <w:t>20</w:t>
      </w:r>
      <w:r w:rsidRPr="002070B2">
        <w:t>14</w:t>
      </w:r>
      <w:bookmarkEnd w:id="100"/>
    </w:p>
    <w:p w14:paraId="3A7F2CAF" w14:textId="77777777" w:rsidR="00FD0084" w:rsidRPr="002070B2" w:rsidRDefault="00FD0084" w:rsidP="005232AD">
      <w:pPr>
        <w:spacing w:after="0"/>
        <w:jc w:val="center"/>
        <w:rPr>
          <w:rFonts w:eastAsia="Calibri" w:cs="Arial"/>
          <w:b/>
          <w:lang w:eastAsia="en-US"/>
        </w:rPr>
      </w:pPr>
      <w:r w:rsidRPr="002070B2">
        <w:rPr>
          <w:rFonts w:eastAsia="Calibri" w:cs="Times New Roman"/>
          <w:noProof/>
          <w:lang w:eastAsia="en-US"/>
        </w:rPr>
        <w:drawing>
          <wp:inline distT="0" distB="0" distL="0" distR="0" wp14:anchorId="44E84D1E" wp14:editId="2F4E9773">
            <wp:extent cx="5212080" cy="3095625"/>
            <wp:effectExtent l="0" t="0" r="7620" b="9525"/>
            <wp:docPr id="52" name="Chart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3BE1F9FC" w14:textId="77777777" w:rsidR="00FD0084" w:rsidRPr="002070B2" w:rsidRDefault="00FD0084" w:rsidP="006A3A68">
      <w:pPr>
        <w:spacing w:line="240" w:lineRule="auto"/>
        <w:jc w:val="left"/>
        <w:rPr>
          <w:rFonts w:eastAsia="Calibri" w:cs="Arial"/>
          <w:bCs/>
          <w:i/>
          <w:sz w:val="20"/>
          <w:szCs w:val="20"/>
          <w:lang w:eastAsia="en-US"/>
        </w:rPr>
      </w:pPr>
      <w:r w:rsidRPr="002070B2">
        <w:rPr>
          <w:rFonts w:eastAsia="Calibri" w:cs="Arial"/>
          <w:bCs/>
          <w:i/>
          <w:sz w:val="20"/>
          <w:szCs w:val="20"/>
          <w:lang w:eastAsia="en-US"/>
        </w:rPr>
        <w:t>Source:  Franklin County Tax Assessor</w:t>
      </w:r>
    </w:p>
    <w:p w14:paraId="67400C2A" w14:textId="77777777" w:rsidR="00FD0084" w:rsidRPr="002070B2" w:rsidRDefault="00FD0084" w:rsidP="00FD0084">
      <w:pPr>
        <w:rPr>
          <w:rFonts w:eastAsia="Calibri" w:cs="Arial"/>
          <w:bCs/>
          <w:lang w:eastAsia="en-US"/>
        </w:rPr>
      </w:pPr>
      <w:r w:rsidRPr="002070B2">
        <w:rPr>
          <w:rFonts w:eastAsia="Calibri" w:cs="Arial"/>
          <w:bCs/>
          <w:lang w:eastAsia="en-US"/>
        </w:rPr>
        <w:t xml:space="preserve">Between 2006 and 2014, when the taxable value was going up at a fairly steady rate, the tax rate was similarly reduced leading to lesser revenue than would have otherwise been received by the city.  However, the tax rate was still not reduced sufficiently to maintain the previous year’s revenue amount so revenue still increased despite a reduction in the tax rate.  The following figure shows two of the city’s major revenue sources, sales and property tax.  As discussed above, sales tax revenue (shown in red) has been increasing at a relatively higher rate than property taxes (shown in blue) due to the reduction in millage each year.   </w:t>
      </w:r>
    </w:p>
    <w:p w14:paraId="1F1F9C60" w14:textId="56161B44" w:rsidR="00FD0084" w:rsidRPr="002070B2" w:rsidRDefault="00FD0084" w:rsidP="00DC7492">
      <w:pPr>
        <w:pStyle w:val="Caption"/>
      </w:pPr>
      <w:bookmarkStart w:id="101" w:name="_Toc464323664"/>
      <w:r w:rsidRPr="002070B2">
        <w:lastRenderedPageBreak/>
        <w:t xml:space="preserve">Figure </w:t>
      </w:r>
      <w:r w:rsidR="00432AD4">
        <w:fldChar w:fldCharType="begin"/>
      </w:r>
      <w:r w:rsidR="00432AD4">
        <w:instrText xml:space="preserve"> SEQ Figure \* ARABIC </w:instrText>
      </w:r>
      <w:r w:rsidR="00432AD4">
        <w:fldChar w:fldCharType="separate"/>
      </w:r>
      <w:r w:rsidR="008209A2">
        <w:rPr>
          <w:noProof/>
        </w:rPr>
        <w:t>22</w:t>
      </w:r>
      <w:r w:rsidR="00432AD4">
        <w:rPr>
          <w:noProof/>
        </w:rPr>
        <w:fldChar w:fldCharType="end"/>
      </w:r>
      <w:r w:rsidRPr="002070B2">
        <w:t>: City of Pasco Sales and Property Tax Revenue Trends</w:t>
      </w:r>
      <w:r w:rsidR="00DC7492">
        <w:t>,</w:t>
      </w:r>
      <w:r w:rsidRPr="002070B2">
        <w:t xml:space="preserve"> 2005-2014</w:t>
      </w:r>
      <w:bookmarkEnd w:id="101"/>
    </w:p>
    <w:p w14:paraId="1ABEBEAF" w14:textId="77777777" w:rsidR="00FD0084" w:rsidRPr="002070B2" w:rsidRDefault="00FD0084" w:rsidP="005232AD">
      <w:pPr>
        <w:spacing w:after="0"/>
        <w:jc w:val="center"/>
        <w:rPr>
          <w:rFonts w:eastAsia="Calibri" w:cs="Arial"/>
          <w:bCs/>
          <w:lang w:eastAsia="en-US"/>
        </w:rPr>
      </w:pPr>
      <w:r w:rsidRPr="002070B2">
        <w:rPr>
          <w:rFonts w:eastAsia="Calibri" w:cs="Times New Roman"/>
          <w:noProof/>
          <w:lang w:eastAsia="en-US"/>
        </w:rPr>
        <w:drawing>
          <wp:inline distT="0" distB="0" distL="0" distR="0" wp14:anchorId="12BAC637" wp14:editId="7514EFF0">
            <wp:extent cx="5476875" cy="2876550"/>
            <wp:effectExtent l="0" t="0" r="9525" b="0"/>
            <wp:docPr id="44" name="Chart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22A5EEB5" w14:textId="77777777" w:rsidR="00FD0084" w:rsidRPr="002070B2" w:rsidRDefault="00FD0084" w:rsidP="006A3A68">
      <w:pPr>
        <w:spacing w:line="240" w:lineRule="auto"/>
        <w:jc w:val="left"/>
        <w:rPr>
          <w:rFonts w:eastAsia="Calibri" w:cs="Arial"/>
          <w:bCs/>
          <w:i/>
          <w:sz w:val="20"/>
          <w:szCs w:val="20"/>
          <w:lang w:eastAsia="en-US"/>
        </w:rPr>
      </w:pPr>
      <w:r w:rsidRPr="002070B2">
        <w:rPr>
          <w:rFonts w:eastAsia="Calibri" w:cs="Arial"/>
          <w:bCs/>
          <w:i/>
          <w:sz w:val="20"/>
          <w:szCs w:val="20"/>
          <w:lang w:eastAsia="en-US"/>
        </w:rPr>
        <w:t>Source:  City of Pasco 2014 Comprehensive Annual Financial Report (CAFR)</w:t>
      </w:r>
    </w:p>
    <w:p w14:paraId="0E6F9842" w14:textId="4E61EB98" w:rsidR="00A17926" w:rsidRPr="00A17926" w:rsidRDefault="00A17926" w:rsidP="00A17926">
      <w:pPr>
        <w:pStyle w:val="Heading3"/>
        <w:rPr>
          <w:rFonts w:eastAsia="Times New Roman"/>
        </w:rPr>
      </w:pPr>
      <w:bookmarkStart w:id="102" w:name="_Toc464323560"/>
      <w:r w:rsidRPr="00A17926">
        <w:rPr>
          <w:rFonts w:eastAsia="Times New Roman"/>
        </w:rPr>
        <w:t xml:space="preserve">Historical </w:t>
      </w:r>
      <w:r w:rsidR="009234BC">
        <w:rPr>
          <w:rFonts w:eastAsia="Times New Roman"/>
        </w:rPr>
        <w:t xml:space="preserve">&amp; Current </w:t>
      </w:r>
      <w:r w:rsidRPr="00A17926">
        <w:rPr>
          <w:rFonts w:eastAsia="Times New Roman"/>
        </w:rPr>
        <w:t>Revenues and Expenses</w:t>
      </w:r>
      <w:r>
        <w:rPr>
          <w:rFonts w:eastAsia="Times New Roman"/>
        </w:rPr>
        <w:t xml:space="preserve"> of PFD</w:t>
      </w:r>
      <w:bookmarkEnd w:id="102"/>
    </w:p>
    <w:p w14:paraId="6A30D944" w14:textId="07BA3D85" w:rsidR="00A17926" w:rsidRPr="00A17926" w:rsidRDefault="00A17926" w:rsidP="00A17926">
      <w:pPr>
        <w:spacing w:after="200"/>
        <w:rPr>
          <w:rFonts w:eastAsia="Calibri" w:cs="Times New Roman"/>
          <w:lang w:eastAsia="en-US"/>
        </w:rPr>
      </w:pPr>
      <w:r w:rsidRPr="00A17926">
        <w:rPr>
          <w:rFonts w:eastAsia="Calibri" w:cs="Times New Roman"/>
          <w:lang w:eastAsia="en-US"/>
        </w:rPr>
        <w:t>An analysis of departmental historical revenues and expenses for the Pasco Fire Department (PFD) was completed in order to help identify relevant financial trends, strengths and weaknesses</w:t>
      </w:r>
      <w:r w:rsidR="00DC7492">
        <w:rPr>
          <w:rFonts w:eastAsia="Calibri" w:cs="Times New Roman"/>
          <w:lang w:eastAsia="en-US"/>
        </w:rPr>
        <w:t>,</w:t>
      </w:r>
      <w:r w:rsidRPr="00A17926">
        <w:rPr>
          <w:rFonts w:eastAsia="Calibri" w:cs="Times New Roman"/>
          <w:lang w:eastAsia="en-US"/>
        </w:rPr>
        <w:t xml:space="preserve"> and to lay the groundwork for the financial forecast presented in the </w:t>
      </w:r>
      <w:r w:rsidRPr="00DC7492">
        <w:rPr>
          <w:rFonts w:eastAsia="Calibri" w:cs="Times New Roman"/>
          <w:i/>
          <w:lang w:eastAsia="en-US"/>
        </w:rPr>
        <w:t>Strategy Recommendations</w:t>
      </w:r>
      <w:r w:rsidRPr="00A17926">
        <w:rPr>
          <w:rFonts w:eastAsia="Calibri" w:cs="Times New Roman"/>
          <w:lang w:eastAsia="en-US"/>
        </w:rPr>
        <w:t xml:space="preserve"> section of the report.  The </w:t>
      </w:r>
      <w:r w:rsidR="00DC7492" w:rsidRPr="00A17926">
        <w:rPr>
          <w:rFonts w:eastAsia="Calibri" w:cs="Times New Roman"/>
          <w:lang w:eastAsia="en-US"/>
        </w:rPr>
        <w:t xml:space="preserve">Department </w:t>
      </w:r>
      <w:r w:rsidRPr="00A17926">
        <w:rPr>
          <w:rFonts w:eastAsia="Calibri" w:cs="Times New Roman"/>
          <w:lang w:eastAsia="en-US"/>
        </w:rPr>
        <w:t>is actually comprised of two separate budgets; the fire rescue side</w:t>
      </w:r>
      <w:r w:rsidR="00DC7492">
        <w:rPr>
          <w:rFonts w:eastAsia="Calibri" w:cs="Times New Roman"/>
          <w:lang w:eastAsia="en-US"/>
        </w:rPr>
        <w:t>,</w:t>
      </w:r>
      <w:r w:rsidRPr="00A17926">
        <w:rPr>
          <w:rFonts w:eastAsia="Calibri" w:cs="Times New Roman"/>
          <w:lang w:eastAsia="en-US"/>
        </w:rPr>
        <w:t xml:space="preserve"> which is one of several City General Fund budgets</w:t>
      </w:r>
      <w:r w:rsidR="00DC7492">
        <w:rPr>
          <w:rFonts w:eastAsia="Calibri" w:cs="Times New Roman"/>
          <w:lang w:eastAsia="en-US"/>
        </w:rPr>
        <w:t>;</w:t>
      </w:r>
      <w:r w:rsidRPr="00A17926">
        <w:rPr>
          <w:rFonts w:eastAsia="Calibri" w:cs="Times New Roman"/>
          <w:lang w:eastAsia="en-US"/>
        </w:rPr>
        <w:t xml:space="preserve"> and the ambulance</w:t>
      </w:r>
      <w:r w:rsidR="00DC7492">
        <w:rPr>
          <w:rFonts w:eastAsia="Calibri" w:cs="Times New Roman"/>
          <w:lang w:eastAsia="en-US"/>
        </w:rPr>
        <w:t xml:space="preserve"> side</w:t>
      </w:r>
      <w:r w:rsidRPr="00A17926">
        <w:rPr>
          <w:rFonts w:eastAsia="Calibri" w:cs="Times New Roman"/>
          <w:lang w:eastAsia="en-US"/>
        </w:rPr>
        <w:t xml:space="preserve">, which is operated as a </w:t>
      </w:r>
      <w:r w:rsidR="00DC7492" w:rsidRPr="00A17926">
        <w:rPr>
          <w:rFonts w:eastAsia="Calibri" w:cs="Times New Roman"/>
          <w:lang w:eastAsia="en-US"/>
        </w:rPr>
        <w:t xml:space="preserve">city </w:t>
      </w:r>
      <w:r w:rsidR="00216D47">
        <w:rPr>
          <w:rFonts w:eastAsia="Calibri" w:cs="Times New Roman"/>
          <w:lang w:eastAsia="en-US"/>
        </w:rPr>
        <w:t>Utility Fund</w:t>
      </w:r>
      <w:r w:rsidRPr="00A17926">
        <w:rPr>
          <w:rFonts w:eastAsia="Calibri" w:cs="Times New Roman"/>
          <w:lang w:eastAsia="en-US"/>
        </w:rPr>
        <w:t xml:space="preserve"> with its own revenue, expense</w:t>
      </w:r>
      <w:r w:rsidR="00DC7492">
        <w:rPr>
          <w:rFonts w:eastAsia="Calibri" w:cs="Times New Roman"/>
          <w:lang w:eastAsia="en-US"/>
        </w:rPr>
        <w:t>,</w:t>
      </w:r>
      <w:r w:rsidRPr="00A17926">
        <w:rPr>
          <w:rFonts w:eastAsia="Calibri" w:cs="Times New Roman"/>
          <w:lang w:eastAsia="en-US"/>
        </w:rPr>
        <w:t xml:space="preserve"> and fund balance.  </w:t>
      </w:r>
    </w:p>
    <w:p w14:paraId="6F0BF5DE" w14:textId="77777777" w:rsidR="00A17926" w:rsidRPr="00A17926" w:rsidRDefault="00A17926" w:rsidP="00A17926">
      <w:pPr>
        <w:spacing w:after="200"/>
        <w:rPr>
          <w:rFonts w:eastAsia="Calibri" w:cs="Times New Roman"/>
          <w:lang w:eastAsia="en-US"/>
        </w:rPr>
      </w:pPr>
      <w:r w:rsidRPr="00A17926">
        <w:rPr>
          <w:rFonts w:eastAsia="Calibri" w:cs="Times New Roman"/>
          <w:lang w:eastAsia="en-US"/>
        </w:rPr>
        <w:t xml:space="preserve">Pasco Municipal Code (PMC) Section 3.05.020 establishes ambulance service in the city and certain extraterritorial areas, as provided by the Pasco Fire Department, as a public utility.  Further, PMC Section 3.05.030 establishes a utility revenue fund known as the ambulance services fund separate and apart from all other funds of the city.  This section requires that, “Any and all revenues received by this utility [PFD Ambulance Service]…shall be credited to the ambulance services fund, along with appropriations from the general fund…”  </w:t>
      </w:r>
    </w:p>
    <w:p w14:paraId="38E442A1" w14:textId="4132298F" w:rsidR="00A17926" w:rsidRPr="00A17926" w:rsidRDefault="00A17926" w:rsidP="00A17926">
      <w:pPr>
        <w:spacing w:after="200"/>
        <w:rPr>
          <w:rFonts w:eastAsia="Calibri" w:cs="Times New Roman"/>
          <w:lang w:eastAsia="en-US"/>
        </w:rPr>
      </w:pPr>
      <w:r w:rsidRPr="00A17926">
        <w:rPr>
          <w:rFonts w:eastAsia="Calibri" w:cs="Times New Roman"/>
          <w:lang w:eastAsia="en-US"/>
        </w:rPr>
        <w:t xml:space="preserve">Further, “All expenditures for the regulation, operation, and maintenance…shall be paid out of the ambulance </w:t>
      </w:r>
      <w:r w:rsidR="00DC7492">
        <w:rPr>
          <w:rFonts w:eastAsia="Calibri" w:cs="Times New Roman"/>
          <w:lang w:eastAsia="en-US"/>
        </w:rPr>
        <w:t>services fund…” and</w:t>
      </w:r>
      <w:r w:rsidRPr="00A17926">
        <w:rPr>
          <w:rFonts w:eastAsia="Calibri" w:cs="Times New Roman"/>
          <w:lang w:eastAsia="en-US"/>
        </w:rPr>
        <w:t xml:space="preserve"> “Capital costs…shall be paid only from a separate established account within the ambulance services fund and shall not be paid from the [Ambulance Utility] service fee.”  The city uses an annual interfund transfer to the City General Fund in the ambulance line item operating budget to fund capital apparatus replacement as needed.  This is an annual recurring expenditure.</w:t>
      </w:r>
    </w:p>
    <w:p w14:paraId="27DCF36E" w14:textId="6478E4BD" w:rsidR="00A17926" w:rsidRPr="00A17926" w:rsidRDefault="00A17926" w:rsidP="00A17926">
      <w:pPr>
        <w:spacing w:after="200"/>
        <w:rPr>
          <w:rFonts w:eastAsia="Calibri" w:cs="Times New Roman"/>
          <w:lang w:eastAsia="en-US"/>
        </w:rPr>
      </w:pPr>
      <w:r w:rsidRPr="00A17926">
        <w:rPr>
          <w:rFonts w:eastAsia="Calibri" w:cs="Times New Roman"/>
          <w:lang w:eastAsia="en-US"/>
        </w:rPr>
        <w:t xml:space="preserve">PMC Section 3.05.020 also states that, “Money in the ambulance services fund shall not be transferred to the general fund, nor to any other fund of the City, except as payment for services rendered by the utility.”  The </w:t>
      </w:r>
      <w:r w:rsidR="00DC7492" w:rsidRPr="00A17926">
        <w:rPr>
          <w:rFonts w:eastAsia="Calibri" w:cs="Times New Roman"/>
          <w:lang w:eastAsia="en-US"/>
        </w:rPr>
        <w:t xml:space="preserve">city </w:t>
      </w:r>
      <w:r w:rsidRPr="00A17926">
        <w:rPr>
          <w:rFonts w:eastAsia="Calibri" w:cs="Times New Roman"/>
          <w:lang w:eastAsia="en-US"/>
        </w:rPr>
        <w:t xml:space="preserve">uses a cost allocation methodology to determine such services provided to each </w:t>
      </w:r>
      <w:r w:rsidRPr="00A17926">
        <w:rPr>
          <w:rFonts w:eastAsia="Calibri" w:cs="Times New Roman"/>
          <w:lang w:eastAsia="en-US"/>
        </w:rPr>
        <w:lastRenderedPageBreak/>
        <w:t xml:space="preserve">operating department, including the ambulance utility.  The fire and ambulance budgets contain interfund transfers to the extent required by the allocation methodology to move funds into the appropriate General Fund departments that provide services or materials/consumables to the </w:t>
      </w:r>
      <w:r w:rsidR="00DC7492" w:rsidRPr="00A17926">
        <w:rPr>
          <w:rFonts w:eastAsia="Calibri" w:cs="Times New Roman"/>
          <w:lang w:eastAsia="en-US"/>
        </w:rPr>
        <w:t>Department</w:t>
      </w:r>
      <w:r w:rsidRPr="00A17926">
        <w:rPr>
          <w:rFonts w:eastAsia="Calibri" w:cs="Times New Roman"/>
          <w:lang w:eastAsia="en-US"/>
        </w:rPr>
        <w:t>.  For example, fuel is allocated based upon usage, facilities costs are charged, administrative costs are charged</w:t>
      </w:r>
      <w:r w:rsidR="00DC7492">
        <w:rPr>
          <w:rFonts w:eastAsia="Calibri" w:cs="Times New Roman"/>
          <w:lang w:eastAsia="en-US"/>
        </w:rPr>
        <w:t>,</w:t>
      </w:r>
      <w:r w:rsidRPr="00A17926">
        <w:rPr>
          <w:rFonts w:eastAsia="Calibri" w:cs="Times New Roman"/>
          <w:lang w:eastAsia="en-US"/>
        </w:rPr>
        <w:t xml:space="preserve"> and each budget allocates a certain amount of funding for capital equipment replacement each year</w:t>
      </w:r>
      <w:r w:rsidR="00DC7492">
        <w:rPr>
          <w:rFonts w:eastAsia="Calibri" w:cs="Times New Roman"/>
          <w:lang w:eastAsia="en-US"/>
        </w:rPr>
        <w:t>,</w:t>
      </w:r>
      <w:r w:rsidRPr="00A17926">
        <w:rPr>
          <w:rFonts w:eastAsia="Calibri" w:cs="Times New Roman"/>
          <w:lang w:eastAsia="en-US"/>
        </w:rPr>
        <w:t xml:space="preserve"> as mentioned above.  </w:t>
      </w:r>
    </w:p>
    <w:p w14:paraId="62738DBD" w14:textId="4B71850F" w:rsidR="00A17926" w:rsidRPr="00A17926" w:rsidRDefault="00A17926" w:rsidP="00A17926">
      <w:pPr>
        <w:spacing w:after="200"/>
        <w:rPr>
          <w:rFonts w:eastAsia="Calibri" w:cs="Times New Roman"/>
          <w:lang w:eastAsia="en-US"/>
        </w:rPr>
      </w:pPr>
      <w:r w:rsidRPr="00A17926">
        <w:rPr>
          <w:rFonts w:eastAsia="Calibri" w:cs="Times New Roman"/>
          <w:lang w:eastAsia="en-US"/>
        </w:rPr>
        <w:t>For clarity, the following analysis includes the interfund transfer for apparatus replacement, currently a line item in the fire and ambulance operating budgets, into the capital portion of the budget rather than the operating portion.  As</w:t>
      </w:r>
      <w:r w:rsidR="00DC7492">
        <w:rPr>
          <w:rFonts w:eastAsia="Calibri" w:cs="Times New Roman"/>
          <w:lang w:eastAsia="en-US"/>
        </w:rPr>
        <w:t xml:space="preserve"> noted</w:t>
      </w:r>
      <w:r w:rsidRPr="00A17926">
        <w:rPr>
          <w:rFonts w:eastAsia="Calibri" w:cs="Times New Roman"/>
          <w:lang w:eastAsia="en-US"/>
        </w:rPr>
        <w:t xml:space="preserve"> above, this replacement funding is considered a recurring expense item.</w:t>
      </w:r>
    </w:p>
    <w:p w14:paraId="06117025" w14:textId="40E6230D" w:rsidR="00A17926" w:rsidRPr="00A17926" w:rsidRDefault="00A17926" w:rsidP="00A17926">
      <w:pPr>
        <w:spacing w:after="200"/>
        <w:rPr>
          <w:rFonts w:eastAsia="Calibri" w:cs="Times New Roman"/>
          <w:lang w:eastAsia="en-US"/>
        </w:rPr>
      </w:pPr>
      <w:r w:rsidRPr="00A17926">
        <w:rPr>
          <w:rFonts w:eastAsia="Calibri" w:cs="Times New Roman"/>
          <w:lang w:eastAsia="en-US"/>
        </w:rPr>
        <w:t xml:space="preserve">In order to provide staff and elected officials with a comprehensive perspective of the fire department and yet to account for ambulance revenue and expense as required by </w:t>
      </w:r>
      <w:r w:rsidR="00DC7492" w:rsidRPr="00A17926">
        <w:rPr>
          <w:rFonts w:eastAsia="Calibri" w:cs="Times New Roman"/>
          <w:lang w:eastAsia="en-US"/>
        </w:rPr>
        <w:t xml:space="preserve">city </w:t>
      </w:r>
      <w:r w:rsidRPr="00A17926">
        <w:rPr>
          <w:rFonts w:eastAsia="Calibri" w:cs="Times New Roman"/>
          <w:lang w:eastAsia="en-US"/>
        </w:rPr>
        <w:t xml:space="preserve">code, the following section includes separate analyses of the </w:t>
      </w:r>
      <w:r w:rsidR="00216D47" w:rsidRPr="00A17926">
        <w:rPr>
          <w:rFonts w:eastAsia="Calibri" w:cs="Times New Roman"/>
          <w:lang w:eastAsia="en-US"/>
        </w:rPr>
        <w:t>General Fu</w:t>
      </w:r>
      <w:r w:rsidR="00CB2CBD" w:rsidRPr="00A17926">
        <w:rPr>
          <w:rFonts w:eastAsia="Calibri" w:cs="Times New Roman"/>
          <w:lang w:eastAsia="en-US"/>
        </w:rPr>
        <w:t>n</w:t>
      </w:r>
      <w:r w:rsidRPr="00A17926">
        <w:rPr>
          <w:rFonts w:eastAsia="Calibri" w:cs="Times New Roman"/>
          <w:lang w:eastAsia="en-US"/>
        </w:rPr>
        <w:t xml:space="preserve">d fire budget and the </w:t>
      </w:r>
      <w:r w:rsidR="00216D47" w:rsidRPr="00A17926">
        <w:rPr>
          <w:rFonts w:eastAsia="Calibri" w:cs="Times New Roman"/>
          <w:lang w:eastAsia="en-US"/>
        </w:rPr>
        <w:t>Utility F</w:t>
      </w:r>
      <w:r w:rsidRPr="00A17926">
        <w:rPr>
          <w:rFonts w:eastAsia="Calibri" w:cs="Times New Roman"/>
          <w:lang w:eastAsia="en-US"/>
        </w:rPr>
        <w:t xml:space="preserve">und ambulance budget, as well as the overall department budget where applicable.  </w:t>
      </w:r>
    </w:p>
    <w:p w14:paraId="6607DECE" w14:textId="1E1BC273" w:rsidR="00A17926" w:rsidRPr="00A17926" w:rsidRDefault="00A17926" w:rsidP="00A17926">
      <w:pPr>
        <w:spacing w:after="200"/>
        <w:rPr>
          <w:rFonts w:eastAsia="Calibri" w:cs="Times New Roman"/>
          <w:lang w:eastAsia="en-US"/>
        </w:rPr>
      </w:pPr>
      <w:r w:rsidRPr="00A17926">
        <w:rPr>
          <w:rFonts w:eastAsia="Calibri" w:cs="Times New Roman"/>
          <w:lang w:eastAsia="en-US"/>
        </w:rPr>
        <w:t xml:space="preserve">The historical analysis helps illustrate how the PFD funds its services – where the money comes from and where it goes.  Historical budget data for the </w:t>
      </w:r>
      <w:r w:rsidR="00DC7492" w:rsidRPr="00A17926">
        <w:rPr>
          <w:rFonts w:eastAsia="Calibri" w:cs="Times New Roman"/>
          <w:lang w:eastAsia="en-US"/>
        </w:rPr>
        <w:t xml:space="preserve">Department </w:t>
      </w:r>
      <w:r w:rsidRPr="00A17926">
        <w:rPr>
          <w:rFonts w:eastAsia="Calibri" w:cs="Times New Roman"/>
          <w:lang w:eastAsia="en-US"/>
        </w:rPr>
        <w:t>was provided by staff and was supplemented with a review of past city audits and historical budget records.  The historical analysis should provide administration and elected officials with a solid basis upon which to evaluate recommendations and develop sustainable future policy.  The data provided by staff was comprehensive and presented in excellent condition.</w:t>
      </w:r>
    </w:p>
    <w:p w14:paraId="56FB7AD9" w14:textId="77777777" w:rsidR="00A17926" w:rsidRPr="00A17926" w:rsidRDefault="00A17926" w:rsidP="009234BC">
      <w:pPr>
        <w:pStyle w:val="Heading4"/>
        <w:rPr>
          <w:rFonts w:eastAsia="Calibri"/>
        </w:rPr>
      </w:pPr>
      <w:r w:rsidRPr="00A17926">
        <w:rPr>
          <w:rFonts w:eastAsia="Calibri"/>
        </w:rPr>
        <w:t>Revenue</w:t>
      </w:r>
    </w:p>
    <w:p w14:paraId="08A4B3E6" w14:textId="66E97157" w:rsidR="00A17926" w:rsidRPr="00A17926" w:rsidRDefault="00A17926" w:rsidP="00A17926">
      <w:pPr>
        <w:spacing w:after="200"/>
        <w:jc w:val="left"/>
        <w:rPr>
          <w:rFonts w:eastAsia="Calibri" w:cs="Times New Roman"/>
          <w:lang w:eastAsia="en-US"/>
        </w:rPr>
      </w:pPr>
      <w:r w:rsidRPr="00A17926">
        <w:rPr>
          <w:rFonts w:eastAsia="Calibri" w:cs="Times New Roman"/>
          <w:lang w:eastAsia="en-US"/>
        </w:rPr>
        <w:t xml:space="preserve">The following figure identifies the major recurring revenue sources for the </w:t>
      </w:r>
      <w:r w:rsidR="00CB2CBD" w:rsidRPr="00A17926">
        <w:rPr>
          <w:rFonts w:eastAsia="Calibri" w:cs="Times New Roman"/>
          <w:lang w:eastAsia="en-US"/>
        </w:rPr>
        <w:t xml:space="preserve">Department </w:t>
      </w:r>
      <w:r w:rsidRPr="00A17926">
        <w:rPr>
          <w:rFonts w:eastAsia="Calibri" w:cs="Times New Roman"/>
          <w:lang w:eastAsia="en-US"/>
        </w:rPr>
        <w:t>as well as annual in</w:t>
      </w:r>
      <w:r w:rsidR="00CB2CBD">
        <w:rPr>
          <w:rFonts w:eastAsia="Calibri" w:cs="Times New Roman"/>
          <w:lang w:eastAsia="en-US"/>
        </w:rPr>
        <w:t>terfund transfers from the</w:t>
      </w:r>
      <w:r w:rsidRPr="00A17926">
        <w:rPr>
          <w:rFonts w:eastAsia="Calibri" w:cs="Times New Roman"/>
          <w:lang w:eastAsia="en-US"/>
        </w:rPr>
        <w:t xml:space="preserve"> General Fund into the ambulance fund and the ambulance fund’s beginning fund balance.  Since the fire side of the </w:t>
      </w:r>
      <w:r w:rsidR="00CB2CBD" w:rsidRPr="00A17926">
        <w:rPr>
          <w:rFonts w:eastAsia="Calibri" w:cs="Times New Roman"/>
          <w:lang w:eastAsia="en-US"/>
        </w:rPr>
        <w:t xml:space="preserve">Department </w:t>
      </w:r>
      <w:r w:rsidR="00CB2CBD">
        <w:rPr>
          <w:rFonts w:eastAsia="Calibri" w:cs="Times New Roman"/>
          <w:lang w:eastAsia="en-US"/>
        </w:rPr>
        <w:t>is just one of several</w:t>
      </w:r>
      <w:r w:rsidRPr="00A17926">
        <w:rPr>
          <w:rFonts w:eastAsia="Calibri" w:cs="Times New Roman"/>
          <w:lang w:eastAsia="en-US"/>
        </w:rPr>
        <w:t xml:space="preserve"> General Fund departments, only those revenues specifically contractual and/or fire service fee</w:t>
      </w:r>
      <w:r w:rsidR="00CB2CBD">
        <w:rPr>
          <w:rFonts w:eastAsia="Calibri" w:cs="Times New Roman"/>
          <w:lang w:eastAsia="en-US"/>
        </w:rPr>
        <w:t>-</w:t>
      </w:r>
      <w:r w:rsidRPr="00A17926">
        <w:rPr>
          <w:rFonts w:eastAsia="Calibri" w:cs="Times New Roman"/>
          <w:lang w:eastAsia="en-US"/>
        </w:rPr>
        <w:t xml:space="preserve">related in nature are shown as recurring fire revenue sources.  The difference between these fire department-specific revenues and the cost of operating the fire portion of the </w:t>
      </w:r>
      <w:r w:rsidR="00CB2CBD" w:rsidRPr="00A17926">
        <w:rPr>
          <w:rFonts w:eastAsia="Calibri" w:cs="Times New Roman"/>
          <w:lang w:eastAsia="en-US"/>
        </w:rPr>
        <w:t xml:space="preserve">Department </w:t>
      </w:r>
      <w:r w:rsidRPr="00A17926">
        <w:rPr>
          <w:rFonts w:eastAsia="Calibri" w:cs="Times New Roman"/>
          <w:lang w:eastAsia="en-US"/>
        </w:rPr>
        <w:t>is funded with other, unrestricted General Fund revenues such as property taxes and sales taxes.</w:t>
      </w:r>
    </w:p>
    <w:p w14:paraId="31962299" w14:textId="6F6B56F4" w:rsidR="00A17926" w:rsidRPr="00A17926" w:rsidRDefault="00A17926" w:rsidP="00A17926">
      <w:pPr>
        <w:spacing w:after="200"/>
        <w:jc w:val="left"/>
        <w:rPr>
          <w:rFonts w:eastAsia="Calibri" w:cs="Times New Roman"/>
          <w:lang w:eastAsia="en-US"/>
        </w:rPr>
      </w:pPr>
      <w:r w:rsidRPr="00A17926">
        <w:rPr>
          <w:rFonts w:eastAsia="Calibri" w:cs="Times New Roman"/>
          <w:lang w:eastAsia="en-US"/>
        </w:rPr>
        <w:t xml:space="preserve">On the other hand, as discussed above, the ambulance portion of the </w:t>
      </w:r>
      <w:r w:rsidR="00CB2CBD" w:rsidRPr="00A17926">
        <w:rPr>
          <w:rFonts w:eastAsia="Calibri" w:cs="Times New Roman"/>
          <w:lang w:eastAsia="en-US"/>
        </w:rPr>
        <w:t xml:space="preserve">Department </w:t>
      </w:r>
      <w:r w:rsidRPr="00A17926">
        <w:rPr>
          <w:rFonts w:eastAsia="Calibri" w:cs="Times New Roman"/>
          <w:lang w:eastAsia="en-US"/>
        </w:rPr>
        <w:t xml:space="preserve">is operated as a utility.  Thus, it must show all of its recurring revenues as well as fund balance and transfers from the General Fund that make up the difference between recurring revenue and recurring expense and reserve targets.  </w:t>
      </w:r>
      <w:r w:rsidR="00CB2CBD">
        <w:rPr>
          <w:rFonts w:eastAsia="Calibri" w:cs="Times New Roman"/>
          <w:lang w:eastAsia="en-US"/>
        </w:rPr>
        <w:t>The following figure</w:t>
      </w:r>
      <w:r w:rsidRPr="00A17926">
        <w:rPr>
          <w:rFonts w:eastAsia="Calibri" w:cs="Times New Roman"/>
          <w:lang w:eastAsia="en-US"/>
        </w:rPr>
        <w:fldChar w:fldCharType="begin"/>
      </w:r>
      <w:r w:rsidRPr="00A17926">
        <w:rPr>
          <w:rFonts w:eastAsia="Calibri" w:cs="Times New Roman"/>
          <w:lang w:eastAsia="en-US"/>
        </w:rPr>
        <w:instrText xml:space="preserve"> REF _Ref456012987 \h </w:instrText>
      </w:r>
      <w:r w:rsidRPr="00A17926">
        <w:rPr>
          <w:rFonts w:eastAsia="Calibri" w:cs="Times New Roman"/>
          <w:lang w:eastAsia="en-US"/>
        </w:rPr>
      </w:r>
      <w:r w:rsidRPr="00A17926">
        <w:rPr>
          <w:rFonts w:eastAsia="Calibri" w:cs="Times New Roman"/>
          <w:lang w:eastAsia="en-US"/>
        </w:rPr>
        <w:fldChar w:fldCharType="end"/>
      </w:r>
      <w:r w:rsidRPr="00A17926">
        <w:rPr>
          <w:rFonts w:eastAsia="Calibri" w:cs="Times New Roman"/>
          <w:lang w:eastAsia="en-US"/>
        </w:rPr>
        <w:t xml:space="preserve"> shows all available financial resources for the ambulance fund and fire-specific recurring revenue sources (“Total Fire Resources”) for the fire budget in the General Fund. </w:t>
      </w:r>
    </w:p>
    <w:p w14:paraId="67BA0938" w14:textId="56210662" w:rsidR="00A17926" w:rsidRPr="00A17926" w:rsidRDefault="00A17926" w:rsidP="00CB2CBD">
      <w:pPr>
        <w:pStyle w:val="Caption"/>
      </w:pPr>
      <w:bookmarkStart w:id="103" w:name="_Toc464323665"/>
      <w:r w:rsidRPr="00A17926">
        <w:lastRenderedPageBreak/>
        <w:t xml:space="preserve">Figure </w:t>
      </w:r>
      <w:r w:rsidR="00432AD4">
        <w:fldChar w:fldCharType="begin"/>
      </w:r>
      <w:r w:rsidR="00432AD4">
        <w:instrText xml:space="preserve"> SEQ Fig</w:instrText>
      </w:r>
      <w:r w:rsidR="00432AD4">
        <w:instrText xml:space="preserve">ure \* ARABIC </w:instrText>
      </w:r>
      <w:r w:rsidR="00432AD4">
        <w:fldChar w:fldCharType="separate"/>
      </w:r>
      <w:r w:rsidR="008209A2">
        <w:rPr>
          <w:noProof/>
        </w:rPr>
        <w:t>23</w:t>
      </w:r>
      <w:r w:rsidR="00432AD4">
        <w:rPr>
          <w:noProof/>
        </w:rPr>
        <w:fldChar w:fldCharType="end"/>
      </w:r>
      <w:bookmarkStart w:id="104" w:name="_Ref456012987"/>
      <w:bookmarkEnd w:id="104"/>
      <w:r w:rsidRPr="00A17926">
        <w:t>: Pasco Fire Department Financial Resources (Fire and Ambulance)</w:t>
      </w:r>
      <w:r w:rsidR="005232AD">
        <w:t>, FY 2011 – FY 2016</w:t>
      </w:r>
      <w:bookmarkEnd w:id="103"/>
    </w:p>
    <w:p w14:paraId="670087AD" w14:textId="77777777" w:rsidR="00A17926" w:rsidRPr="00A17926" w:rsidRDefault="00A17926" w:rsidP="00A17926">
      <w:pPr>
        <w:spacing w:after="0"/>
        <w:jc w:val="left"/>
        <w:rPr>
          <w:rFonts w:eastAsia="Calibri" w:cs="Arial"/>
        </w:rPr>
      </w:pPr>
      <w:r w:rsidRPr="00A17926">
        <w:rPr>
          <w:rFonts w:eastAsia="Calibri" w:cs="Arial"/>
          <w:noProof/>
          <w:sz w:val="20"/>
          <w:szCs w:val="20"/>
          <w:lang w:eastAsia="en-US"/>
        </w:rPr>
        <w:drawing>
          <wp:inline distT="0" distB="0" distL="0" distR="0" wp14:anchorId="7B19B5C9" wp14:editId="245FEA57">
            <wp:extent cx="5943600" cy="1983783"/>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43600" cy="1983783"/>
                    </a:xfrm>
                    <a:prstGeom prst="rect">
                      <a:avLst/>
                    </a:prstGeom>
                    <a:noFill/>
                    <a:ln>
                      <a:noFill/>
                    </a:ln>
                  </pic:spPr>
                </pic:pic>
              </a:graphicData>
            </a:graphic>
          </wp:inline>
        </w:drawing>
      </w:r>
    </w:p>
    <w:p w14:paraId="1A61EBFD" w14:textId="77777777" w:rsidR="00A17926" w:rsidRPr="00CB2CBD" w:rsidRDefault="00A17926" w:rsidP="006A3A68">
      <w:pPr>
        <w:spacing w:after="240" w:line="240" w:lineRule="auto"/>
        <w:jc w:val="left"/>
        <w:rPr>
          <w:rFonts w:eastAsia="Calibri" w:cs="Arial"/>
          <w:i/>
          <w:sz w:val="20"/>
        </w:rPr>
      </w:pPr>
      <w:r w:rsidRPr="00CB2CBD">
        <w:rPr>
          <w:rFonts w:eastAsia="Calibri" w:cs="Arial"/>
          <w:i/>
          <w:sz w:val="20"/>
        </w:rPr>
        <w:t>Source:  Departmental Audited and Adopted Budget Documents</w:t>
      </w:r>
    </w:p>
    <w:p w14:paraId="39A71137" w14:textId="652AE584" w:rsidR="00A17926" w:rsidRPr="00A17926" w:rsidRDefault="00CB2CBD" w:rsidP="00A17926">
      <w:pPr>
        <w:spacing w:after="200"/>
        <w:rPr>
          <w:rFonts w:eastAsia="Calibri" w:cs="Arial"/>
        </w:rPr>
      </w:pPr>
      <w:r>
        <w:rPr>
          <w:rFonts w:eastAsia="Calibri" w:cs="Arial"/>
        </w:rPr>
        <w:t xml:space="preserve">The following figure </w:t>
      </w:r>
      <w:r w:rsidR="00A17926" w:rsidRPr="00A17926">
        <w:rPr>
          <w:rFonts w:eastAsia="Calibri" w:cs="Arial"/>
        </w:rPr>
        <w:t>graphically shows actual recurring revenues specific to fire and ambulance service from FY 2011 through FY 2015 and the amended revenues for FY 2016.  Fire revenues have grown from $438,856 in FY 2011 to $729,000 in FY 2016, an increase of 66.1 percent or an average annual increase of 8.27 percent.  Ambulance revenues have grown at a relatively steady rate from $2,030,267 in FY 2011 to $3,361,368 in FY 2014, an increase of 65.6 percent or an average annual increase of 14.5 percent ($444,000) per year.</w:t>
      </w:r>
    </w:p>
    <w:p w14:paraId="594C4FAF" w14:textId="6C087AD0" w:rsidR="00A17926" w:rsidRPr="00574D69" w:rsidRDefault="00A17926" w:rsidP="00574D69">
      <w:pPr>
        <w:pStyle w:val="Caption"/>
      </w:pPr>
      <w:bookmarkStart w:id="105" w:name="_Ref456013303"/>
      <w:bookmarkStart w:id="106" w:name="_Toc464323666"/>
      <w:r w:rsidRPr="00574D69">
        <w:t xml:space="preserve">Figure </w:t>
      </w:r>
      <w:r w:rsidR="00432AD4">
        <w:fldChar w:fldCharType="begin"/>
      </w:r>
      <w:r w:rsidR="00432AD4">
        <w:instrText xml:space="preserve"> SEQ Figure \* ARABIC </w:instrText>
      </w:r>
      <w:r w:rsidR="00432AD4">
        <w:fldChar w:fldCharType="separate"/>
      </w:r>
      <w:r w:rsidR="008209A2">
        <w:rPr>
          <w:noProof/>
        </w:rPr>
        <w:t>24</w:t>
      </w:r>
      <w:r w:rsidR="00432AD4">
        <w:rPr>
          <w:noProof/>
        </w:rPr>
        <w:fldChar w:fldCharType="end"/>
      </w:r>
      <w:bookmarkEnd w:id="105"/>
      <w:r w:rsidR="00216D47" w:rsidRPr="00574D69">
        <w:t xml:space="preserve">: </w:t>
      </w:r>
      <w:r w:rsidRPr="00574D69">
        <w:t>Fire and Ambulance Re</w:t>
      </w:r>
      <w:r w:rsidR="005232AD" w:rsidRPr="00574D69">
        <w:t>curring Revenues, FY 2011 -</w:t>
      </w:r>
      <w:r w:rsidRPr="00574D69">
        <w:t xml:space="preserve"> FY 2016</w:t>
      </w:r>
      <w:bookmarkEnd w:id="106"/>
    </w:p>
    <w:p w14:paraId="5F99CB35" w14:textId="77777777" w:rsidR="00A17926" w:rsidRPr="00A17926" w:rsidRDefault="00A17926" w:rsidP="005232AD">
      <w:pPr>
        <w:spacing w:after="0"/>
        <w:jc w:val="center"/>
        <w:rPr>
          <w:rFonts w:eastAsia="Calibri" w:cs="Arial"/>
        </w:rPr>
      </w:pPr>
      <w:r w:rsidRPr="00A17926">
        <w:rPr>
          <w:rFonts w:eastAsia="Calibri" w:cs="Times New Roman"/>
          <w:noProof/>
          <w:lang w:eastAsia="en-US"/>
        </w:rPr>
        <w:drawing>
          <wp:inline distT="0" distB="0" distL="0" distR="0" wp14:anchorId="0EADCB13" wp14:editId="3F45D03C">
            <wp:extent cx="5124450" cy="2600325"/>
            <wp:effectExtent l="0" t="0" r="0" b="9525"/>
            <wp:docPr id="80" name="Chart 80"/>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2A1599E8" w14:textId="77777777" w:rsidR="00A17926" w:rsidRPr="00CB2CBD" w:rsidRDefault="00A17926" w:rsidP="006A3A68">
      <w:pPr>
        <w:spacing w:after="240" w:line="240" w:lineRule="auto"/>
        <w:jc w:val="left"/>
        <w:rPr>
          <w:rFonts w:eastAsia="Calibri" w:cs="Arial"/>
          <w:i/>
          <w:sz w:val="20"/>
        </w:rPr>
      </w:pPr>
      <w:r w:rsidRPr="00CB2CBD">
        <w:rPr>
          <w:rFonts w:eastAsia="Calibri" w:cs="Arial"/>
          <w:i/>
          <w:sz w:val="20"/>
        </w:rPr>
        <w:t>Source:  Departmental Audited and Adopted Budget Documents</w:t>
      </w:r>
    </w:p>
    <w:p w14:paraId="19BE111B" w14:textId="431942FE" w:rsidR="00A17926" w:rsidRPr="00A17926" w:rsidRDefault="00CB2CBD" w:rsidP="00CB2CBD">
      <w:pPr>
        <w:spacing w:after="0"/>
        <w:rPr>
          <w:rFonts w:eastAsia="Calibri" w:cs="Arial"/>
        </w:rPr>
      </w:pPr>
      <w:r>
        <w:rPr>
          <w:rFonts w:eastAsia="Calibri" w:cs="Arial"/>
        </w:rPr>
        <w:t>The following figure</w:t>
      </w:r>
      <w:r w:rsidR="00A17926" w:rsidRPr="00A17926">
        <w:rPr>
          <w:rFonts w:eastAsia="Calibri" w:cs="Arial"/>
        </w:rPr>
        <w:t xml:space="preserve"> shows the fire-specific recurring revenue sources in more detail.  </w:t>
      </w:r>
    </w:p>
    <w:p w14:paraId="2BA2F8A6" w14:textId="7C96212C" w:rsidR="00A17926" w:rsidRPr="00A17926" w:rsidRDefault="00A17926" w:rsidP="007705AA">
      <w:pPr>
        <w:numPr>
          <w:ilvl w:val="0"/>
          <w:numId w:val="50"/>
        </w:numPr>
        <w:spacing w:after="240" w:line="240" w:lineRule="auto"/>
        <w:jc w:val="left"/>
        <w:rPr>
          <w:rFonts w:eastAsia="Calibri" w:cs="Arial"/>
        </w:rPr>
      </w:pPr>
      <w:r w:rsidRPr="00A17926">
        <w:rPr>
          <w:rFonts w:eastAsia="Calibri" w:cs="Arial"/>
        </w:rPr>
        <w:t xml:space="preserve">The major source, and driver of the changes seen in the previous figure, is the revenue derived from the airport fire protection agreement.  Through an interlocal cooperation agreement, PFD provides aircraft rescue and firefighting (ARFF) services as well as structural fire protection and </w:t>
      </w:r>
      <w:r w:rsidRPr="00A17926">
        <w:rPr>
          <w:rFonts w:eastAsia="Calibri" w:cs="Arial"/>
        </w:rPr>
        <w:lastRenderedPageBreak/>
        <w:t xml:space="preserve">other associated services to the Tri-Cities Airport as operated by the Port of Pasco, a separate Washington Municipal Corporation from the </w:t>
      </w:r>
      <w:r w:rsidR="00CB2CBD" w:rsidRPr="00A17926">
        <w:rPr>
          <w:rFonts w:eastAsia="Calibri" w:cs="Arial"/>
        </w:rPr>
        <w:t xml:space="preserve">city </w:t>
      </w:r>
      <w:r w:rsidRPr="00A17926">
        <w:rPr>
          <w:rFonts w:eastAsia="Calibri" w:cs="Arial"/>
        </w:rPr>
        <w:t xml:space="preserve">of Pasco.  </w:t>
      </w:r>
    </w:p>
    <w:p w14:paraId="2629C8DB" w14:textId="234450C4" w:rsidR="00A17926" w:rsidRPr="00A17926" w:rsidRDefault="00A17926" w:rsidP="00CB2CBD">
      <w:pPr>
        <w:pStyle w:val="Caption"/>
      </w:pPr>
      <w:bookmarkStart w:id="107" w:name="_Ref456014081"/>
      <w:bookmarkStart w:id="108" w:name="_Toc464323667"/>
      <w:r w:rsidRPr="00A17926">
        <w:t xml:space="preserve">Figure </w:t>
      </w:r>
      <w:r w:rsidR="00432AD4">
        <w:fldChar w:fldCharType="begin"/>
      </w:r>
      <w:r w:rsidR="00432AD4">
        <w:instrText xml:space="preserve"> SEQ Figure \* ARABIC </w:instrText>
      </w:r>
      <w:r w:rsidR="00432AD4">
        <w:fldChar w:fldCharType="separate"/>
      </w:r>
      <w:r w:rsidR="008209A2">
        <w:rPr>
          <w:noProof/>
        </w:rPr>
        <w:t>25</w:t>
      </w:r>
      <w:r w:rsidR="00432AD4">
        <w:rPr>
          <w:noProof/>
        </w:rPr>
        <w:fldChar w:fldCharType="end"/>
      </w:r>
      <w:bookmarkEnd w:id="107"/>
      <w:r w:rsidR="00216D47">
        <w:t xml:space="preserve">: </w:t>
      </w:r>
      <w:r w:rsidRPr="00A17926">
        <w:t>Fire Recurring Revenues</w:t>
      </w:r>
      <w:r w:rsidR="00CB2CBD">
        <w:t>,</w:t>
      </w:r>
      <w:r w:rsidRPr="00A17926">
        <w:t xml:space="preserve"> FY</w:t>
      </w:r>
      <w:r w:rsidR="005232AD">
        <w:t xml:space="preserve"> 2011 -</w:t>
      </w:r>
      <w:r w:rsidRPr="00A17926">
        <w:t xml:space="preserve"> FY 2016</w:t>
      </w:r>
      <w:bookmarkEnd w:id="108"/>
    </w:p>
    <w:p w14:paraId="2C0B3727" w14:textId="77777777" w:rsidR="00A17926" w:rsidRPr="00A17926" w:rsidRDefault="00A17926" w:rsidP="005232AD">
      <w:pPr>
        <w:spacing w:after="0"/>
        <w:jc w:val="center"/>
        <w:rPr>
          <w:rFonts w:eastAsia="Calibri" w:cs="Arial"/>
        </w:rPr>
      </w:pPr>
      <w:r w:rsidRPr="00A17926">
        <w:rPr>
          <w:rFonts w:eastAsia="Calibri" w:cs="Times New Roman"/>
          <w:noProof/>
          <w:lang w:eastAsia="en-US"/>
        </w:rPr>
        <w:drawing>
          <wp:inline distT="0" distB="0" distL="0" distR="0" wp14:anchorId="07FF43DF" wp14:editId="745265FC">
            <wp:extent cx="5200650" cy="2676525"/>
            <wp:effectExtent l="0" t="0" r="0" b="9525"/>
            <wp:docPr id="81" name="Chart 81"/>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454F927B" w14:textId="77777777" w:rsidR="00A17926" w:rsidRPr="00CB2CBD" w:rsidRDefault="00A17926" w:rsidP="006A3A68">
      <w:pPr>
        <w:spacing w:after="240" w:line="240" w:lineRule="auto"/>
        <w:jc w:val="left"/>
        <w:rPr>
          <w:rFonts w:eastAsia="Calibri" w:cs="Arial"/>
          <w:i/>
          <w:sz w:val="20"/>
        </w:rPr>
      </w:pPr>
      <w:r w:rsidRPr="00CB2CBD">
        <w:rPr>
          <w:rFonts w:eastAsia="Calibri" w:cs="Arial"/>
          <w:i/>
          <w:sz w:val="20"/>
        </w:rPr>
        <w:t>Source:  Departmental Audited and Adopted Budget Documents</w:t>
      </w:r>
    </w:p>
    <w:p w14:paraId="18B3652F" w14:textId="52F62E82" w:rsidR="00A17926" w:rsidRPr="00A17926" w:rsidRDefault="00A17926" w:rsidP="007705AA">
      <w:pPr>
        <w:numPr>
          <w:ilvl w:val="0"/>
          <w:numId w:val="50"/>
        </w:numPr>
        <w:spacing w:after="120" w:line="240" w:lineRule="auto"/>
        <w:jc w:val="left"/>
        <w:rPr>
          <w:rFonts w:eastAsia="Calibri" w:cs="Arial"/>
        </w:rPr>
      </w:pPr>
      <w:r w:rsidRPr="00A17926">
        <w:rPr>
          <w:rFonts w:eastAsia="Calibri" w:cs="Arial"/>
        </w:rPr>
        <w:t>The interlocal agreement, dated April 20, 2015</w:t>
      </w:r>
      <w:r w:rsidR="00CB2CBD">
        <w:rPr>
          <w:rFonts w:eastAsia="Calibri" w:cs="Arial"/>
        </w:rPr>
        <w:t>,</w:t>
      </w:r>
      <w:r w:rsidRPr="00A17926">
        <w:rPr>
          <w:rFonts w:eastAsia="Calibri" w:cs="Arial"/>
        </w:rPr>
        <w:t xml:space="preserve"> provides that the Port will pay $699,996 in monthly installments to the </w:t>
      </w:r>
      <w:r w:rsidR="007F073C" w:rsidRPr="00A17926">
        <w:rPr>
          <w:rFonts w:eastAsia="Calibri" w:cs="Arial"/>
        </w:rPr>
        <w:t xml:space="preserve">City </w:t>
      </w:r>
      <w:r w:rsidRPr="00A17926">
        <w:rPr>
          <w:rFonts w:eastAsia="Calibri" w:cs="Arial"/>
        </w:rPr>
        <w:t xml:space="preserve">for ARFF services in FY 2016.  This amount essentially provides for the cost of PFD personnel assigned to the airport fire station and increases each year based upon actual employee costs.  In the event of protracted contract negotiations, the annual fee increases by the Consumer Price Index for West Coast Class B/C cities.  </w:t>
      </w:r>
    </w:p>
    <w:p w14:paraId="353D7026" w14:textId="7A0241F2" w:rsidR="00A17926" w:rsidRPr="00A17926" w:rsidRDefault="00A17926" w:rsidP="007705AA">
      <w:pPr>
        <w:numPr>
          <w:ilvl w:val="0"/>
          <w:numId w:val="50"/>
        </w:numPr>
        <w:spacing w:after="120" w:line="240" w:lineRule="auto"/>
        <w:jc w:val="left"/>
        <w:rPr>
          <w:rFonts w:eastAsia="Calibri" w:cs="Arial"/>
        </w:rPr>
      </w:pPr>
      <w:r w:rsidRPr="00A17926">
        <w:rPr>
          <w:rFonts w:eastAsia="Calibri" w:cs="Arial"/>
        </w:rPr>
        <w:t xml:space="preserve">Maintenance and utilities costs for operation of the airport station are split between the Port and </w:t>
      </w:r>
      <w:r w:rsidR="007F073C" w:rsidRPr="00A17926">
        <w:rPr>
          <w:rFonts w:eastAsia="Calibri" w:cs="Arial"/>
        </w:rPr>
        <w:t xml:space="preserve">City </w:t>
      </w:r>
      <w:r w:rsidRPr="00A17926">
        <w:rPr>
          <w:rFonts w:eastAsia="Calibri" w:cs="Arial"/>
        </w:rPr>
        <w:t>on a 40/60 basis</w:t>
      </w:r>
      <w:r w:rsidR="007F073C">
        <w:rPr>
          <w:rFonts w:eastAsia="Calibri" w:cs="Arial"/>
        </w:rPr>
        <w:t>,</w:t>
      </w:r>
      <w:r w:rsidRPr="00A17926">
        <w:rPr>
          <w:rFonts w:eastAsia="Calibri" w:cs="Arial"/>
        </w:rPr>
        <w:t xml:space="preserve"> respectively.  The Port is responsible for acquiring ARFF</w:t>
      </w:r>
      <w:r w:rsidR="007F073C">
        <w:rPr>
          <w:rFonts w:eastAsia="Calibri" w:cs="Arial"/>
        </w:rPr>
        <w:t>-</w:t>
      </w:r>
      <w:r w:rsidRPr="00A17926">
        <w:rPr>
          <w:rFonts w:eastAsia="Calibri" w:cs="Arial"/>
        </w:rPr>
        <w:t xml:space="preserve">related equipment and supplies while the </w:t>
      </w:r>
      <w:r w:rsidR="007F073C" w:rsidRPr="00A17926">
        <w:rPr>
          <w:rFonts w:eastAsia="Calibri" w:cs="Arial"/>
        </w:rPr>
        <w:t>C</w:t>
      </w:r>
      <w:r w:rsidRPr="00A17926">
        <w:rPr>
          <w:rFonts w:eastAsia="Calibri" w:cs="Arial"/>
        </w:rPr>
        <w:t xml:space="preserve">ity is responsible for structural equipment and supplies.  </w:t>
      </w:r>
    </w:p>
    <w:p w14:paraId="110444DD" w14:textId="77777777" w:rsidR="00A17926" w:rsidRPr="00A17926" w:rsidRDefault="00A17926" w:rsidP="007705AA">
      <w:pPr>
        <w:numPr>
          <w:ilvl w:val="0"/>
          <w:numId w:val="50"/>
        </w:numPr>
        <w:spacing w:after="120" w:line="240" w:lineRule="auto"/>
        <w:jc w:val="left"/>
        <w:rPr>
          <w:rFonts w:eastAsia="Calibri" w:cs="Arial"/>
        </w:rPr>
      </w:pPr>
      <w:r w:rsidRPr="00A17926">
        <w:rPr>
          <w:rFonts w:eastAsia="Calibri" w:cs="Arial"/>
        </w:rPr>
        <w:t>The contract payment to the City has grown from $396,281 in FY 2011 to $699,996 as amended in FY 2016, an increase of 76.6 percent over the period or an average of 9.68 percent per year.</w:t>
      </w:r>
    </w:p>
    <w:p w14:paraId="6BD28AB4" w14:textId="2218762D" w:rsidR="00A17926" w:rsidRPr="00A17926" w:rsidRDefault="00A17926" w:rsidP="007705AA">
      <w:pPr>
        <w:numPr>
          <w:ilvl w:val="0"/>
          <w:numId w:val="50"/>
        </w:numPr>
        <w:spacing w:after="240" w:line="240" w:lineRule="auto"/>
        <w:jc w:val="left"/>
        <w:rPr>
          <w:rFonts w:eastAsia="Calibri" w:cs="Arial"/>
        </w:rPr>
      </w:pPr>
      <w:r w:rsidRPr="00A17926">
        <w:rPr>
          <w:rFonts w:eastAsia="Calibri" w:cs="Arial"/>
        </w:rPr>
        <w:t xml:space="preserve">Charges for </w:t>
      </w:r>
      <w:r w:rsidR="007F073C" w:rsidRPr="00A17926">
        <w:rPr>
          <w:rFonts w:eastAsia="Calibri" w:cs="Arial"/>
        </w:rPr>
        <w:t xml:space="preserve">services </w:t>
      </w:r>
      <w:r w:rsidRPr="00A17926">
        <w:rPr>
          <w:rFonts w:eastAsia="Calibri" w:cs="Arial"/>
        </w:rPr>
        <w:t>and other miscellaneous fire revenues have varied considerably from a low of $29,000 in the amended FY 2016 budget to a high of $67,894 in FY 2015 with an average of $43,000 over the period FY 2011 through FY 2016.</w:t>
      </w:r>
    </w:p>
    <w:p w14:paraId="072012FB" w14:textId="22FABA45" w:rsidR="00A17926" w:rsidRPr="00A17926" w:rsidRDefault="00A17926" w:rsidP="00A17926">
      <w:pPr>
        <w:spacing w:after="200"/>
        <w:rPr>
          <w:rFonts w:eastAsia="Calibri" w:cs="Arial"/>
        </w:rPr>
      </w:pPr>
      <w:r w:rsidRPr="00216D47">
        <w:rPr>
          <w:rFonts w:eastAsia="Calibri" w:cs="Arial"/>
        </w:rPr>
        <w:fldChar w:fldCharType="begin"/>
      </w:r>
      <w:r w:rsidRPr="00216D47">
        <w:rPr>
          <w:rFonts w:eastAsia="Calibri" w:cs="Arial"/>
        </w:rPr>
        <w:instrText xml:space="preserve"> REF _Ref456013421 \h </w:instrText>
      </w:r>
      <w:r w:rsidR="007F073C" w:rsidRPr="00216D47">
        <w:rPr>
          <w:rFonts w:eastAsia="Calibri" w:cs="Arial"/>
        </w:rPr>
        <w:instrText xml:space="preserve"> \* MERGEFORMAT </w:instrText>
      </w:r>
      <w:r w:rsidRPr="00216D47">
        <w:rPr>
          <w:rFonts w:eastAsia="Calibri" w:cs="Arial"/>
        </w:rPr>
      </w:r>
      <w:r w:rsidRPr="00216D47">
        <w:rPr>
          <w:rFonts w:eastAsia="Calibri" w:cs="Arial"/>
        </w:rPr>
        <w:fldChar w:fldCharType="separate"/>
      </w:r>
      <w:r w:rsidR="008209A2" w:rsidRPr="008209A2">
        <w:rPr>
          <w:rFonts w:eastAsia="Calibri" w:cs="Times New Roman"/>
          <w:iCs/>
          <w:lang w:eastAsia="en-US"/>
        </w:rPr>
        <w:t xml:space="preserve">Figure </w:t>
      </w:r>
      <w:r w:rsidR="008209A2" w:rsidRPr="008209A2">
        <w:rPr>
          <w:rFonts w:eastAsia="Calibri" w:cs="Times New Roman"/>
          <w:iCs/>
          <w:noProof/>
          <w:lang w:eastAsia="en-US"/>
        </w:rPr>
        <w:t>26</w:t>
      </w:r>
      <w:r w:rsidRPr="00216D47">
        <w:rPr>
          <w:rFonts w:eastAsia="Calibri" w:cs="Arial"/>
        </w:rPr>
        <w:fldChar w:fldCharType="end"/>
      </w:r>
      <w:r w:rsidRPr="00216D47">
        <w:rPr>
          <w:rFonts w:eastAsia="Calibri" w:cs="Arial"/>
        </w:rPr>
        <w:t xml:space="preserve"> </w:t>
      </w:r>
      <w:r w:rsidRPr="00A17926">
        <w:rPr>
          <w:rFonts w:eastAsia="Calibri" w:cs="Arial"/>
        </w:rPr>
        <w:t>shows ambulance fund recurring revenue in more detail.  The two primary sources are ambulance billing and the ambulance utility fee.</w:t>
      </w:r>
    </w:p>
    <w:p w14:paraId="7484D6C3" w14:textId="7874FF19" w:rsidR="00A17926" w:rsidRPr="00A17926" w:rsidRDefault="00A17926" w:rsidP="007F073C">
      <w:pPr>
        <w:pStyle w:val="Caption"/>
      </w:pPr>
      <w:bookmarkStart w:id="109" w:name="_Ref456013421"/>
      <w:bookmarkStart w:id="110" w:name="_Toc464323668"/>
      <w:r w:rsidRPr="00A17926">
        <w:lastRenderedPageBreak/>
        <w:t xml:space="preserve">Figure </w:t>
      </w:r>
      <w:r w:rsidR="00432AD4">
        <w:fldChar w:fldCharType="begin"/>
      </w:r>
      <w:r w:rsidR="00432AD4">
        <w:instrText xml:space="preserve"> SEQ Figure \* ARABIC </w:instrText>
      </w:r>
      <w:r w:rsidR="00432AD4">
        <w:fldChar w:fldCharType="separate"/>
      </w:r>
      <w:r w:rsidR="008209A2">
        <w:rPr>
          <w:noProof/>
        </w:rPr>
        <w:t>26</w:t>
      </w:r>
      <w:r w:rsidR="00432AD4">
        <w:rPr>
          <w:noProof/>
        </w:rPr>
        <w:fldChar w:fldCharType="end"/>
      </w:r>
      <w:bookmarkEnd w:id="109"/>
      <w:r w:rsidRPr="00A17926">
        <w:t>: Ambulance Recurring Revenues</w:t>
      </w:r>
      <w:r w:rsidR="005232AD">
        <w:t>, FY 2011 -</w:t>
      </w:r>
      <w:r w:rsidRPr="00A17926">
        <w:t xml:space="preserve"> FY 2016</w:t>
      </w:r>
      <w:bookmarkEnd w:id="110"/>
    </w:p>
    <w:p w14:paraId="272FDDCB" w14:textId="77777777" w:rsidR="00A17926" w:rsidRPr="00A17926" w:rsidRDefault="00A17926" w:rsidP="00216D47">
      <w:pPr>
        <w:keepNext/>
        <w:keepLines/>
        <w:spacing w:after="100" w:line="240" w:lineRule="auto"/>
        <w:jc w:val="center"/>
        <w:rPr>
          <w:rFonts w:eastAsia="Calibri" w:cs="Arial"/>
          <w:b/>
          <w:color w:val="000000"/>
          <w:sz w:val="20"/>
          <w:szCs w:val="20"/>
          <w:lang w:eastAsia="en-US"/>
        </w:rPr>
      </w:pPr>
      <w:r w:rsidRPr="00A17926">
        <w:rPr>
          <w:rFonts w:eastAsia="Calibri" w:cs="Times New Roman"/>
          <w:noProof/>
          <w:lang w:eastAsia="en-US"/>
        </w:rPr>
        <w:drawing>
          <wp:inline distT="0" distB="0" distL="0" distR="0" wp14:anchorId="0DB55CE3" wp14:editId="181F6CBC">
            <wp:extent cx="4991100" cy="3067050"/>
            <wp:effectExtent l="0" t="0" r="0" b="0"/>
            <wp:docPr id="82" name="Chart 82"/>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725C7E66" w14:textId="77777777" w:rsidR="00A17926" w:rsidRPr="007F073C" w:rsidRDefault="00A17926" w:rsidP="006A3A68">
      <w:pPr>
        <w:spacing w:after="240" w:line="240" w:lineRule="auto"/>
        <w:jc w:val="left"/>
        <w:rPr>
          <w:rFonts w:eastAsia="Calibri" w:cs="Arial"/>
          <w:i/>
          <w:sz w:val="20"/>
        </w:rPr>
      </w:pPr>
      <w:r w:rsidRPr="007F073C">
        <w:rPr>
          <w:rFonts w:eastAsia="Calibri" w:cs="Arial"/>
          <w:i/>
          <w:sz w:val="20"/>
        </w:rPr>
        <w:t>Source:  Departmental Audited and Adopted Budget Documents</w:t>
      </w:r>
    </w:p>
    <w:p w14:paraId="6169FE19" w14:textId="1E32AEEB" w:rsidR="00A17926" w:rsidRPr="00A17926" w:rsidRDefault="00A17926" w:rsidP="00AC0254">
      <w:pPr>
        <w:numPr>
          <w:ilvl w:val="0"/>
          <w:numId w:val="51"/>
        </w:numPr>
        <w:spacing w:after="120" w:line="240" w:lineRule="auto"/>
        <w:rPr>
          <w:rFonts w:eastAsia="Calibri" w:cs="Arial"/>
        </w:rPr>
      </w:pPr>
      <w:r w:rsidRPr="00A17926">
        <w:rPr>
          <w:rFonts w:eastAsia="Calibri" w:cs="Arial"/>
        </w:rPr>
        <w:t>The Revised Code of Washington (RCW) in Section 35.21.766 gives cities the authority to establish an ambulance service as a public utility and to set and collect rates and charges for services</w:t>
      </w:r>
      <w:r w:rsidR="007F073C">
        <w:rPr>
          <w:rFonts w:eastAsia="Calibri" w:cs="Arial"/>
        </w:rPr>
        <w:t>;</w:t>
      </w:r>
      <w:r w:rsidRPr="00A17926">
        <w:rPr>
          <w:rFonts w:eastAsia="Calibri" w:cs="Arial"/>
        </w:rPr>
        <w:t xml:space="preserve"> PMC Section 3.05.020 establishes the ambulance service as a </w:t>
      </w:r>
      <w:r w:rsidR="007F073C" w:rsidRPr="00A17926">
        <w:rPr>
          <w:rFonts w:eastAsia="Calibri" w:cs="Arial"/>
        </w:rPr>
        <w:t xml:space="preserve">city </w:t>
      </w:r>
      <w:r w:rsidRPr="00A17926">
        <w:rPr>
          <w:rFonts w:eastAsia="Calibri" w:cs="Arial"/>
        </w:rPr>
        <w:t xml:space="preserve">of Pasco utility and provides authority to charge rates for this service as approved by council. </w:t>
      </w:r>
    </w:p>
    <w:p w14:paraId="3A45E66A" w14:textId="77777777" w:rsidR="00A17926" w:rsidRPr="00A17926" w:rsidRDefault="00A17926" w:rsidP="00AC0254">
      <w:pPr>
        <w:numPr>
          <w:ilvl w:val="0"/>
          <w:numId w:val="51"/>
        </w:numPr>
        <w:spacing w:after="120" w:line="240" w:lineRule="auto"/>
        <w:rPr>
          <w:rFonts w:eastAsia="Calibri" w:cs="Arial"/>
        </w:rPr>
      </w:pPr>
      <w:r w:rsidRPr="00A17926">
        <w:rPr>
          <w:rFonts w:eastAsia="Calibri" w:cs="Arial"/>
        </w:rPr>
        <w:t xml:space="preserve">PMC Section 3.05.040 establishes the following rate categories for emergency medical services: resident, non-resident, non-transport emergency medical services and mileage.  PMC Section 3.07.010(A) sets the rates for resident and non-resident ambulance transport, including mileage charges and non-transport emergency medical services. </w:t>
      </w:r>
    </w:p>
    <w:p w14:paraId="26A5487A" w14:textId="77777777" w:rsidR="00A17926" w:rsidRPr="00A17926" w:rsidRDefault="00A17926" w:rsidP="00AC0254">
      <w:pPr>
        <w:numPr>
          <w:ilvl w:val="0"/>
          <w:numId w:val="51"/>
        </w:numPr>
        <w:spacing w:after="120" w:line="240" w:lineRule="auto"/>
        <w:rPr>
          <w:rFonts w:eastAsia="Calibri" w:cs="Arial"/>
        </w:rPr>
      </w:pPr>
      <w:r w:rsidRPr="00A17926">
        <w:rPr>
          <w:rFonts w:eastAsia="Calibri" w:cs="Arial"/>
        </w:rPr>
        <w:t>Ambulance billing revenue has risen from $1,148,437 in FY 2011 to a projected $1,500,000 in FY 2016 an increase of 30.6 percent or an average of 5.66 percent ($70,000) per year.</w:t>
      </w:r>
    </w:p>
    <w:p w14:paraId="2DDA2D3D" w14:textId="77777777" w:rsidR="00A17926" w:rsidRPr="00A17926" w:rsidRDefault="00A17926" w:rsidP="00AC0254">
      <w:pPr>
        <w:numPr>
          <w:ilvl w:val="0"/>
          <w:numId w:val="51"/>
        </w:numPr>
        <w:spacing w:after="120" w:line="240" w:lineRule="auto"/>
        <w:rPr>
          <w:rFonts w:eastAsia="Calibri" w:cs="Arial"/>
        </w:rPr>
      </w:pPr>
      <w:r w:rsidRPr="00A17926">
        <w:rPr>
          <w:rFonts w:eastAsia="Calibri" w:cs="Arial"/>
        </w:rPr>
        <w:t xml:space="preserve">PMC Section 3.05.025 states that, “A monthly service utility fee…shall be established from time to time by ordinance of the City Council in conformity with RCW 35.21.766.”  </w:t>
      </w:r>
    </w:p>
    <w:p w14:paraId="26064A7D" w14:textId="0BB63FB6" w:rsidR="00A17926" w:rsidRPr="00A17926" w:rsidRDefault="00A17926" w:rsidP="00AC0254">
      <w:pPr>
        <w:numPr>
          <w:ilvl w:val="0"/>
          <w:numId w:val="51"/>
        </w:numPr>
        <w:spacing w:after="120" w:line="240" w:lineRule="auto"/>
        <w:rPr>
          <w:rFonts w:eastAsia="Calibri" w:cs="Arial"/>
        </w:rPr>
      </w:pPr>
      <w:r w:rsidRPr="00A17926">
        <w:rPr>
          <w:rFonts w:eastAsia="Calibri" w:cs="Arial"/>
        </w:rPr>
        <w:t>RCW 35.21.766(3) requires a cost of service rate study.  The FCS Group performed a cost of service and rate study for the City</w:t>
      </w:r>
      <w:r w:rsidR="00DC4461">
        <w:rPr>
          <w:rFonts w:eastAsia="Calibri" w:cs="Arial"/>
        </w:rPr>
        <w:t>,</w:t>
      </w:r>
      <w:r w:rsidRPr="00A17926">
        <w:rPr>
          <w:rFonts w:eastAsia="Calibri" w:cs="Arial"/>
        </w:rPr>
        <w:t xml:space="preserve"> which was completed November 18, 2015. </w:t>
      </w:r>
    </w:p>
    <w:p w14:paraId="5A646245" w14:textId="196D41D1" w:rsidR="00A17926" w:rsidRPr="00A17926" w:rsidRDefault="00A17926" w:rsidP="00AC0254">
      <w:pPr>
        <w:numPr>
          <w:ilvl w:val="0"/>
          <w:numId w:val="51"/>
        </w:numPr>
        <w:spacing w:after="120" w:line="240" w:lineRule="auto"/>
        <w:rPr>
          <w:rFonts w:eastAsia="Calibri" w:cs="Arial"/>
        </w:rPr>
      </w:pPr>
      <w:r w:rsidRPr="00A17926">
        <w:rPr>
          <w:rFonts w:eastAsia="Calibri" w:cs="Arial"/>
        </w:rPr>
        <w:t>PMC 3.05.025 designates the utility fee formula, the classifications of fee payors</w:t>
      </w:r>
      <w:r w:rsidR="007F073C">
        <w:rPr>
          <w:rFonts w:eastAsia="Calibri" w:cs="Arial"/>
        </w:rPr>
        <w:t>,</w:t>
      </w:r>
      <w:r w:rsidRPr="00A17926">
        <w:rPr>
          <w:rFonts w:eastAsia="Calibri" w:cs="Arial"/>
        </w:rPr>
        <w:t xml:space="preserve"> and distinguishes between rates paid for emergency medical services by resident fee payors and non-residents who are not subject to the monthly fee.</w:t>
      </w:r>
    </w:p>
    <w:p w14:paraId="581AC822" w14:textId="0AA8A8FB" w:rsidR="00A17926" w:rsidRPr="00A17926" w:rsidRDefault="00A17926" w:rsidP="00AC0254">
      <w:pPr>
        <w:numPr>
          <w:ilvl w:val="0"/>
          <w:numId w:val="51"/>
        </w:numPr>
        <w:spacing w:after="120" w:line="240" w:lineRule="auto"/>
        <w:rPr>
          <w:rFonts w:eastAsia="Calibri" w:cs="Arial"/>
        </w:rPr>
      </w:pPr>
      <w:r w:rsidRPr="00A17926">
        <w:rPr>
          <w:rFonts w:eastAsia="Calibri" w:cs="Arial"/>
        </w:rPr>
        <w:t xml:space="preserve">PMC 3.07.010(B) sets the monthly ambulance utility fees by payor classification.  These rates were last set by City of Pasco Ordinance 4253 in </w:t>
      </w:r>
      <w:r w:rsidR="006A3A68">
        <w:rPr>
          <w:rFonts w:eastAsia="Calibri" w:cs="Arial"/>
        </w:rPr>
        <w:t>2015 to take effect in January</w:t>
      </w:r>
      <w:r w:rsidRPr="00A17926">
        <w:rPr>
          <w:rFonts w:eastAsia="Calibri" w:cs="Arial"/>
        </w:rPr>
        <w:t xml:space="preserve"> 2016.</w:t>
      </w:r>
    </w:p>
    <w:p w14:paraId="167C9CBE" w14:textId="16103328" w:rsidR="00A17926" w:rsidRPr="00A17926" w:rsidRDefault="00A17926" w:rsidP="00AC0254">
      <w:pPr>
        <w:numPr>
          <w:ilvl w:val="0"/>
          <w:numId w:val="51"/>
        </w:numPr>
        <w:spacing w:after="120" w:line="240" w:lineRule="auto"/>
        <w:rPr>
          <w:rFonts w:eastAsia="Calibri" w:cs="Arial"/>
        </w:rPr>
      </w:pPr>
      <w:r w:rsidRPr="00A17926">
        <w:rPr>
          <w:rFonts w:eastAsia="Calibri" w:cs="Arial"/>
        </w:rPr>
        <w:t xml:space="preserve">Utility Fee revenue increased from $876,842 in FY 2011 to $2,095,864 in FY 2015 for an increase of 139 percent or an average of 25.1 percent per year.  </w:t>
      </w:r>
      <w:r w:rsidR="00DB5DC5">
        <w:rPr>
          <w:rFonts w:eastAsia="Calibri" w:cs="Arial"/>
        </w:rPr>
        <w:t xml:space="preserve">This was due in part to the growth in the </w:t>
      </w:r>
      <w:r w:rsidR="00DB5DC5">
        <w:rPr>
          <w:rFonts w:eastAsia="Calibri" w:cs="Arial"/>
        </w:rPr>
        <w:lastRenderedPageBreak/>
        <w:t>city</w:t>
      </w:r>
      <w:r w:rsidR="00982EE7">
        <w:rPr>
          <w:rFonts w:eastAsia="Calibri" w:cs="Arial"/>
        </w:rPr>
        <w:t xml:space="preserve"> through new construction and annexation</w:t>
      </w:r>
      <w:r w:rsidR="00DC4461">
        <w:rPr>
          <w:rFonts w:eastAsia="Calibri" w:cs="Arial"/>
        </w:rPr>
        <w:t xml:space="preserve"> as well as actual increases in the rates</w:t>
      </w:r>
      <w:r w:rsidR="00DB5DC5">
        <w:rPr>
          <w:rFonts w:eastAsia="Calibri" w:cs="Arial"/>
        </w:rPr>
        <w:t xml:space="preserve">.  </w:t>
      </w:r>
      <w:r w:rsidRPr="00A17926">
        <w:rPr>
          <w:rFonts w:eastAsia="Calibri" w:cs="Arial"/>
        </w:rPr>
        <w:t xml:space="preserve">Revenue remained flat in FY 2015 pending the results of the </w:t>
      </w:r>
      <w:r w:rsidR="00DC4461">
        <w:rPr>
          <w:rFonts w:eastAsia="Calibri" w:cs="Arial"/>
        </w:rPr>
        <w:t xml:space="preserve">FCS Group </w:t>
      </w:r>
      <w:r w:rsidRPr="00A17926">
        <w:rPr>
          <w:rFonts w:eastAsia="Calibri" w:cs="Arial"/>
        </w:rPr>
        <w:t>rate study.</w:t>
      </w:r>
      <w:r w:rsidR="00DB5DC5">
        <w:rPr>
          <w:rFonts w:eastAsia="Calibri" w:cs="Arial"/>
        </w:rPr>
        <w:t xml:space="preserve"> </w:t>
      </w:r>
    </w:p>
    <w:p w14:paraId="4595D713" w14:textId="3F9D63CF" w:rsidR="00A17926" w:rsidRPr="00A17926" w:rsidRDefault="00A17926" w:rsidP="00AC0254">
      <w:pPr>
        <w:numPr>
          <w:ilvl w:val="0"/>
          <w:numId w:val="51"/>
        </w:numPr>
        <w:spacing w:after="120" w:line="240" w:lineRule="auto"/>
        <w:rPr>
          <w:rFonts w:eastAsia="Calibri" w:cs="Arial"/>
        </w:rPr>
      </w:pPr>
      <w:r w:rsidRPr="00A17926">
        <w:rPr>
          <w:rFonts w:eastAsia="Calibri" w:cs="Arial"/>
        </w:rPr>
        <w:t>Rates were increased significantly in FY 2016 and revenue is expected to increase from the $3,457,939 that was received in FY 2015 to $4,993,669 in FY 2016 or 44.4 percent year</w:t>
      </w:r>
      <w:r w:rsidR="00DC4461">
        <w:rPr>
          <w:rFonts w:eastAsia="Calibri" w:cs="Arial"/>
        </w:rPr>
        <w:t>-</w:t>
      </w:r>
      <w:r w:rsidRPr="00A17926">
        <w:rPr>
          <w:rFonts w:eastAsia="Calibri" w:cs="Arial"/>
        </w:rPr>
        <w:t>to</w:t>
      </w:r>
      <w:r w:rsidR="00DC4461">
        <w:rPr>
          <w:rFonts w:eastAsia="Calibri" w:cs="Arial"/>
        </w:rPr>
        <w:t>-</w:t>
      </w:r>
      <w:r w:rsidRPr="00A17926">
        <w:rPr>
          <w:rFonts w:eastAsia="Calibri" w:cs="Arial"/>
        </w:rPr>
        <w:t xml:space="preserve">year as council works to implement the recommendations of the </w:t>
      </w:r>
      <w:r w:rsidR="00DC4461" w:rsidRPr="00DC4461">
        <w:rPr>
          <w:rFonts w:eastAsia="Calibri" w:cs="Arial"/>
        </w:rPr>
        <w:t xml:space="preserve">FCS Group </w:t>
      </w:r>
      <w:r w:rsidRPr="00A17926">
        <w:rPr>
          <w:rFonts w:eastAsia="Calibri" w:cs="Arial"/>
        </w:rPr>
        <w:t>rate study and more fully fund ambulance service from user fees and billing.</w:t>
      </w:r>
    </w:p>
    <w:p w14:paraId="2068DAA2" w14:textId="5384546A" w:rsidR="00A17926" w:rsidRPr="00A17926" w:rsidRDefault="00A17926" w:rsidP="00AC0254">
      <w:pPr>
        <w:numPr>
          <w:ilvl w:val="0"/>
          <w:numId w:val="51"/>
        </w:numPr>
        <w:spacing w:after="240" w:line="240" w:lineRule="auto"/>
        <w:rPr>
          <w:rFonts w:eastAsia="Calibri" w:cs="Arial"/>
        </w:rPr>
      </w:pPr>
      <w:r w:rsidRPr="00A17926">
        <w:rPr>
          <w:rFonts w:eastAsia="Calibri" w:cs="Arial"/>
        </w:rPr>
        <w:t xml:space="preserve">As shown in the preceding figure, other recurring revenue sources </w:t>
      </w:r>
      <w:r w:rsidR="00DC4461">
        <w:rPr>
          <w:rFonts w:eastAsia="Calibri" w:cs="Arial"/>
        </w:rPr>
        <w:t>comprise</w:t>
      </w:r>
      <w:r w:rsidR="00DC4461" w:rsidRPr="00A17926">
        <w:rPr>
          <w:rFonts w:eastAsia="Calibri" w:cs="Arial"/>
        </w:rPr>
        <w:t xml:space="preserve"> </w:t>
      </w:r>
      <w:r w:rsidRPr="00A17926">
        <w:rPr>
          <w:rFonts w:eastAsia="Calibri" w:cs="Arial"/>
        </w:rPr>
        <w:t>a very minor component of the total recurring revenue stream.  This source averaged just $4,981 from FY 2011 through FY 2013</w:t>
      </w:r>
      <w:r w:rsidR="00DC4461">
        <w:rPr>
          <w:rFonts w:eastAsia="Calibri" w:cs="Arial"/>
        </w:rPr>
        <w:t>,</w:t>
      </w:r>
      <w:r w:rsidRPr="00A17926">
        <w:rPr>
          <w:rFonts w:eastAsia="Calibri" w:cs="Arial"/>
        </w:rPr>
        <w:t xml:space="preserve"> after which it jumped in FY 2014</w:t>
      </w:r>
      <w:r w:rsidR="00DC4461">
        <w:rPr>
          <w:rFonts w:eastAsia="Calibri" w:cs="Arial"/>
        </w:rPr>
        <w:t>,</w:t>
      </w:r>
      <w:r w:rsidRPr="00A17926">
        <w:rPr>
          <w:rFonts w:eastAsia="Calibri" w:cs="Arial"/>
        </w:rPr>
        <w:t xml:space="preserve"> and has averaged almost $29,000 since.  This increase is attributed to county fire district and contract ambulance service revenue beginning in FY 2014 of between $25,400 and $27,100 per year.</w:t>
      </w:r>
    </w:p>
    <w:p w14:paraId="71982D73" w14:textId="083C148D" w:rsidR="00A17926" w:rsidRPr="00A17926" w:rsidRDefault="00A17926" w:rsidP="00A17926">
      <w:pPr>
        <w:spacing w:after="200"/>
        <w:rPr>
          <w:rFonts w:eastAsia="Calibri" w:cs="Arial"/>
        </w:rPr>
      </w:pPr>
      <w:r w:rsidRPr="00A17926">
        <w:rPr>
          <w:rFonts w:eastAsia="Calibri" w:cs="Arial"/>
        </w:rPr>
        <w:t xml:space="preserve">Other financial resources available to the ambulance utility include the annual interfund transfer from the City General Fund </w:t>
      </w:r>
      <w:r w:rsidR="006A3A68">
        <w:rPr>
          <w:rFonts w:eastAsia="Calibri" w:cs="Arial"/>
        </w:rPr>
        <w:t>(GF)</w:t>
      </w:r>
      <w:r w:rsidR="00DC4461">
        <w:rPr>
          <w:rFonts w:eastAsia="Calibri" w:cs="Arial"/>
        </w:rPr>
        <w:t xml:space="preserve"> </w:t>
      </w:r>
      <w:r w:rsidRPr="00A17926">
        <w:rPr>
          <w:rFonts w:eastAsia="Calibri" w:cs="Arial"/>
        </w:rPr>
        <w:t xml:space="preserve">and the beginning fund balance.  </w:t>
      </w:r>
      <w:r w:rsidRPr="00DC4461">
        <w:rPr>
          <w:rFonts w:eastAsia="Calibri" w:cs="Arial"/>
        </w:rPr>
        <w:fldChar w:fldCharType="begin"/>
      </w:r>
      <w:r w:rsidRPr="00AC0254">
        <w:rPr>
          <w:rFonts w:eastAsia="Calibri" w:cs="Arial"/>
        </w:rPr>
        <w:instrText xml:space="preserve"> REF _Ref456014240 \h </w:instrText>
      </w:r>
      <w:r w:rsidR="006A3A68" w:rsidRPr="00AC0254">
        <w:rPr>
          <w:rFonts w:eastAsia="Calibri" w:cs="Arial"/>
        </w:rPr>
        <w:instrText xml:space="preserve"> \* MERGEFORMAT </w:instrText>
      </w:r>
      <w:r w:rsidRPr="00DC4461">
        <w:rPr>
          <w:rFonts w:eastAsia="Calibri" w:cs="Arial"/>
        </w:rPr>
      </w:r>
      <w:r w:rsidRPr="00DC4461">
        <w:rPr>
          <w:rFonts w:eastAsia="Calibri" w:cs="Arial"/>
        </w:rPr>
        <w:fldChar w:fldCharType="separate"/>
      </w:r>
      <w:r w:rsidR="008209A2" w:rsidRPr="008209A2">
        <w:rPr>
          <w:rFonts w:eastAsia="Calibri" w:cs="Times New Roman"/>
          <w:iCs/>
          <w:lang w:eastAsia="en-US"/>
        </w:rPr>
        <w:t xml:space="preserve">Figure </w:t>
      </w:r>
      <w:r w:rsidR="008209A2" w:rsidRPr="008209A2">
        <w:rPr>
          <w:rFonts w:eastAsia="Calibri" w:cs="Times New Roman"/>
          <w:iCs/>
          <w:noProof/>
          <w:lang w:eastAsia="en-US"/>
        </w:rPr>
        <w:t>27</w:t>
      </w:r>
      <w:r w:rsidRPr="00DC4461">
        <w:rPr>
          <w:rFonts w:eastAsia="Calibri" w:cs="Arial"/>
        </w:rPr>
        <w:fldChar w:fldCharType="end"/>
      </w:r>
      <w:r w:rsidRPr="00A17926">
        <w:rPr>
          <w:rFonts w:eastAsia="Calibri" w:cs="Arial"/>
        </w:rPr>
        <w:t xml:space="preserve"> illustrates the relationship between total recurring ambulance revenue, the GF interfund transfer and beginning fund balance.  Between FY 2011 and FY 2013, the GF transfer increased from $420,000 to $1,157,000 an increase of 175 percent or an average of 71 percent per year.  Even with this increase and rising recurring revenue, the beginning fund balance was declining, going from $318,894 in FY 2011 to just $82,492 in FY 2012.  It began to increase the following year to $255,701 in FY 2013 and continued to rise through FY 2015 to $927,533.  Council reduced the GF interfund transfer to the ambulance utility in FY 2014 to $420,000 where it has remained through FY 2016.  With increases in the monthly utility fee and billing revenue, the pressure to subsidize the utility with GF revenues has significantly declined.</w:t>
      </w:r>
    </w:p>
    <w:p w14:paraId="0BD59344" w14:textId="0B6EC545" w:rsidR="00A17926" w:rsidRPr="00A17926" w:rsidRDefault="00A17926" w:rsidP="006A3A68">
      <w:pPr>
        <w:pStyle w:val="Caption"/>
      </w:pPr>
      <w:bookmarkStart w:id="111" w:name="_Ref456014240"/>
      <w:bookmarkStart w:id="112" w:name="_Toc464323669"/>
      <w:r w:rsidRPr="00A17926">
        <w:t xml:space="preserve">Figure </w:t>
      </w:r>
      <w:r w:rsidR="00432AD4">
        <w:fldChar w:fldCharType="begin"/>
      </w:r>
      <w:r w:rsidR="00432AD4">
        <w:instrText xml:space="preserve"> SEQ Figure \* ARABIC </w:instrText>
      </w:r>
      <w:r w:rsidR="00432AD4">
        <w:fldChar w:fldCharType="separate"/>
      </w:r>
      <w:r w:rsidR="008209A2">
        <w:rPr>
          <w:noProof/>
        </w:rPr>
        <w:t>27</w:t>
      </w:r>
      <w:r w:rsidR="00432AD4">
        <w:rPr>
          <w:noProof/>
        </w:rPr>
        <w:fldChar w:fldCharType="end"/>
      </w:r>
      <w:bookmarkEnd w:id="111"/>
      <w:r w:rsidRPr="00A17926">
        <w:t>: Ambulance Recurring Revenues, GF Subsidy</w:t>
      </w:r>
      <w:r w:rsidR="006A3A68">
        <w:t>,</w:t>
      </w:r>
      <w:r w:rsidRPr="00A17926">
        <w:t xml:space="preserve"> and Beginning Fund Balance</w:t>
      </w:r>
      <w:r w:rsidR="006A3A68">
        <w:t>,</w:t>
      </w:r>
      <w:r w:rsidRPr="00A17926">
        <w:t xml:space="preserve"> FY 2011 </w:t>
      </w:r>
      <w:r w:rsidR="005232AD">
        <w:t>-</w:t>
      </w:r>
      <w:r w:rsidRPr="00A17926">
        <w:t xml:space="preserve"> FY 2016</w:t>
      </w:r>
      <w:bookmarkEnd w:id="112"/>
    </w:p>
    <w:p w14:paraId="1B7F4C3B" w14:textId="77777777" w:rsidR="00A17926" w:rsidRPr="00A17926" w:rsidRDefault="00A17926" w:rsidP="005232AD">
      <w:pPr>
        <w:spacing w:after="0"/>
        <w:jc w:val="center"/>
        <w:rPr>
          <w:rFonts w:eastAsia="Calibri" w:cs="Arial"/>
        </w:rPr>
      </w:pPr>
      <w:r w:rsidRPr="00A17926">
        <w:rPr>
          <w:rFonts w:eastAsia="Calibri" w:cs="Times New Roman"/>
          <w:noProof/>
          <w:lang w:eastAsia="en-US"/>
        </w:rPr>
        <w:drawing>
          <wp:inline distT="0" distB="0" distL="0" distR="0" wp14:anchorId="34ECDA03" wp14:editId="089B2943">
            <wp:extent cx="5212080" cy="2952750"/>
            <wp:effectExtent l="0" t="0" r="7620" b="0"/>
            <wp:docPr id="83" name="Chart 83"/>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7D9C3392" w14:textId="77777777" w:rsidR="00A17926" w:rsidRPr="006A3A68" w:rsidRDefault="00A17926" w:rsidP="00A17926">
      <w:pPr>
        <w:spacing w:after="120"/>
        <w:jc w:val="left"/>
        <w:rPr>
          <w:rFonts w:eastAsia="Calibri" w:cs="Arial"/>
          <w:i/>
          <w:sz w:val="20"/>
        </w:rPr>
      </w:pPr>
      <w:r w:rsidRPr="006A3A68">
        <w:rPr>
          <w:rFonts w:eastAsia="Calibri" w:cs="Arial"/>
          <w:i/>
          <w:sz w:val="20"/>
        </w:rPr>
        <w:t>Source:  Departmental Audited and Adopted Budget Documents</w:t>
      </w:r>
    </w:p>
    <w:p w14:paraId="6C735475" w14:textId="77777777" w:rsidR="00A17926" w:rsidRPr="00A17926" w:rsidRDefault="00A17926" w:rsidP="00A17926">
      <w:pPr>
        <w:spacing w:after="120"/>
        <w:jc w:val="left"/>
        <w:rPr>
          <w:rFonts w:eastAsia="Calibri" w:cs="Arial"/>
          <w:b/>
          <w:sz w:val="20"/>
        </w:rPr>
      </w:pPr>
    </w:p>
    <w:p w14:paraId="1F7C066A" w14:textId="77777777" w:rsidR="00A17926" w:rsidRPr="00A17926" w:rsidRDefault="00A17926" w:rsidP="009234BC">
      <w:pPr>
        <w:pStyle w:val="Heading4"/>
        <w:rPr>
          <w:rFonts w:eastAsia="Calibri"/>
        </w:rPr>
      </w:pPr>
      <w:r w:rsidRPr="00A17926">
        <w:rPr>
          <w:rFonts w:eastAsia="Calibri"/>
        </w:rPr>
        <w:lastRenderedPageBreak/>
        <w:t>Expenditures</w:t>
      </w:r>
    </w:p>
    <w:p w14:paraId="740ED85C" w14:textId="49FB953A" w:rsidR="00A17926" w:rsidRPr="00A17926" w:rsidRDefault="00A17926" w:rsidP="00A17926">
      <w:pPr>
        <w:spacing w:after="200"/>
        <w:rPr>
          <w:rFonts w:eastAsia="Calibri" w:cs="Times New Roman"/>
          <w:lang w:eastAsia="en-US"/>
        </w:rPr>
      </w:pPr>
      <w:r w:rsidRPr="00216D47">
        <w:rPr>
          <w:rFonts w:eastAsia="Calibri" w:cs="Times New Roman"/>
          <w:lang w:eastAsia="en-US"/>
        </w:rPr>
        <w:fldChar w:fldCharType="begin"/>
      </w:r>
      <w:r w:rsidRPr="00216D47">
        <w:rPr>
          <w:rFonts w:eastAsia="Calibri" w:cs="Times New Roman"/>
          <w:lang w:eastAsia="en-US"/>
        </w:rPr>
        <w:instrText xml:space="preserve"> REF _Ref456013610 \h </w:instrText>
      </w:r>
      <w:r w:rsidR="006A3A68" w:rsidRPr="00216D47">
        <w:rPr>
          <w:rFonts w:eastAsia="Calibri" w:cs="Times New Roman"/>
          <w:lang w:eastAsia="en-US"/>
        </w:rPr>
        <w:instrText xml:space="preserve"> \* MERGEFORMAT </w:instrText>
      </w:r>
      <w:r w:rsidRPr="00216D47">
        <w:rPr>
          <w:rFonts w:eastAsia="Calibri" w:cs="Times New Roman"/>
          <w:lang w:eastAsia="en-US"/>
        </w:rPr>
      </w:r>
      <w:r w:rsidRPr="00216D47">
        <w:rPr>
          <w:rFonts w:eastAsia="Calibri" w:cs="Times New Roman"/>
          <w:lang w:eastAsia="en-US"/>
        </w:rPr>
        <w:fldChar w:fldCharType="separate"/>
      </w:r>
      <w:r w:rsidR="008209A2" w:rsidRPr="008209A2">
        <w:rPr>
          <w:rFonts w:eastAsia="Calibri" w:cs="Times New Roman"/>
          <w:iCs/>
          <w:lang w:eastAsia="en-US"/>
        </w:rPr>
        <w:t xml:space="preserve">Figure </w:t>
      </w:r>
      <w:r w:rsidR="008209A2" w:rsidRPr="008209A2">
        <w:rPr>
          <w:rFonts w:eastAsia="Calibri" w:cs="Times New Roman"/>
          <w:iCs/>
          <w:noProof/>
          <w:lang w:eastAsia="en-US"/>
        </w:rPr>
        <w:t>28</w:t>
      </w:r>
      <w:r w:rsidRPr="00216D47">
        <w:rPr>
          <w:rFonts w:eastAsia="Calibri" w:cs="Times New Roman"/>
          <w:lang w:eastAsia="en-US"/>
        </w:rPr>
        <w:fldChar w:fldCharType="end"/>
      </w:r>
      <w:r w:rsidRPr="00216D47">
        <w:rPr>
          <w:rFonts w:eastAsia="Calibri" w:cs="Times New Roman"/>
          <w:lang w:eastAsia="en-US"/>
        </w:rPr>
        <w:t xml:space="preserve"> </w:t>
      </w:r>
      <w:r w:rsidRPr="00A17926">
        <w:rPr>
          <w:rFonts w:eastAsia="Calibri" w:cs="Times New Roman"/>
          <w:lang w:eastAsia="en-US"/>
        </w:rPr>
        <w:t>shows</w:t>
      </w:r>
      <w:r w:rsidR="006A3A68">
        <w:rPr>
          <w:rFonts w:eastAsia="Calibri" w:cs="Times New Roman"/>
          <w:lang w:eastAsia="en-US"/>
        </w:rPr>
        <w:t xml:space="preserve"> in tabular format</w:t>
      </w:r>
      <w:r w:rsidRPr="00A17926">
        <w:rPr>
          <w:rFonts w:eastAsia="Calibri" w:cs="Times New Roman"/>
          <w:lang w:eastAsia="en-US"/>
        </w:rPr>
        <w:t xml:space="preserve"> actual PFD expenses for the period FY 2011 through FY 2015 and amended FY 2016 according to </w:t>
      </w:r>
      <w:r w:rsidR="006A3A68">
        <w:rPr>
          <w:rFonts w:eastAsia="Calibri" w:cs="Times New Roman"/>
          <w:lang w:eastAsia="en-US"/>
        </w:rPr>
        <w:t xml:space="preserve">PFD </w:t>
      </w:r>
      <w:r w:rsidRPr="00A17926">
        <w:rPr>
          <w:rFonts w:eastAsia="Calibri" w:cs="Times New Roman"/>
          <w:lang w:eastAsia="en-US"/>
        </w:rPr>
        <w:t xml:space="preserve">budget records.  As with revenue, expenses are shown separately for the General Fund fire budget and the </w:t>
      </w:r>
      <w:r w:rsidR="00216D47" w:rsidRPr="00216D47">
        <w:rPr>
          <w:rFonts w:eastAsia="Calibri" w:cs="Times New Roman"/>
          <w:lang w:eastAsia="en-US"/>
        </w:rPr>
        <w:t>Utility Fund</w:t>
      </w:r>
      <w:r w:rsidRPr="00A17926">
        <w:rPr>
          <w:rFonts w:eastAsia="Calibri" w:cs="Times New Roman"/>
          <w:lang w:eastAsia="en-US"/>
        </w:rPr>
        <w:t xml:space="preserve"> </w:t>
      </w:r>
      <w:r w:rsidR="006A3A68" w:rsidRPr="00A17926">
        <w:rPr>
          <w:rFonts w:eastAsia="Calibri" w:cs="Times New Roman"/>
          <w:lang w:eastAsia="en-US"/>
        </w:rPr>
        <w:t xml:space="preserve">ambulance </w:t>
      </w:r>
      <w:r w:rsidRPr="00A17926">
        <w:rPr>
          <w:rFonts w:eastAsia="Calibri" w:cs="Times New Roman"/>
          <w:lang w:eastAsia="en-US"/>
        </w:rPr>
        <w:t xml:space="preserve">budget.  </w:t>
      </w:r>
    </w:p>
    <w:p w14:paraId="788F490A" w14:textId="6F28B79C" w:rsidR="00A17926" w:rsidRPr="00A17926" w:rsidRDefault="00A17926" w:rsidP="00574D69">
      <w:pPr>
        <w:pStyle w:val="Caption"/>
      </w:pPr>
      <w:bookmarkStart w:id="113" w:name="_Ref456013610"/>
      <w:bookmarkStart w:id="114" w:name="_Toc464323670"/>
      <w:r w:rsidRPr="00A17926">
        <w:t xml:space="preserve">Figure </w:t>
      </w:r>
      <w:r w:rsidR="00432AD4">
        <w:fldChar w:fldCharType="begin"/>
      </w:r>
      <w:r w:rsidR="00432AD4">
        <w:instrText xml:space="preserve"> SEQ Figure \* ARABIC </w:instrText>
      </w:r>
      <w:r w:rsidR="00432AD4">
        <w:fldChar w:fldCharType="separate"/>
      </w:r>
      <w:r w:rsidR="008209A2">
        <w:rPr>
          <w:noProof/>
        </w:rPr>
        <w:t>28</w:t>
      </w:r>
      <w:r w:rsidR="00432AD4">
        <w:rPr>
          <w:noProof/>
        </w:rPr>
        <w:fldChar w:fldCharType="end"/>
      </w:r>
      <w:bookmarkEnd w:id="113"/>
      <w:r w:rsidRPr="00A17926">
        <w:t>: Pasco Fire Department Expenditures (Fire and Ambulance)</w:t>
      </w:r>
      <w:r w:rsidR="005232AD">
        <w:t>, FY 2011 – FY 2016</w:t>
      </w:r>
      <w:r w:rsidR="00596983">
        <w:t xml:space="preserve"> – Tabular Format</w:t>
      </w:r>
      <w:bookmarkEnd w:id="114"/>
    </w:p>
    <w:p w14:paraId="2BF1FC25" w14:textId="77777777" w:rsidR="00A17926" w:rsidRPr="00A17926" w:rsidRDefault="00A17926" w:rsidP="00A17926">
      <w:pPr>
        <w:spacing w:after="0"/>
        <w:rPr>
          <w:rFonts w:eastAsia="Calibri" w:cs="Times New Roman"/>
          <w:lang w:eastAsia="en-US"/>
        </w:rPr>
      </w:pPr>
      <w:r w:rsidRPr="00A17926">
        <w:rPr>
          <w:rFonts w:eastAsia="Calibri" w:cs="Times New Roman"/>
          <w:noProof/>
          <w:sz w:val="20"/>
          <w:szCs w:val="20"/>
          <w:lang w:eastAsia="en-US"/>
        </w:rPr>
        <w:drawing>
          <wp:inline distT="0" distB="0" distL="0" distR="0" wp14:anchorId="75E65F49" wp14:editId="21E25E72">
            <wp:extent cx="5943600" cy="2409986"/>
            <wp:effectExtent l="0" t="0" r="0" b="952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43600" cy="2409986"/>
                    </a:xfrm>
                    <a:prstGeom prst="rect">
                      <a:avLst/>
                    </a:prstGeom>
                    <a:noFill/>
                    <a:ln>
                      <a:noFill/>
                    </a:ln>
                  </pic:spPr>
                </pic:pic>
              </a:graphicData>
            </a:graphic>
          </wp:inline>
        </w:drawing>
      </w:r>
    </w:p>
    <w:p w14:paraId="7D62E67D" w14:textId="731D5E5B" w:rsidR="00A17926" w:rsidRPr="006A3A68" w:rsidRDefault="00A17926" w:rsidP="006A3A68">
      <w:pPr>
        <w:spacing w:after="240" w:line="240" w:lineRule="auto"/>
        <w:jc w:val="left"/>
        <w:rPr>
          <w:rFonts w:eastAsia="Calibri" w:cs="Arial"/>
          <w:i/>
          <w:sz w:val="20"/>
        </w:rPr>
      </w:pPr>
      <w:r w:rsidRPr="006A3A68">
        <w:rPr>
          <w:rFonts w:eastAsia="Calibri" w:cs="Arial"/>
          <w:i/>
          <w:sz w:val="20"/>
        </w:rPr>
        <w:t>Source:  Departmental Audited and Adopted Budget Documents</w:t>
      </w:r>
    </w:p>
    <w:p w14:paraId="56313B73" w14:textId="2BF1240C" w:rsidR="00A17926" w:rsidRPr="00A17926" w:rsidRDefault="006A3A68" w:rsidP="006A3A68">
      <w:pPr>
        <w:spacing w:after="0"/>
        <w:jc w:val="left"/>
        <w:rPr>
          <w:rFonts w:eastAsia="Calibri" w:cs="Arial"/>
        </w:rPr>
      </w:pPr>
      <w:r>
        <w:rPr>
          <w:rFonts w:eastAsia="Calibri" w:cs="Arial"/>
        </w:rPr>
        <w:t xml:space="preserve">The following figure </w:t>
      </w:r>
      <w:r w:rsidR="00A17926" w:rsidRPr="00A17926">
        <w:rPr>
          <w:rFonts w:eastAsia="Calibri" w:cs="Arial"/>
        </w:rPr>
        <w:t xml:space="preserve">shows total expenses for each budget (fire in red bars, ambulance in blue bars) and then the total expenditures for the </w:t>
      </w:r>
      <w:r w:rsidRPr="00A17926">
        <w:rPr>
          <w:rFonts w:eastAsia="Calibri" w:cs="Arial"/>
        </w:rPr>
        <w:t xml:space="preserve">Department </w:t>
      </w:r>
      <w:r w:rsidR="00A17926" w:rsidRPr="00A17926">
        <w:rPr>
          <w:rFonts w:eastAsia="Calibri" w:cs="Arial"/>
        </w:rPr>
        <w:t>in the green dashed line for the period FY 2011 through FY 2016.</w:t>
      </w:r>
    </w:p>
    <w:p w14:paraId="39C2964D" w14:textId="64BA4F0E" w:rsidR="00A17926" w:rsidRPr="00A17926" w:rsidRDefault="00A17926" w:rsidP="00AC0254">
      <w:pPr>
        <w:numPr>
          <w:ilvl w:val="0"/>
          <w:numId w:val="52"/>
        </w:numPr>
        <w:spacing w:after="120" w:line="240" w:lineRule="auto"/>
        <w:rPr>
          <w:rFonts w:eastAsia="Calibri" w:cs="Arial"/>
        </w:rPr>
      </w:pPr>
      <w:r w:rsidRPr="00A17926">
        <w:rPr>
          <w:rFonts w:eastAsia="Calibri" w:cs="Arial"/>
        </w:rPr>
        <w:t xml:space="preserve">The </w:t>
      </w:r>
      <w:r w:rsidR="006A3A68" w:rsidRPr="00A17926">
        <w:rPr>
          <w:rFonts w:eastAsia="Calibri" w:cs="Arial"/>
        </w:rPr>
        <w:t>Department</w:t>
      </w:r>
      <w:r w:rsidR="006A3A68">
        <w:rPr>
          <w:rFonts w:eastAsia="Calibri" w:cs="Arial"/>
        </w:rPr>
        <w:t>’s</w:t>
      </w:r>
      <w:r w:rsidR="006A3A68" w:rsidRPr="00A17926">
        <w:rPr>
          <w:rFonts w:eastAsia="Calibri" w:cs="Arial"/>
        </w:rPr>
        <w:t xml:space="preserve"> </w:t>
      </w:r>
      <w:r w:rsidRPr="00A17926">
        <w:rPr>
          <w:rFonts w:eastAsia="Calibri" w:cs="Arial"/>
        </w:rPr>
        <w:t>total recurring expenditures increased from $6,967,542 in FY 2011 to $11,172,298 in FY 2016, an increase of 60.3 percent or average of 10.4 percent per year.</w:t>
      </w:r>
    </w:p>
    <w:p w14:paraId="790CD48C" w14:textId="77777777" w:rsidR="00A17926" w:rsidRPr="00A17926" w:rsidRDefault="00A17926" w:rsidP="00AC0254">
      <w:pPr>
        <w:numPr>
          <w:ilvl w:val="0"/>
          <w:numId w:val="52"/>
        </w:numPr>
        <w:spacing w:after="120" w:line="240" w:lineRule="auto"/>
        <w:rPr>
          <w:rFonts w:eastAsia="Calibri" w:cs="Arial"/>
        </w:rPr>
      </w:pPr>
      <w:r w:rsidRPr="00A17926">
        <w:rPr>
          <w:rFonts w:eastAsia="Calibri" w:cs="Arial"/>
        </w:rPr>
        <w:t>The fire budget increased from $4,280,872 in FY 2011 to $5,602,747 in FY 2016, an increase of 30.9 percent or average of 6.6 percent annually.</w:t>
      </w:r>
    </w:p>
    <w:p w14:paraId="7C42F11F" w14:textId="77777777" w:rsidR="00A17926" w:rsidRPr="00A17926" w:rsidRDefault="00A17926" w:rsidP="00AC0254">
      <w:pPr>
        <w:numPr>
          <w:ilvl w:val="0"/>
          <w:numId w:val="52"/>
        </w:numPr>
        <w:spacing w:after="120" w:line="240" w:lineRule="auto"/>
        <w:rPr>
          <w:rFonts w:eastAsia="Calibri" w:cs="Arial"/>
        </w:rPr>
      </w:pPr>
      <w:r w:rsidRPr="00A17926">
        <w:rPr>
          <w:rFonts w:eastAsia="Calibri" w:cs="Arial"/>
        </w:rPr>
        <w:t>The ambulance budget increased from $2,686,670 in FY 2011 to $5,569,551 in FY 2016, an increase of 107 percent or average increase of 16.7 percent annually.</w:t>
      </w:r>
    </w:p>
    <w:p w14:paraId="2F29329E" w14:textId="07A2219B" w:rsidR="00A17926" w:rsidRPr="00A17926" w:rsidRDefault="00A17926" w:rsidP="005232AD">
      <w:pPr>
        <w:pStyle w:val="Caption"/>
      </w:pPr>
      <w:bookmarkStart w:id="115" w:name="_Ref456013660"/>
      <w:bookmarkStart w:id="116" w:name="_Toc464323671"/>
      <w:r w:rsidRPr="00A17926">
        <w:lastRenderedPageBreak/>
        <w:t xml:space="preserve">Figure </w:t>
      </w:r>
      <w:r w:rsidR="00432AD4">
        <w:fldChar w:fldCharType="begin"/>
      </w:r>
      <w:r w:rsidR="00432AD4">
        <w:instrText xml:space="preserve"> SEQ Figure \* ARABIC </w:instrText>
      </w:r>
      <w:r w:rsidR="00432AD4">
        <w:fldChar w:fldCharType="separate"/>
      </w:r>
      <w:r w:rsidR="008209A2">
        <w:rPr>
          <w:noProof/>
        </w:rPr>
        <w:t>29</w:t>
      </w:r>
      <w:r w:rsidR="00432AD4">
        <w:rPr>
          <w:noProof/>
        </w:rPr>
        <w:fldChar w:fldCharType="end"/>
      </w:r>
      <w:bookmarkEnd w:id="115"/>
      <w:r w:rsidRPr="00A17926">
        <w:t>: Expenditures (Fire and Ambulance)</w:t>
      </w:r>
      <w:r w:rsidR="005232AD">
        <w:t>, FY 2011 - FY 2016</w:t>
      </w:r>
      <w:r w:rsidR="00596983">
        <w:t xml:space="preserve"> – Graph</w:t>
      </w:r>
      <w:r w:rsidR="00216D47">
        <w:t>ic</w:t>
      </w:r>
      <w:r w:rsidR="00596983">
        <w:t xml:space="preserve"> Format</w:t>
      </w:r>
      <w:bookmarkEnd w:id="116"/>
    </w:p>
    <w:p w14:paraId="5A8790B8" w14:textId="77777777" w:rsidR="00A17926" w:rsidRPr="00A17926" w:rsidRDefault="00A17926" w:rsidP="007975EC">
      <w:pPr>
        <w:spacing w:after="0"/>
        <w:jc w:val="center"/>
        <w:rPr>
          <w:rFonts w:eastAsia="Calibri" w:cs="Times New Roman"/>
          <w:lang w:eastAsia="en-US"/>
        </w:rPr>
      </w:pPr>
      <w:r w:rsidRPr="00A17926">
        <w:rPr>
          <w:rFonts w:eastAsia="Calibri" w:cs="Times New Roman"/>
          <w:noProof/>
          <w:lang w:eastAsia="en-US"/>
        </w:rPr>
        <w:drawing>
          <wp:inline distT="0" distB="0" distL="0" distR="0" wp14:anchorId="044DF6B0" wp14:editId="438AB553">
            <wp:extent cx="5257800" cy="2943225"/>
            <wp:effectExtent l="0" t="0" r="0" b="9525"/>
            <wp:docPr id="85" name="Chart 85"/>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1DC7BAF6" w14:textId="07505442" w:rsidR="00A17926" w:rsidRPr="005232AD" w:rsidRDefault="00A17926" w:rsidP="005232AD">
      <w:pPr>
        <w:spacing w:after="240" w:line="240" w:lineRule="auto"/>
        <w:jc w:val="left"/>
        <w:rPr>
          <w:rFonts w:eastAsia="Calibri" w:cs="Arial"/>
          <w:i/>
          <w:sz w:val="20"/>
        </w:rPr>
      </w:pPr>
      <w:r w:rsidRPr="005232AD">
        <w:rPr>
          <w:rFonts w:eastAsia="Calibri" w:cs="Arial"/>
          <w:i/>
          <w:sz w:val="20"/>
        </w:rPr>
        <w:t>Source:  Departmental Audited and Adopted Budget Documents</w:t>
      </w:r>
    </w:p>
    <w:p w14:paraId="125C3A39" w14:textId="04E535BB" w:rsidR="00A17926" w:rsidRPr="00A17926" w:rsidRDefault="00A17926" w:rsidP="00AC0254">
      <w:pPr>
        <w:spacing w:after="0"/>
        <w:rPr>
          <w:rFonts w:eastAsia="Calibri" w:cs="Arial"/>
        </w:rPr>
      </w:pPr>
      <w:r w:rsidRPr="00216D47">
        <w:rPr>
          <w:rFonts w:eastAsia="Calibri" w:cs="Arial"/>
        </w:rPr>
        <w:fldChar w:fldCharType="begin"/>
      </w:r>
      <w:r w:rsidRPr="00216D47">
        <w:rPr>
          <w:rFonts w:eastAsia="Calibri" w:cs="Arial"/>
        </w:rPr>
        <w:instrText xml:space="preserve"> REF _Ref456013683 \h </w:instrText>
      </w:r>
      <w:r w:rsidR="005232AD" w:rsidRPr="00216D47">
        <w:rPr>
          <w:rFonts w:eastAsia="Calibri" w:cs="Arial"/>
        </w:rPr>
        <w:instrText xml:space="preserve"> \* MERGEFORMAT </w:instrText>
      </w:r>
      <w:r w:rsidRPr="00216D47">
        <w:rPr>
          <w:rFonts w:eastAsia="Calibri" w:cs="Arial"/>
        </w:rPr>
      </w:r>
      <w:r w:rsidRPr="00216D47">
        <w:rPr>
          <w:rFonts w:eastAsia="Calibri" w:cs="Arial"/>
        </w:rPr>
        <w:fldChar w:fldCharType="separate"/>
      </w:r>
      <w:r w:rsidR="008209A2" w:rsidRPr="008209A2">
        <w:rPr>
          <w:rFonts w:eastAsia="Calibri" w:cs="Times New Roman"/>
          <w:iCs/>
          <w:lang w:eastAsia="en-US"/>
        </w:rPr>
        <w:t xml:space="preserve">Figure </w:t>
      </w:r>
      <w:r w:rsidR="008209A2" w:rsidRPr="008209A2">
        <w:rPr>
          <w:rFonts w:eastAsia="Calibri" w:cs="Times New Roman"/>
          <w:iCs/>
          <w:noProof/>
          <w:lang w:eastAsia="en-US"/>
        </w:rPr>
        <w:t>30</w:t>
      </w:r>
      <w:r w:rsidRPr="00216D47">
        <w:rPr>
          <w:rFonts w:eastAsia="Calibri" w:cs="Arial"/>
        </w:rPr>
        <w:fldChar w:fldCharType="end"/>
      </w:r>
      <w:r w:rsidRPr="00A17926">
        <w:rPr>
          <w:rFonts w:eastAsia="Calibri" w:cs="Arial"/>
        </w:rPr>
        <w:t xml:space="preserve"> shows the relative proportion of departmental expenses allocated to each budget from FY 2011 through FY 2016.  </w:t>
      </w:r>
    </w:p>
    <w:p w14:paraId="773261CA" w14:textId="0C2D4020" w:rsidR="00A17926" w:rsidRPr="00A17926" w:rsidRDefault="00A17926" w:rsidP="00AC0254">
      <w:pPr>
        <w:numPr>
          <w:ilvl w:val="0"/>
          <w:numId w:val="53"/>
        </w:numPr>
        <w:spacing w:after="120" w:line="240" w:lineRule="auto"/>
        <w:rPr>
          <w:rFonts w:eastAsia="Calibri" w:cs="Arial"/>
        </w:rPr>
      </w:pPr>
      <w:r w:rsidRPr="00A17926">
        <w:rPr>
          <w:rFonts w:eastAsia="Calibri" w:cs="Arial"/>
        </w:rPr>
        <w:t xml:space="preserve">From FY 2011 through FY 2016, fire expenditures have generally averaged 60 percent of the total </w:t>
      </w:r>
      <w:r w:rsidR="005232AD" w:rsidRPr="00A17926">
        <w:rPr>
          <w:rFonts w:eastAsia="Calibri" w:cs="Arial"/>
        </w:rPr>
        <w:t xml:space="preserve">Department </w:t>
      </w:r>
      <w:r w:rsidRPr="00A17926">
        <w:rPr>
          <w:rFonts w:eastAsia="Calibri" w:cs="Arial"/>
        </w:rPr>
        <w:t xml:space="preserve">expenditures while ambulance expenditures have averaged 40 percent.  </w:t>
      </w:r>
    </w:p>
    <w:p w14:paraId="62DE6E5A" w14:textId="77777777" w:rsidR="00A17926" w:rsidRPr="00A17926" w:rsidRDefault="00A17926" w:rsidP="00AC0254">
      <w:pPr>
        <w:numPr>
          <w:ilvl w:val="0"/>
          <w:numId w:val="53"/>
        </w:numPr>
        <w:spacing w:after="240" w:line="240" w:lineRule="auto"/>
        <w:rPr>
          <w:rFonts w:eastAsia="Calibri" w:cs="Arial"/>
        </w:rPr>
      </w:pPr>
      <w:r w:rsidRPr="00A17926">
        <w:rPr>
          <w:rFonts w:eastAsia="Calibri" w:cs="Arial"/>
        </w:rPr>
        <w:t xml:space="preserve">As of FY 2016, expenses have been balanced almost equally between the two budgets.  </w:t>
      </w:r>
    </w:p>
    <w:p w14:paraId="37F6CBAD" w14:textId="46988664" w:rsidR="00A17926" w:rsidRPr="00A17926" w:rsidRDefault="00A17926" w:rsidP="005232AD">
      <w:pPr>
        <w:pStyle w:val="Caption"/>
      </w:pPr>
      <w:bookmarkStart w:id="117" w:name="_Ref456013683"/>
      <w:bookmarkStart w:id="118" w:name="_Toc464323672"/>
      <w:r w:rsidRPr="00A17926">
        <w:t xml:space="preserve">Figure </w:t>
      </w:r>
      <w:r w:rsidR="00432AD4">
        <w:fldChar w:fldCharType="begin"/>
      </w:r>
      <w:r w:rsidR="00432AD4">
        <w:instrText xml:space="preserve"> SEQ Figure \* ARABIC </w:instrText>
      </w:r>
      <w:r w:rsidR="00432AD4">
        <w:fldChar w:fldCharType="separate"/>
      </w:r>
      <w:r w:rsidR="008209A2">
        <w:rPr>
          <w:noProof/>
        </w:rPr>
        <w:t>30</w:t>
      </w:r>
      <w:r w:rsidR="00432AD4">
        <w:rPr>
          <w:noProof/>
        </w:rPr>
        <w:fldChar w:fldCharType="end"/>
      </w:r>
      <w:bookmarkEnd w:id="117"/>
      <w:r w:rsidR="00596983">
        <w:t xml:space="preserve">: </w:t>
      </w:r>
      <w:r w:rsidRPr="00A17926">
        <w:t>Fire and Ambulance Expenses as a Percentage of Total Department Expenses</w:t>
      </w:r>
      <w:r w:rsidR="005232AD">
        <w:t>, FY 2011 - FY 2016</w:t>
      </w:r>
      <w:bookmarkEnd w:id="118"/>
    </w:p>
    <w:p w14:paraId="11F06FBC" w14:textId="77777777" w:rsidR="00A17926" w:rsidRPr="00A17926" w:rsidRDefault="00A17926" w:rsidP="005232AD">
      <w:pPr>
        <w:spacing w:after="0"/>
        <w:jc w:val="center"/>
        <w:rPr>
          <w:rFonts w:eastAsia="Calibri" w:cs="Times New Roman"/>
          <w:lang w:eastAsia="en-US"/>
        </w:rPr>
      </w:pPr>
      <w:r w:rsidRPr="00A17926">
        <w:rPr>
          <w:rFonts w:eastAsia="Calibri" w:cs="Times New Roman"/>
          <w:noProof/>
          <w:lang w:eastAsia="en-US"/>
        </w:rPr>
        <w:drawing>
          <wp:inline distT="0" distB="0" distL="0" distR="0" wp14:anchorId="3D1A7685" wp14:editId="3B5AFDA8">
            <wp:extent cx="4962525" cy="2990850"/>
            <wp:effectExtent l="0" t="0" r="9525" b="0"/>
            <wp:docPr id="86" name="Chart 86"/>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4FFB4880" w14:textId="10BBC407" w:rsidR="00A17926" w:rsidRPr="005232AD" w:rsidRDefault="00A17926" w:rsidP="005232AD">
      <w:pPr>
        <w:spacing w:after="240" w:line="240" w:lineRule="auto"/>
        <w:jc w:val="left"/>
        <w:rPr>
          <w:rFonts w:eastAsia="Calibri" w:cs="Arial"/>
          <w:i/>
          <w:sz w:val="20"/>
        </w:rPr>
      </w:pPr>
      <w:r w:rsidRPr="005232AD">
        <w:rPr>
          <w:rFonts w:eastAsia="Calibri" w:cs="Arial"/>
          <w:i/>
          <w:sz w:val="20"/>
        </w:rPr>
        <w:t>Source:  Departmental Audited and Adopted Budget Documents</w:t>
      </w:r>
    </w:p>
    <w:p w14:paraId="1FD5E487" w14:textId="77777777" w:rsidR="00DC4461" w:rsidRPr="00A17926" w:rsidRDefault="00DC4461" w:rsidP="00DC4461">
      <w:pPr>
        <w:spacing w:after="200"/>
        <w:rPr>
          <w:rFonts w:eastAsia="Calibri" w:cs="Arial"/>
        </w:rPr>
      </w:pPr>
      <w:r w:rsidRPr="00A17926">
        <w:rPr>
          <w:rFonts w:eastAsia="Calibri" w:cs="Arial"/>
        </w:rPr>
        <w:lastRenderedPageBreak/>
        <w:t xml:space="preserve">The allocation of expenses between the General Fund fire budget and the ambulance utility budget are beginning to more closely approximate the allocation based upon call volume and time spent on calls as discussed by the FCS Group in </w:t>
      </w:r>
      <w:r>
        <w:rPr>
          <w:rFonts w:eastAsia="Calibri" w:cs="Arial"/>
        </w:rPr>
        <w:t>its</w:t>
      </w:r>
      <w:r w:rsidRPr="00A17926">
        <w:rPr>
          <w:rFonts w:eastAsia="Calibri" w:cs="Arial"/>
        </w:rPr>
        <w:t xml:space="preserve"> November 2015 rate study.  In simple terms, since almost 80 percent of emergency calls responded to by the Department are EMS</w:t>
      </w:r>
      <w:r>
        <w:rPr>
          <w:rFonts w:eastAsia="Calibri" w:cs="Arial"/>
        </w:rPr>
        <w:t>-</w:t>
      </w:r>
      <w:r w:rsidRPr="00A17926">
        <w:rPr>
          <w:rFonts w:eastAsia="Calibri" w:cs="Arial"/>
        </w:rPr>
        <w:t>related, then more of the expenses than 40 percent should appropriately be allocated to the ambulance budget.  The City is moving in this direction</w:t>
      </w:r>
      <w:r>
        <w:rPr>
          <w:rFonts w:eastAsia="Calibri" w:cs="Arial"/>
        </w:rPr>
        <w:t>,</w:t>
      </w:r>
      <w:r w:rsidRPr="00A17926">
        <w:rPr>
          <w:rFonts w:eastAsia="Calibri" w:cs="Arial"/>
        </w:rPr>
        <w:t xml:space="preserve"> which will continue to relieve pressure on the General Fund.</w:t>
      </w:r>
    </w:p>
    <w:p w14:paraId="45352E04" w14:textId="37E056A8" w:rsidR="005232AD" w:rsidRDefault="00A17926" w:rsidP="007C23FF">
      <w:pPr>
        <w:pStyle w:val="Caption"/>
        <w:rPr>
          <w:rFonts w:eastAsia="Calibri" w:cs="Arial"/>
        </w:rPr>
      </w:pPr>
      <w:bookmarkStart w:id="119" w:name="_Toc464323673"/>
      <w:r w:rsidRPr="00A17926">
        <w:t xml:space="preserve">Figure </w:t>
      </w:r>
      <w:r w:rsidR="007975EC">
        <w:rPr>
          <w:b w:val="0"/>
          <w:bCs w:val="0"/>
        </w:rPr>
        <w:fldChar w:fldCharType="begin"/>
      </w:r>
      <w:r w:rsidR="007975EC">
        <w:rPr>
          <w:b w:val="0"/>
          <w:bCs w:val="0"/>
        </w:rPr>
        <w:instrText xml:space="preserve"> SEQ Figure \* ARABIC </w:instrText>
      </w:r>
      <w:r w:rsidR="007975EC">
        <w:rPr>
          <w:b w:val="0"/>
          <w:bCs w:val="0"/>
        </w:rPr>
        <w:fldChar w:fldCharType="separate"/>
      </w:r>
      <w:r w:rsidR="008209A2">
        <w:rPr>
          <w:b w:val="0"/>
          <w:bCs w:val="0"/>
          <w:noProof/>
        </w:rPr>
        <w:t>31</w:t>
      </w:r>
      <w:r w:rsidR="007975EC">
        <w:rPr>
          <w:rFonts w:ascii="Calibri" w:hAnsi="Calibri" w:cstheme="minorBidi"/>
          <w:b w:val="0"/>
          <w:bCs w:val="0"/>
          <w:noProof/>
          <w:sz w:val="22"/>
          <w:szCs w:val="22"/>
          <w:lang w:eastAsia="ja-JP"/>
        </w:rPr>
        <w:fldChar w:fldCharType="end"/>
      </w:r>
      <w:r w:rsidR="00596983">
        <w:t xml:space="preserve">: </w:t>
      </w:r>
      <w:r w:rsidRPr="00A17926">
        <w:t>Combined Fire and Ambulance Wages and Benefits</w:t>
      </w:r>
      <w:r w:rsidR="005232AD">
        <w:t>,</w:t>
      </w:r>
      <w:r w:rsidRPr="00A17926">
        <w:t xml:space="preserve"> FY 2011</w:t>
      </w:r>
      <w:r w:rsidR="005232AD">
        <w:t xml:space="preserve"> </w:t>
      </w:r>
      <w:r w:rsidRPr="00A17926">
        <w:t>-</w:t>
      </w:r>
      <w:r w:rsidR="005232AD">
        <w:t xml:space="preserve"> </w:t>
      </w:r>
      <w:r w:rsidRPr="00A17926">
        <w:t>2016</w:t>
      </w:r>
      <w:bookmarkEnd w:id="119"/>
    </w:p>
    <w:p w14:paraId="3C908BF3" w14:textId="1801EEA2" w:rsidR="00DC4461" w:rsidRDefault="00DC4461" w:rsidP="007857F7">
      <w:pPr>
        <w:spacing w:after="0" w:line="240" w:lineRule="auto"/>
        <w:jc w:val="center"/>
        <w:rPr>
          <w:rFonts w:eastAsia="Calibri" w:cs="Arial"/>
          <w:i/>
          <w:sz w:val="20"/>
        </w:rPr>
      </w:pPr>
      <w:r>
        <w:rPr>
          <w:noProof/>
          <w:lang w:eastAsia="en-US"/>
        </w:rPr>
        <w:drawing>
          <wp:inline distT="0" distB="0" distL="0" distR="0" wp14:anchorId="79291E2D" wp14:editId="556E174C">
            <wp:extent cx="5076825" cy="2724150"/>
            <wp:effectExtent l="0" t="0" r="9525" b="1905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214CBF86" w14:textId="77777777" w:rsidR="00DC4461" w:rsidRDefault="00DC4461" w:rsidP="00DC4461">
      <w:pPr>
        <w:spacing w:after="240" w:line="240" w:lineRule="auto"/>
        <w:jc w:val="left"/>
        <w:rPr>
          <w:rFonts w:eastAsia="Calibri" w:cs="Arial"/>
          <w:i/>
          <w:sz w:val="20"/>
        </w:rPr>
      </w:pPr>
      <w:r w:rsidRPr="005232AD">
        <w:rPr>
          <w:rFonts w:eastAsia="Calibri" w:cs="Arial"/>
          <w:i/>
          <w:sz w:val="20"/>
        </w:rPr>
        <w:t>Source:  Departmental Audited and Adopted Budget Documents</w:t>
      </w:r>
    </w:p>
    <w:p w14:paraId="752A81D9" w14:textId="49C97A42" w:rsidR="004F5319" w:rsidRPr="0053761E" w:rsidRDefault="004F5319" w:rsidP="004F5319">
      <w:pPr>
        <w:numPr>
          <w:ilvl w:val="0"/>
          <w:numId w:val="49"/>
        </w:numPr>
        <w:spacing w:after="200"/>
        <w:contextualSpacing/>
        <w:rPr>
          <w:rFonts w:eastAsia="Calibri" w:cs="Arial"/>
          <w:b/>
          <w:lang w:eastAsia="en-US"/>
        </w:rPr>
      </w:pPr>
      <w:r w:rsidRPr="00A17926">
        <w:rPr>
          <w:rFonts w:eastAsia="Calibri" w:cs="Arial"/>
        </w:rPr>
        <w:t xml:space="preserve">Total fire department wages and benefits </w:t>
      </w:r>
      <w:r>
        <w:rPr>
          <w:rFonts w:eastAsia="Calibri" w:cs="Arial"/>
        </w:rPr>
        <w:t xml:space="preserve">as well as total staff count (FTEs) </w:t>
      </w:r>
      <w:r w:rsidRPr="00A17926">
        <w:rPr>
          <w:rFonts w:eastAsia="Calibri" w:cs="Arial"/>
        </w:rPr>
        <w:t xml:space="preserve">are </w:t>
      </w:r>
      <w:r>
        <w:rPr>
          <w:rFonts w:eastAsia="Calibri" w:cs="Arial"/>
        </w:rPr>
        <w:t>provided</w:t>
      </w:r>
      <w:r w:rsidRPr="00A17926">
        <w:rPr>
          <w:rFonts w:eastAsia="Calibri" w:cs="Arial"/>
        </w:rPr>
        <w:t xml:space="preserve"> in </w:t>
      </w:r>
      <w:r>
        <w:rPr>
          <w:rFonts w:eastAsia="Calibri" w:cs="Arial"/>
        </w:rPr>
        <w:t>Figure 31 above</w:t>
      </w:r>
      <w:r w:rsidRPr="00A17926">
        <w:rPr>
          <w:rFonts w:eastAsia="Calibri" w:cs="Arial"/>
        </w:rPr>
        <w:t>.</w:t>
      </w:r>
      <w:r>
        <w:rPr>
          <w:rFonts w:eastAsia="Calibri" w:cs="Arial"/>
        </w:rPr>
        <w:t xml:space="preserve">  </w:t>
      </w:r>
      <w:r w:rsidRPr="00A17926">
        <w:rPr>
          <w:rFonts w:eastAsia="Calibri" w:cs="Arial"/>
        </w:rPr>
        <w:t>Wages include regular, specialty and other pay as well as overtime pay.</w:t>
      </w:r>
      <w:r>
        <w:rPr>
          <w:rFonts w:eastAsia="Calibri" w:cs="Arial"/>
        </w:rPr>
        <w:t xml:space="preserve">  Fiscal Year 2013 reflects a significant retroactive wage increase, as well as the addition of several positions, accounting for the spike.  The annual increase observed in wages and benefits reflects the addition and/or reclassification of various positions each year as well any annual increases that were applied to both represented and non-represented employees in the department.</w:t>
      </w:r>
    </w:p>
    <w:p w14:paraId="7AC4616F" w14:textId="77777777" w:rsidR="004F5319" w:rsidRPr="0053761E" w:rsidRDefault="004F5319" w:rsidP="004F5319">
      <w:pPr>
        <w:pStyle w:val="ListParagraph"/>
        <w:numPr>
          <w:ilvl w:val="0"/>
          <w:numId w:val="49"/>
        </w:numPr>
        <w:contextualSpacing w:val="0"/>
        <w:rPr>
          <w:rFonts w:eastAsia="Calibri" w:cs="Arial"/>
          <w:b/>
          <w:lang w:eastAsia="en-US"/>
        </w:rPr>
      </w:pPr>
      <w:r w:rsidRPr="00E3214B">
        <w:rPr>
          <w:rFonts w:eastAsia="Calibri" w:cs="Arial"/>
        </w:rPr>
        <w:t>Department wages have increased in a non-linear manner from $4,606,830 in FY 2011 to $6,426,406 in FY 2016, an increase of 39.5 percent or approximately 7.9 percent per year.</w:t>
      </w:r>
    </w:p>
    <w:p w14:paraId="5ADAC60D" w14:textId="3D4A88A3" w:rsidR="004F5319" w:rsidRDefault="004F5319" w:rsidP="004F5319">
      <w:pPr>
        <w:pStyle w:val="ListParagraph"/>
        <w:numPr>
          <w:ilvl w:val="0"/>
          <w:numId w:val="49"/>
        </w:numPr>
        <w:spacing w:after="200"/>
        <w:contextualSpacing w:val="0"/>
        <w:rPr>
          <w:rFonts w:eastAsia="Calibri" w:cs="Arial"/>
          <w:lang w:eastAsia="en-US"/>
        </w:rPr>
      </w:pPr>
      <w:r w:rsidRPr="00BE0B44">
        <w:rPr>
          <w:rFonts w:eastAsia="Calibri" w:cs="Arial"/>
          <w:lang w:eastAsia="en-US"/>
        </w:rPr>
        <w:t xml:space="preserve">Total wages jumped from $4.8 million in FY 2012 to $6.3 million in FY 2013 </w:t>
      </w:r>
      <w:r w:rsidRPr="00E3214B">
        <w:rPr>
          <w:rFonts w:eastAsia="Calibri" w:cs="Arial"/>
          <w:lang w:eastAsia="en-US"/>
        </w:rPr>
        <w:t xml:space="preserve">reflecting </w:t>
      </w:r>
      <w:r w:rsidR="007305DD">
        <w:rPr>
          <w:rFonts w:eastAsia="Calibri" w:cs="Arial"/>
          <w:lang w:eastAsia="en-US"/>
        </w:rPr>
        <w:t>the</w:t>
      </w:r>
      <w:r w:rsidRPr="00E3214B">
        <w:rPr>
          <w:rFonts w:eastAsia="Calibri" w:cs="Arial"/>
          <w:lang w:eastAsia="en-US"/>
        </w:rPr>
        <w:t xml:space="preserve"> retroactive wage increase</w:t>
      </w:r>
      <w:r>
        <w:rPr>
          <w:rFonts w:eastAsia="Calibri" w:cs="Arial"/>
          <w:lang w:eastAsia="en-US"/>
        </w:rPr>
        <w:t xml:space="preserve"> as well as added positions</w:t>
      </w:r>
      <w:r w:rsidRPr="00E3214B">
        <w:rPr>
          <w:rFonts w:eastAsia="Calibri" w:cs="Arial"/>
          <w:lang w:eastAsia="en-US"/>
        </w:rPr>
        <w:t>,</w:t>
      </w:r>
      <w:r>
        <w:rPr>
          <w:rFonts w:eastAsia="Calibri" w:cs="Arial"/>
          <w:lang w:eastAsia="en-US"/>
        </w:rPr>
        <w:t xml:space="preserve"> </w:t>
      </w:r>
      <w:r w:rsidRPr="00E3214B">
        <w:rPr>
          <w:rFonts w:eastAsia="Calibri" w:cs="Arial"/>
          <w:lang w:eastAsia="en-US"/>
        </w:rPr>
        <w:t>but then fell back to just under $5.4 million in FY 2014 before climbing back up to $6.4 million in FY 2015 where they remained for FY 2016 with a slight increase.</w:t>
      </w:r>
    </w:p>
    <w:p w14:paraId="15ECBBC3" w14:textId="77777777" w:rsidR="004F5319" w:rsidRPr="00A17926" w:rsidRDefault="004F5319" w:rsidP="004F5319">
      <w:pPr>
        <w:numPr>
          <w:ilvl w:val="0"/>
          <w:numId w:val="49"/>
        </w:numPr>
        <w:spacing w:after="240"/>
        <w:jc w:val="left"/>
        <w:rPr>
          <w:rFonts w:eastAsia="Calibri" w:cs="Arial"/>
          <w:b/>
          <w:lang w:eastAsia="en-US"/>
        </w:rPr>
      </w:pPr>
      <w:r w:rsidRPr="00A17926">
        <w:rPr>
          <w:rFonts w:eastAsia="Calibri" w:cs="Arial"/>
          <w:lang w:eastAsia="en-US"/>
        </w:rPr>
        <w:t>Departmental benefits on the other hand have increased linearly from FY 2011 to FY 2016.  They were $925,387 in FY 2011 and $1,805,817 in FY 2016 for a total increase of 95.1 percent or average increase of 15.1 percent per year.</w:t>
      </w:r>
    </w:p>
    <w:p w14:paraId="35EBF5EB" w14:textId="77777777" w:rsidR="004F5319" w:rsidRPr="0053761E" w:rsidRDefault="004F5319" w:rsidP="004F5319">
      <w:pPr>
        <w:spacing w:after="240"/>
        <w:rPr>
          <w:rFonts w:eastAsia="Calibri" w:cs="Arial"/>
          <w:lang w:eastAsia="en-US"/>
        </w:rPr>
      </w:pPr>
      <w:r>
        <w:rPr>
          <w:rFonts w:eastAsia="Calibri" w:cs="Arial"/>
          <w:lang w:eastAsia="en-US"/>
        </w:rPr>
        <w:lastRenderedPageBreak/>
        <w:t>Since so many positions have been added and/or reclassified over the period from 2011 through 2016, it is beneficial to discuss the impact of these changes on the Personal Services categories in the fire and ambulance budgets.  This will be significant when reviewing expenditure forecast assumptions later in the study.  The goal of the following analysis is to develop a forecast increase percentage for the wages and benefit line items that can be applied to each budget.</w:t>
      </w:r>
    </w:p>
    <w:p w14:paraId="14921197" w14:textId="1C511272" w:rsidR="001B10C9" w:rsidRDefault="004F5319" w:rsidP="001B10C9">
      <w:pPr>
        <w:numPr>
          <w:ilvl w:val="0"/>
          <w:numId w:val="49"/>
        </w:numPr>
        <w:spacing w:after="200"/>
        <w:contextualSpacing/>
        <w:rPr>
          <w:rFonts w:eastAsia="Calibri" w:cs="Arial"/>
          <w:b/>
          <w:lang w:eastAsia="en-US"/>
        </w:rPr>
      </w:pPr>
      <w:r>
        <w:rPr>
          <w:rFonts w:eastAsia="Calibri" w:cs="Arial"/>
        </w:rPr>
        <w:t>With the exception of 8 line positions (2 in fire and 6 in ambulance)</w:t>
      </w:r>
      <w:r w:rsidR="007305DD">
        <w:rPr>
          <w:rFonts w:eastAsia="Calibri" w:cs="Arial"/>
        </w:rPr>
        <w:t xml:space="preserve"> added</w:t>
      </w:r>
      <w:r>
        <w:rPr>
          <w:rFonts w:eastAsia="Calibri" w:cs="Arial"/>
        </w:rPr>
        <w:t xml:space="preserve"> in 2013 and the subsequent loss of 4 line positions in 2014, overall department staffing has increased from 51.2 to 66.2 between 2011 and 2016.  </w:t>
      </w:r>
      <w:r w:rsidR="007C23FF">
        <w:rPr>
          <w:rFonts w:eastAsia="Calibri" w:cs="Arial"/>
        </w:rPr>
        <w:fldChar w:fldCharType="begin"/>
      </w:r>
      <w:r w:rsidR="007C23FF">
        <w:rPr>
          <w:rFonts w:eastAsia="Calibri" w:cs="Arial"/>
        </w:rPr>
        <w:instrText xml:space="preserve"> REF _Ref464306720 \h </w:instrText>
      </w:r>
      <w:r w:rsidR="007C23FF">
        <w:rPr>
          <w:rFonts w:eastAsia="Calibri" w:cs="Arial"/>
        </w:rPr>
      </w:r>
      <w:r w:rsidR="007C23FF">
        <w:rPr>
          <w:rFonts w:eastAsia="Calibri" w:cs="Arial"/>
        </w:rPr>
        <w:fldChar w:fldCharType="separate"/>
      </w:r>
      <w:r w:rsidR="008209A2">
        <w:t xml:space="preserve">Figure </w:t>
      </w:r>
      <w:r w:rsidR="008209A2">
        <w:rPr>
          <w:noProof/>
        </w:rPr>
        <w:t>32</w:t>
      </w:r>
      <w:r w:rsidR="007C23FF">
        <w:rPr>
          <w:rFonts w:eastAsia="Calibri" w:cs="Arial"/>
        </w:rPr>
        <w:fldChar w:fldCharType="end"/>
      </w:r>
      <w:r w:rsidR="007C23FF">
        <w:rPr>
          <w:rFonts w:eastAsia="Calibri" w:cs="Arial"/>
        </w:rPr>
        <w:t xml:space="preserve"> </w:t>
      </w:r>
      <w:r>
        <w:rPr>
          <w:rFonts w:eastAsia="Calibri" w:cs="Arial"/>
        </w:rPr>
        <w:t xml:space="preserve">shows the allocation of positions between each budget, by fiscal year, with department total FTE count at the bottom.  </w:t>
      </w:r>
      <w:r w:rsidR="007C23FF">
        <w:rPr>
          <w:rFonts w:eastAsia="Calibri" w:cs="Arial"/>
        </w:rPr>
        <w:fldChar w:fldCharType="begin"/>
      </w:r>
      <w:r w:rsidR="007C23FF">
        <w:rPr>
          <w:rFonts w:eastAsia="Calibri" w:cs="Arial"/>
        </w:rPr>
        <w:instrText xml:space="preserve"> REF _Ref464306784 \h </w:instrText>
      </w:r>
      <w:r w:rsidR="007C23FF">
        <w:rPr>
          <w:rFonts w:eastAsia="Calibri" w:cs="Arial"/>
        </w:rPr>
      </w:r>
      <w:r w:rsidR="007C23FF">
        <w:rPr>
          <w:rFonts w:eastAsia="Calibri" w:cs="Arial"/>
        </w:rPr>
        <w:fldChar w:fldCharType="separate"/>
      </w:r>
      <w:r w:rsidR="008209A2">
        <w:t xml:space="preserve">Figure </w:t>
      </w:r>
      <w:r w:rsidR="008209A2">
        <w:rPr>
          <w:noProof/>
        </w:rPr>
        <w:t>33</w:t>
      </w:r>
      <w:r w:rsidR="007C23FF">
        <w:rPr>
          <w:rFonts w:eastAsia="Calibri" w:cs="Arial"/>
        </w:rPr>
        <w:fldChar w:fldCharType="end"/>
      </w:r>
      <w:r w:rsidR="007C23FF">
        <w:rPr>
          <w:rFonts w:eastAsia="Calibri" w:cs="Arial"/>
        </w:rPr>
        <w:t xml:space="preserve"> </w:t>
      </w:r>
      <w:r>
        <w:rPr>
          <w:rFonts w:eastAsia="Calibri" w:cs="Arial"/>
        </w:rPr>
        <w:t>displays the allocation of total positions between the fire and ambulance budgets along with total wages.</w:t>
      </w:r>
    </w:p>
    <w:p w14:paraId="3F57023D" w14:textId="43651B54" w:rsidR="001B10C9" w:rsidRDefault="007C23FF" w:rsidP="007C23FF">
      <w:pPr>
        <w:pStyle w:val="Caption"/>
      </w:pPr>
      <w:bookmarkStart w:id="120" w:name="_Ref464306720"/>
      <w:bookmarkStart w:id="121" w:name="_Toc464323674"/>
      <w:r>
        <w:t xml:space="preserve">Figure </w:t>
      </w:r>
      <w:r w:rsidR="00432AD4">
        <w:fldChar w:fldCharType="begin"/>
      </w:r>
      <w:r w:rsidR="00432AD4">
        <w:instrText xml:space="preserve"> SEQ Figure \* ARABIC </w:instrText>
      </w:r>
      <w:r w:rsidR="00432AD4">
        <w:fldChar w:fldCharType="separate"/>
      </w:r>
      <w:r w:rsidR="008209A2">
        <w:rPr>
          <w:noProof/>
        </w:rPr>
        <w:t>32</w:t>
      </w:r>
      <w:r w:rsidR="00432AD4">
        <w:rPr>
          <w:noProof/>
        </w:rPr>
        <w:fldChar w:fldCharType="end"/>
      </w:r>
      <w:bookmarkEnd w:id="120"/>
      <w:r w:rsidR="001B10C9">
        <w:t>: Fire Department Staff County by Position and Budget, FY 2011 - 2016</w:t>
      </w:r>
      <w:bookmarkEnd w:id="121"/>
    </w:p>
    <w:p w14:paraId="07FDBCCC" w14:textId="77777777" w:rsidR="001B10C9" w:rsidRDefault="001B10C9" w:rsidP="007C23FF">
      <w:pPr>
        <w:pStyle w:val="Caption"/>
        <w:ind w:left="360"/>
      </w:pPr>
      <w:r w:rsidRPr="00B17DDC">
        <w:rPr>
          <w:noProof/>
        </w:rPr>
        <w:drawing>
          <wp:inline distT="0" distB="0" distL="0" distR="0" wp14:anchorId="2C40A166" wp14:editId="5FA7E868">
            <wp:extent cx="4857770" cy="38195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872195" cy="3830867"/>
                    </a:xfrm>
                    <a:prstGeom prst="rect">
                      <a:avLst/>
                    </a:prstGeom>
                    <a:noFill/>
                    <a:ln>
                      <a:noFill/>
                    </a:ln>
                  </pic:spPr>
                </pic:pic>
              </a:graphicData>
            </a:graphic>
          </wp:inline>
        </w:drawing>
      </w:r>
      <w:r>
        <w:tab/>
      </w:r>
    </w:p>
    <w:p w14:paraId="635E17A2" w14:textId="77777777" w:rsidR="001B10C9" w:rsidRDefault="001B10C9" w:rsidP="007C23FF">
      <w:pPr>
        <w:spacing w:after="200"/>
        <w:contextualSpacing/>
        <w:rPr>
          <w:rFonts w:eastAsia="Calibri" w:cs="Arial"/>
          <w:b/>
          <w:lang w:eastAsia="en-US"/>
        </w:rPr>
      </w:pPr>
    </w:p>
    <w:p w14:paraId="3845F630" w14:textId="42B98CDF" w:rsidR="004F5319" w:rsidRPr="001B10C9" w:rsidRDefault="004F5319" w:rsidP="007C23FF">
      <w:pPr>
        <w:spacing w:after="200"/>
        <w:contextualSpacing/>
        <w:rPr>
          <w:rFonts w:eastAsia="Calibri" w:cs="Arial"/>
          <w:b/>
          <w:lang w:eastAsia="en-US"/>
        </w:rPr>
      </w:pPr>
      <w:r w:rsidRPr="001B10C9">
        <w:rPr>
          <w:rFonts w:eastAsia="Calibri" w:cs="Arial"/>
        </w:rPr>
        <w:t xml:space="preserve">  </w:t>
      </w:r>
    </w:p>
    <w:p w14:paraId="5956C5FF" w14:textId="77777777" w:rsidR="004F5319" w:rsidRDefault="004F5319" w:rsidP="00574D69">
      <w:pPr>
        <w:pStyle w:val="Caption"/>
      </w:pPr>
      <w:bookmarkStart w:id="122" w:name="_Ref456014363"/>
    </w:p>
    <w:p w14:paraId="2EF3E146" w14:textId="7BFE8B3F" w:rsidR="004F5319" w:rsidRPr="0053761E" w:rsidRDefault="007C23FF" w:rsidP="004F5319">
      <w:pPr>
        <w:pStyle w:val="Caption"/>
        <w:rPr>
          <w:b w:val="0"/>
        </w:rPr>
      </w:pPr>
      <w:bookmarkStart w:id="123" w:name="_Ref464306784"/>
      <w:bookmarkStart w:id="124" w:name="_Toc464323675"/>
      <w:r>
        <w:t xml:space="preserve">Figure </w:t>
      </w:r>
      <w:r w:rsidR="00432AD4">
        <w:fldChar w:fldCharType="begin"/>
      </w:r>
      <w:r w:rsidR="00432AD4">
        <w:instrText xml:space="preserve"> SEQ Figure \* ARABIC </w:instrText>
      </w:r>
      <w:r w:rsidR="00432AD4">
        <w:fldChar w:fldCharType="separate"/>
      </w:r>
      <w:r w:rsidR="008209A2">
        <w:rPr>
          <w:noProof/>
        </w:rPr>
        <w:t>33</w:t>
      </w:r>
      <w:r w:rsidR="00432AD4">
        <w:rPr>
          <w:noProof/>
        </w:rPr>
        <w:fldChar w:fldCharType="end"/>
      </w:r>
      <w:bookmarkEnd w:id="123"/>
      <w:r w:rsidR="004F5319">
        <w:t>: Fire and Ambulance Budget FTEs and Wages,</w:t>
      </w:r>
      <w:r w:rsidR="004F5319" w:rsidRPr="00A17926">
        <w:t xml:space="preserve"> FY 2011</w:t>
      </w:r>
      <w:r w:rsidR="004F5319">
        <w:t xml:space="preserve"> </w:t>
      </w:r>
      <w:r w:rsidR="004F5319" w:rsidRPr="00A17926">
        <w:t>-</w:t>
      </w:r>
      <w:r w:rsidR="004F5319">
        <w:t xml:space="preserve"> 2016</w:t>
      </w:r>
      <w:bookmarkEnd w:id="124"/>
    </w:p>
    <w:p w14:paraId="6CCFB737" w14:textId="16466C98" w:rsidR="004F5319" w:rsidRDefault="004F5319" w:rsidP="00574D69">
      <w:pPr>
        <w:pStyle w:val="Caption"/>
      </w:pPr>
      <w:r>
        <w:rPr>
          <w:noProof/>
        </w:rPr>
        <w:drawing>
          <wp:inline distT="0" distB="0" distL="0" distR="0" wp14:anchorId="26C0BD5D" wp14:editId="4B2D70D3">
            <wp:extent cx="5276850" cy="2828925"/>
            <wp:effectExtent l="0" t="0" r="19050" b="9525"/>
            <wp:docPr id="98" name="Chart 98"/>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603F5154" w14:textId="77777777" w:rsidR="004F5319" w:rsidRDefault="004F5319" w:rsidP="00574D69">
      <w:pPr>
        <w:pStyle w:val="Caption"/>
      </w:pPr>
    </w:p>
    <w:p w14:paraId="65F4ABC7" w14:textId="77777777" w:rsidR="004F5319" w:rsidRDefault="004F5319" w:rsidP="004F5319">
      <w:pPr>
        <w:pStyle w:val="ListParagraph"/>
        <w:numPr>
          <w:ilvl w:val="0"/>
          <w:numId w:val="49"/>
        </w:numPr>
        <w:spacing w:after="200"/>
        <w:contextualSpacing w:val="0"/>
        <w:rPr>
          <w:rFonts w:eastAsia="Calibri" w:cs="Arial"/>
          <w:lang w:eastAsia="en-US"/>
        </w:rPr>
      </w:pPr>
      <w:r>
        <w:rPr>
          <w:rFonts w:eastAsia="Calibri" w:cs="Arial"/>
          <w:lang w:eastAsia="en-US"/>
        </w:rPr>
        <w:t xml:space="preserve">In order to estimate the impact of annual salary and benefit increases due to collective bargaining or other salary drivers, the cost of the added/reclassified positions must first be removed to arrive at an adjusted amount.  An approximation of the cost of the new/reclassified positions between 2011 and 2016 was made using the above data and salary information obtained from the department for 2016.  </w:t>
      </w:r>
    </w:p>
    <w:p w14:paraId="766EDA31" w14:textId="6F7B2687" w:rsidR="004F5319" w:rsidRDefault="00FF68DD" w:rsidP="004F5319">
      <w:pPr>
        <w:pStyle w:val="ListParagraph"/>
        <w:numPr>
          <w:ilvl w:val="0"/>
          <w:numId w:val="49"/>
        </w:numPr>
        <w:spacing w:after="200"/>
        <w:contextualSpacing w:val="0"/>
        <w:rPr>
          <w:rFonts w:eastAsia="Calibri" w:cs="Arial"/>
          <w:lang w:eastAsia="en-US"/>
        </w:rPr>
      </w:pPr>
      <w:r>
        <w:rPr>
          <w:rFonts w:eastAsia="Calibri" w:cs="Arial"/>
          <w:lang w:eastAsia="en-US"/>
        </w:rPr>
        <w:fldChar w:fldCharType="begin"/>
      </w:r>
      <w:r>
        <w:rPr>
          <w:rFonts w:eastAsia="Calibri" w:cs="Arial"/>
          <w:lang w:eastAsia="en-US"/>
        </w:rPr>
        <w:instrText xml:space="preserve"> REF _Ref464306876 \h </w:instrText>
      </w:r>
      <w:r>
        <w:rPr>
          <w:rFonts w:eastAsia="Calibri" w:cs="Arial"/>
          <w:lang w:eastAsia="en-US"/>
        </w:rPr>
      </w:r>
      <w:r>
        <w:rPr>
          <w:rFonts w:eastAsia="Calibri" w:cs="Arial"/>
          <w:lang w:eastAsia="en-US"/>
        </w:rPr>
        <w:fldChar w:fldCharType="separate"/>
      </w:r>
      <w:r w:rsidR="008209A2">
        <w:t xml:space="preserve">Figure </w:t>
      </w:r>
      <w:r w:rsidR="008209A2">
        <w:rPr>
          <w:noProof/>
        </w:rPr>
        <w:t>34</w:t>
      </w:r>
      <w:r>
        <w:rPr>
          <w:rFonts w:eastAsia="Calibri" w:cs="Arial"/>
          <w:lang w:eastAsia="en-US"/>
        </w:rPr>
        <w:fldChar w:fldCharType="end"/>
      </w:r>
      <w:r>
        <w:rPr>
          <w:rFonts w:eastAsia="Calibri" w:cs="Arial"/>
          <w:lang w:eastAsia="en-US"/>
        </w:rPr>
        <w:t xml:space="preserve"> </w:t>
      </w:r>
      <w:r w:rsidR="004F5319">
        <w:rPr>
          <w:rFonts w:eastAsia="Calibri" w:cs="Arial"/>
          <w:lang w:eastAsia="en-US"/>
        </w:rPr>
        <w:t xml:space="preserve">below shows the change in FTE count by category (Command, Company Officer, Line and Staff positions) from 2011-2016.  </w:t>
      </w:r>
    </w:p>
    <w:p w14:paraId="15B56F08" w14:textId="77777777" w:rsidR="004F5319" w:rsidRDefault="004F5319" w:rsidP="004F5319">
      <w:pPr>
        <w:pStyle w:val="ListParagraph"/>
        <w:numPr>
          <w:ilvl w:val="0"/>
          <w:numId w:val="49"/>
        </w:numPr>
        <w:spacing w:after="200"/>
        <w:contextualSpacing w:val="0"/>
        <w:rPr>
          <w:rFonts w:eastAsia="Calibri" w:cs="Arial"/>
          <w:lang w:eastAsia="en-US"/>
        </w:rPr>
      </w:pPr>
      <w:r>
        <w:rPr>
          <w:rFonts w:eastAsia="Calibri" w:cs="Arial"/>
          <w:lang w:eastAsia="en-US"/>
        </w:rPr>
        <w:t xml:space="preserve">Line positions are defined as paramedics and firefighters.  </w:t>
      </w:r>
    </w:p>
    <w:p w14:paraId="6C7148AA" w14:textId="77777777" w:rsidR="004F5319" w:rsidRDefault="004F5319" w:rsidP="004F5319">
      <w:pPr>
        <w:pStyle w:val="ListParagraph"/>
        <w:numPr>
          <w:ilvl w:val="0"/>
          <w:numId w:val="49"/>
        </w:numPr>
        <w:spacing w:after="200"/>
        <w:contextualSpacing w:val="0"/>
        <w:rPr>
          <w:rFonts w:eastAsia="Calibri" w:cs="Arial"/>
          <w:lang w:eastAsia="en-US"/>
        </w:rPr>
      </w:pPr>
      <w:r>
        <w:rPr>
          <w:rFonts w:eastAsia="Calibri" w:cs="Arial"/>
          <w:lang w:eastAsia="en-US"/>
        </w:rPr>
        <w:t xml:space="preserve">Company officers are first-line operational supervisors and are defined as Lieutenants and Captains (regardless of whether they are paramedics or not so long as they are on shift riding out of fire stations).  </w:t>
      </w:r>
    </w:p>
    <w:p w14:paraId="50FD9BE4" w14:textId="77777777" w:rsidR="004F5319" w:rsidRDefault="004F5319" w:rsidP="004F5319">
      <w:pPr>
        <w:pStyle w:val="ListParagraph"/>
        <w:numPr>
          <w:ilvl w:val="0"/>
          <w:numId w:val="49"/>
        </w:numPr>
        <w:spacing w:after="200"/>
        <w:contextualSpacing w:val="0"/>
        <w:rPr>
          <w:rFonts w:eastAsia="Calibri" w:cs="Arial"/>
          <w:lang w:eastAsia="en-US"/>
        </w:rPr>
      </w:pPr>
      <w:r>
        <w:rPr>
          <w:rFonts w:eastAsia="Calibri" w:cs="Arial"/>
          <w:lang w:eastAsia="en-US"/>
        </w:rPr>
        <w:t xml:space="preserve">Command staff positions are defined as field or administrative officers not assigned to specific fire stations riding on apparatus such as engines, ladders or ambulances.  Rather, these officers may respond to emergencies individually and serve in various command functions.  </w:t>
      </w:r>
    </w:p>
    <w:p w14:paraId="2C5256AA" w14:textId="77777777" w:rsidR="004F5319" w:rsidRDefault="004F5319" w:rsidP="004F5319">
      <w:pPr>
        <w:pStyle w:val="ListParagraph"/>
        <w:numPr>
          <w:ilvl w:val="0"/>
          <w:numId w:val="49"/>
        </w:numPr>
        <w:spacing w:after="200"/>
        <w:contextualSpacing w:val="0"/>
        <w:rPr>
          <w:rFonts w:eastAsia="Calibri" w:cs="Arial"/>
          <w:lang w:eastAsia="en-US"/>
        </w:rPr>
      </w:pPr>
      <w:r>
        <w:rPr>
          <w:rFonts w:eastAsia="Calibri" w:cs="Arial"/>
          <w:lang w:eastAsia="en-US"/>
        </w:rPr>
        <w:t>Staff or other positions are defined as non-uniformed office or other support.</w:t>
      </w:r>
    </w:p>
    <w:p w14:paraId="3B450623" w14:textId="48F81EE2" w:rsidR="004F5319" w:rsidRDefault="00FF68DD" w:rsidP="004F5319">
      <w:pPr>
        <w:pStyle w:val="Caption"/>
      </w:pPr>
      <w:bookmarkStart w:id="125" w:name="_Ref464306876"/>
      <w:bookmarkStart w:id="126" w:name="_Toc464323676"/>
      <w:r>
        <w:lastRenderedPageBreak/>
        <w:t xml:space="preserve">Figure </w:t>
      </w:r>
      <w:r w:rsidR="00432AD4">
        <w:fldChar w:fldCharType="begin"/>
      </w:r>
      <w:r w:rsidR="00432AD4">
        <w:instrText xml:space="preserve"> SEQ Figure \* ARABIC </w:instrText>
      </w:r>
      <w:r w:rsidR="00432AD4">
        <w:fldChar w:fldCharType="separate"/>
      </w:r>
      <w:r w:rsidR="008209A2">
        <w:rPr>
          <w:noProof/>
        </w:rPr>
        <w:t>34</w:t>
      </w:r>
      <w:r w:rsidR="00432AD4">
        <w:rPr>
          <w:noProof/>
        </w:rPr>
        <w:fldChar w:fldCharType="end"/>
      </w:r>
      <w:bookmarkEnd w:id="125"/>
      <w:r w:rsidR="004F5319" w:rsidRPr="004F5319">
        <w:t>: Staff Changes by Category, FY 2011 - 2016</w:t>
      </w:r>
      <w:bookmarkEnd w:id="126"/>
    </w:p>
    <w:p w14:paraId="371FFF66" w14:textId="1EDDDF31" w:rsidR="004F5319" w:rsidRDefault="004F5319" w:rsidP="004F5319">
      <w:pPr>
        <w:pStyle w:val="Caption"/>
      </w:pPr>
      <w:r>
        <w:rPr>
          <w:noProof/>
        </w:rPr>
        <w:drawing>
          <wp:inline distT="0" distB="0" distL="0" distR="0" wp14:anchorId="40C81073" wp14:editId="562BE7B7">
            <wp:extent cx="5591175" cy="2828925"/>
            <wp:effectExtent l="0" t="0" r="9525" b="9525"/>
            <wp:docPr id="97" name="Chart 97"/>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5625E9FD" w14:textId="60CA69BD" w:rsidR="004F5319" w:rsidRDefault="004F5319" w:rsidP="004F5319">
      <w:pPr>
        <w:pStyle w:val="ListParagraph"/>
        <w:numPr>
          <w:ilvl w:val="0"/>
          <w:numId w:val="49"/>
        </w:numPr>
        <w:spacing w:after="200"/>
        <w:contextualSpacing w:val="0"/>
        <w:rPr>
          <w:rFonts w:eastAsia="Calibri" w:cs="Arial"/>
          <w:lang w:eastAsia="en-US"/>
        </w:rPr>
      </w:pPr>
      <w:r w:rsidRPr="004563F4">
        <w:rPr>
          <w:rFonts w:eastAsia="Calibri" w:cs="Arial"/>
          <w:lang w:eastAsia="en-US"/>
        </w:rPr>
        <w:t>Line</w:t>
      </w:r>
      <w:r>
        <w:rPr>
          <w:rFonts w:eastAsia="Calibri" w:cs="Arial"/>
          <w:lang w:eastAsia="en-US"/>
        </w:rPr>
        <w:t xml:space="preserve"> positions</w:t>
      </w:r>
      <w:r w:rsidRPr="004563F4">
        <w:rPr>
          <w:rFonts w:eastAsia="Calibri" w:cs="Arial"/>
          <w:lang w:eastAsia="en-US"/>
        </w:rPr>
        <w:t xml:space="preserve"> increased between 2011 and 2016 by 8 with the addition of 5 new paramedics (</w:t>
      </w:r>
      <w:r>
        <w:rPr>
          <w:rFonts w:eastAsia="Calibri" w:cs="Arial"/>
          <w:lang w:eastAsia="en-US"/>
        </w:rPr>
        <w:t xml:space="preserve">assumed at the </w:t>
      </w:r>
      <w:r w:rsidRPr="004563F4">
        <w:rPr>
          <w:rFonts w:eastAsia="Calibri" w:cs="Arial"/>
          <w:lang w:eastAsia="en-US"/>
        </w:rPr>
        <w:t xml:space="preserve">base </w:t>
      </w:r>
      <w:r>
        <w:rPr>
          <w:rFonts w:eastAsia="Calibri" w:cs="Arial"/>
          <w:lang w:eastAsia="en-US"/>
        </w:rPr>
        <w:t xml:space="preserve">paramedic </w:t>
      </w:r>
      <w:r w:rsidRPr="004563F4">
        <w:rPr>
          <w:rFonts w:eastAsia="Calibri" w:cs="Arial"/>
          <w:lang w:eastAsia="en-US"/>
        </w:rPr>
        <w:t>hourly</w:t>
      </w:r>
      <w:r>
        <w:rPr>
          <w:rFonts w:eastAsia="Calibri" w:cs="Arial"/>
          <w:lang w:eastAsia="en-US"/>
        </w:rPr>
        <w:t xml:space="preserve"> rate</w:t>
      </w:r>
      <w:r w:rsidRPr="004563F4">
        <w:rPr>
          <w:rFonts w:eastAsia="Calibri" w:cs="Arial"/>
          <w:lang w:eastAsia="en-US"/>
        </w:rPr>
        <w:t>) and the reclassification of 3 firefighter positions</w:t>
      </w:r>
      <w:r>
        <w:rPr>
          <w:rFonts w:eastAsia="Calibri" w:cs="Arial"/>
          <w:lang w:eastAsia="en-US"/>
        </w:rPr>
        <w:t xml:space="preserve"> to paramedic</w:t>
      </w:r>
      <w:r w:rsidRPr="004563F4">
        <w:rPr>
          <w:rFonts w:eastAsia="Calibri" w:cs="Arial"/>
          <w:lang w:eastAsia="en-US"/>
        </w:rPr>
        <w:t xml:space="preserve"> (</w:t>
      </w:r>
      <w:r>
        <w:rPr>
          <w:rFonts w:eastAsia="Calibri" w:cs="Arial"/>
          <w:lang w:eastAsia="en-US"/>
        </w:rPr>
        <w:t xml:space="preserve">assumed to be </w:t>
      </w:r>
      <w:r w:rsidRPr="004563F4">
        <w:rPr>
          <w:rFonts w:eastAsia="Calibri" w:cs="Arial"/>
          <w:lang w:eastAsia="en-US"/>
        </w:rPr>
        <w:t>difference between</w:t>
      </w:r>
      <w:r>
        <w:rPr>
          <w:rFonts w:eastAsia="Calibri" w:cs="Arial"/>
          <w:lang w:eastAsia="en-US"/>
        </w:rPr>
        <w:t xml:space="preserve"> the 24-36 month firefighter</w:t>
      </w:r>
      <w:r w:rsidRPr="004563F4">
        <w:rPr>
          <w:rFonts w:eastAsia="Calibri" w:cs="Arial"/>
          <w:lang w:eastAsia="en-US"/>
        </w:rPr>
        <w:t xml:space="preserve"> hourly and base paramedic hourly</w:t>
      </w:r>
      <w:r>
        <w:rPr>
          <w:rFonts w:eastAsia="Calibri" w:cs="Arial"/>
          <w:lang w:eastAsia="en-US"/>
        </w:rPr>
        <w:t xml:space="preserve"> rates)</w:t>
      </w:r>
      <w:r w:rsidRPr="004563F4">
        <w:rPr>
          <w:rFonts w:eastAsia="Calibri" w:cs="Arial"/>
          <w:lang w:eastAsia="en-US"/>
        </w:rPr>
        <w:t xml:space="preserve">.  Total added wages </w:t>
      </w:r>
      <w:r>
        <w:rPr>
          <w:rFonts w:eastAsia="Calibri" w:cs="Arial"/>
          <w:lang w:eastAsia="en-US"/>
        </w:rPr>
        <w:t>for 5 new and 3 reclassified positions would be approximately $363,552.  The b</w:t>
      </w:r>
      <w:r w:rsidRPr="004563F4">
        <w:rPr>
          <w:rFonts w:eastAsia="Calibri" w:cs="Arial"/>
          <w:lang w:eastAsia="en-US"/>
        </w:rPr>
        <w:t xml:space="preserve">enefit total </w:t>
      </w:r>
      <w:r>
        <w:rPr>
          <w:rFonts w:eastAsia="Calibri" w:cs="Arial"/>
          <w:lang w:eastAsia="en-US"/>
        </w:rPr>
        <w:t>using the calculated ratio (30.7% of wages) would be approximately $111,610.</w:t>
      </w:r>
    </w:p>
    <w:p w14:paraId="078E642F" w14:textId="77777777" w:rsidR="004F5319" w:rsidRPr="004563F4" w:rsidRDefault="004F5319" w:rsidP="004F5319">
      <w:pPr>
        <w:pStyle w:val="ListParagraph"/>
        <w:numPr>
          <w:ilvl w:val="0"/>
          <w:numId w:val="49"/>
        </w:numPr>
        <w:spacing w:after="200"/>
        <w:contextualSpacing w:val="0"/>
        <w:rPr>
          <w:rFonts w:eastAsia="Calibri" w:cs="Arial"/>
          <w:lang w:eastAsia="en-US"/>
        </w:rPr>
      </w:pPr>
      <w:r>
        <w:rPr>
          <w:rFonts w:eastAsia="Calibri" w:cs="Arial"/>
          <w:lang w:eastAsia="en-US"/>
        </w:rPr>
        <w:t>These line positions would be subject to overtime and u</w:t>
      </w:r>
      <w:r w:rsidRPr="004563F4">
        <w:rPr>
          <w:rFonts w:eastAsia="Calibri" w:cs="Arial"/>
          <w:lang w:eastAsia="en-US"/>
        </w:rPr>
        <w:t xml:space="preserve">sing </w:t>
      </w:r>
      <w:r>
        <w:rPr>
          <w:rFonts w:eastAsia="Calibri" w:cs="Arial"/>
          <w:lang w:eastAsia="en-US"/>
        </w:rPr>
        <w:t>the average OT to w</w:t>
      </w:r>
      <w:r w:rsidRPr="004563F4">
        <w:rPr>
          <w:rFonts w:eastAsia="Calibri" w:cs="Arial"/>
          <w:lang w:eastAsia="en-US"/>
        </w:rPr>
        <w:t>ages ratio of 11.47% then total</w:t>
      </w:r>
      <w:r>
        <w:rPr>
          <w:rFonts w:eastAsia="Calibri" w:cs="Arial"/>
          <w:lang w:eastAsia="en-US"/>
        </w:rPr>
        <w:t xml:space="preserve"> added wages for these </w:t>
      </w:r>
      <w:r w:rsidRPr="004563F4">
        <w:rPr>
          <w:rFonts w:eastAsia="Calibri" w:cs="Arial"/>
          <w:lang w:eastAsia="en-US"/>
        </w:rPr>
        <w:t>positions would be</w:t>
      </w:r>
      <w:r>
        <w:rPr>
          <w:rFonts w:eastAsia="Calibri" w:cs="Arial"/>
          <w:lang w:eastAsia="en-US"/>
        </w:rPr>
        <w:t xml:space="preserve"> approximately</w:t>
      </w:r>
      <w:r w:rsidRPr="004563F4">
        <w:rPr>
          <w:rFonts w:eastAsia="Calibri" w:cs="Arial"/>
          <w:lang w:eastAsia="en-US"/>
        </w:rPr>
        <w:t xml:space="preserve"> </w:t>
      </w:r>
      <w:r>
        <w:rPr>
          <w:rFonts w:eastAsia="Calibri" w:cs="Arial"/>
          <w:lang w:eastAsia="en-US"/>
        </w:rPr>
        <w:t>$405,251.  The b</w:t>
      </w:r>
      <w:r w:rsidRPr="004563F4">
        <w:rPr>
          <w:rFonts w:eastAsia="Calibri" w:cs="Arial"/>
          <w:lang w:eastAsia="en-US"/>
        </w:rPr>
        <w:t>enefits will increase by</w:t>
      </w:r>
      <w:r>
        <w:rPr>
          <w:rFonts w:eastAsia="Calibri" w:cs="Arial"/>
          <w:lang w:eastAsia="en-US"/>
        </w:rPr>
        <w:t xml:space="preserve"> a</w:t>
      </w:r>
      <w:r w:rsidRPr="004563F4">
        <w:rPr>
          <w:rFonts w:eastAsia="Calibri" w:cs="Arial"/>
          <w:lang w:eastAsia="en-US"/>
        </w:rPr>
        <w:t xml:space="preserve"> like amount </w:t>
      </w:r>
      <w:r>
        <w:rPr>
          <w:rFonts w:eastAsia="Calibri" w:cs="Arial"/>
          <w:lang w:eastAsia="en-US"/>
        </w:rPr>
        <w:t>and would be approximately</w:t>
      </w:r>
      <w:r w:rsidRPr="004563F4">
        <w:rPr>
          <w:rFonts w:eastAsia="Calibri" w:cs="Arial"/>
          <w:lang w:eastAsia="en-US"/>
        </w:rPr>
        <w:t xml:space="preserve"> $124,412.</w:t>
      </w:r>
    </w:p>
    <w:p w14:paraId="22D40690" w14:textId="77777777" w:rsidR="001B10C9" w:rsidRDefault="004F5319" w:rsidP="001B10C9">
      <w:pPr>
        <w:pStyle w:val="ListParagraph"/>
        <w:numPr>
          <w:ilvl w:val="0"/>
          <w:numId w:val="49"/>
        </w:numPr>
        <w:spacing w:after="200"/>
        <w:rPr>
          <w:rFonts w:eastAsia="Calibri" w:cs="Arial"/>
          <w:lang w:eastAsia="en-US"/>
        </w:rPr>
      </w:pPr>
      <w:r w:rsidRPr="00E3214B">
        <w:rPr>
          <w:rFonts w:eastAsia="Calibri" w:cs="Arial"/>
          <w:lang w:eastAsia="en-US"/>
        </w:rPr>
        <w:t xml:space="preserve"> </w:t>
      </w:r>
      <w:r>
        <w:rPr>
          <w:rFonts w:eastAsia="Calibri" w:cs="Arial"/>
          <w:lang w:eastAsia="en-US"/>
        </w:rPr>
        <w:t xml:space="preserve">Company officer positions have increased between 2011 and 2016 by 3 overall, </w:t>
      </w:r>
      <w:r w:rsidRPr="00716983">
        <w:rPr>
          <w:rFonts w:eastAsia="Calibri" w:cs="Arial"/>
          <w:lang w:eastAsia="en-US"/>
        </w:rPr>
        <w:t>with the addition of 2 captain/paramedics and 1 l</w:t>
      </w:r>
      <w:r>
        <w:rPr>
          <w:rFonts w:eastAsia="Calibri" w:cs="Arial"/>
          <w:lang w:eastAsia="en-US"/>
        </w:rPr>
        <w:t xml:space="preserve">ieutenant /paramedic.  However, </w:t>
      </w:r>
      <w:r w:rsidRPr="00716983">
        <w:rPr>
          <w:rFonts w:eastAsia="Calibri" w:cs="Arial"/>
          <w:lang w:eastAsia="en-US"/>
        </w:rPr>
        <w:t xml:space="preserve">4 </w:t>
      </w:r>
      <w:r>
        <w:rPr>
          <w:rFonts w:eastAsia="Calibri" w:cs="Arial"/>
          <w:lang w:eastAsia="en-US"/>
        </w:rPr>
        <w:t>lieutenants have also been re</w:t>
      </w:r>
      <w:r w:rsidRPr="00716983">
        <w:rPr>
          <w:rFonts w:eastAsia="Calibri" w:cs="Arial"/>
          <w:lang w:eastAsia="en-US"/>
        </w:rPr>
        <w:t>class</w:t>
      </w:r>
      <w:r>
        <w:rPr>
          <w:rFonts w:eastAsia="Calibri" w:cs="Arial"/>
          <w:lang w:eastAsia="en-US"/>
        </w:rPr>
        <w:t>ifi</w:t>
      </w:r>
      <w:r w:rsidRPr="00716983">
        <w:rPr>
          <w:rFonts w:eastAsia="Calibri" w:cs="Arial"/>
          <w:lang w:eastAsia="en-US"/>
        </w:rPr>
        <w:t>ed to captain which is an</w:t>
      </w:r>
      <w:r>
        <w:rPr>
          <w:rFonts w:eastAsia="Calibri" w:cs="Arial"/>
          <w:lang w:eastAsia="en-US"/>
        </w:rPr>
        <w:t xml:space="preserve"> incremental</w:t>
      </w:r>
      <w:r w:rsidRPr="00716983">
        <w:rPr>
          <w:rFonts w:eastAsia="Calibri" w:cs="Arial"/>
          <w:lang w:eastAsia="en-US"/>
        </w:rPr>
        <w:t xml:space="preserve"> increase of approximately 4.</w:t>
      </w:r>
      <w:r>
        <w:rPr>
          <w:rFonts w:eastAsia="Calibri" w:cs="Arial"/>
          <w:lang w:eastAsia="en-US"/>
        </w:rPr>
        <w:t>6%.  Total added wages would be approximately $305,424.  The b</w:t>
      </w:r>
      <w:r w:rsidRPr="00716983">
        <w:rPr>
          <w:rFonts w:eastAsia="Calibri" w:cs="Arial"/>
          <w:lang w:eastAsia="en-US"/>
        </w:rPr>
        <w:t>enefit t</w:t>
      </w:r>
      <w:r>
        <w:rPr>
          <w:rFonts w:eastAsia="Calibri" w:cs="Arial"/>
          <w:lang w:eastAsia="en-US"/>
        </w:rPr>
        <w:t>otal would be approximately</w:t>
      </w:r>
      <w:r w:rsidRPr="00716983">
        <w:rPr>
          <w:rFonts w:eastAsia="Calibri" w:cs="Arial"/>
          <w:lang w:eastAsia="en-US"/>
        </w:rPr>
        <w:t xml:space="preserve"> $93,765. </w:t>
      </w:r>
    </w:p>
    <w:p w14:paraId="7CA6074F" w14:textId="3B0C993B" w:rsidR="004F5319" w:rsidRPr="007C23FF" w:rsidRDefault="004F5319" w:rsidP="007C23FF">
      <w:pPr>
        <w:pStyle w:val="ListParagraph"/>
        <w:spacing w:after="200"/>
        <w:rPr>
          <w:rFonts w:eastAsia="Calibri" w:cs="Arial"/>
          <w:lang w:eastAsia="en-US"/>
        </w:rPr>
      </w:pPr>
      <w:r w:rsidRPr="007C23FF">
        <w:rPr>
          <w:rFonts w:eastAsia="Calibri" w:cs="Arial"/>
          <w:lang w:eastAsia="en-US"/>
        </w:rPr>
        <w:t xml:space="preserve"> </w:t>
      </w:r>
    </w:p>
    <w:p w14:paraId="0873504C" w14:textId="77777777" w:rsidR="004F5319" w:rsidRDefault="004F5319" w:rsidP="004F5319">
      <w:pPr>
        <w:pStyle w:val="ListParagraph"/>
        <w:numPr>
          <w:ilvl w:val="0"/>
          <w:numId w:val="49"/>
        </w:numPr>
        <w:spacing w:after="200"/>
        <w:contextualSpacing w:val="0"/>
        <w:rPr>
          <w:rFonts w:eastAsia="Calibri" w:cs="Arial"/>
          <w:lang w:eastAsia="en-US"/>
        </w:rPr>
      </w:pPr>
      <w:r>
        <w:rPr>
          <w:rFonts w:eastAsia="Calibri" w:cs="Arial"/>
          <w:lang w:eastAsia="en-US"/>
        </w:rPr>
        <w:t>These positions are also subject to overtime and u</w:t>
      </w:r>
      <w:r w:rsidRPr="00716983">
        <w:rPr>
          <w:rFonts w:eastAsia="Calibri" w:cs="Arial"/>
          <w:lang w:eastAsia="en-US"/>
        </w:rPr>
        <w:t xml:space="preserve">sing </w:t>
      </w:r>
      <w:r>
        <w:rPr>
          <w:rFonts w:eastAsia="Calibri" w:cs="Arial"/>
          <w:lang w:eastAsia="en-US"/>
        </w:rPr>
        <w:t xml:space="preserve">the </w:t>
      </w:r>
      <w:r w:rsidRPr="00716983">
        <w:rPr>
          <w:rFonts w:eastAsia="Calibri" w:cs="Arial"/>
          <w:lang w:eastAsia="en-US"/>
        </w:rPr>
        <w:t>average OT to wages ratio of 11.47% then total w</w:t>
      </w:r>
      <w:r>
        <w:rPr>
          <w:rFonts w:eastAsia="Calibri" w:cs="Arial"/>
          <w:lang w:eastAsia="en-US"/>
        </w:rPr>
        <w:t>ages would be approximately</w:t>
      </w:r>
      <w:r w:rsidRPr="00716983">
        <w:rPr>
          <w:rFonts w:eastAsia="Calibri" w:cs="Arial"/>
          <w:lang w:eastAsia="en-US"/>
        </w:rPr>
        <w:t xml:space="preserve"> </w:t>
      </w:r>
      <w:r>
        <w:rPr>
          <w:rFonts w:eastAsia="Calibri" w:cs="Arial"/>
          <w:lang w:eastAsia="en-US"/>
        </w:rPr>
        <w:t>$350,321.  The b</w:t>
      </w:r>
      <w:r w:rsidRPr="00716983">
        <w:rPr>
          <w:rFonts w:eastAsia="Calibri" w:cs="Arial"/>
          <w:lang w:eastAsia="en-US"/>
        </w:rPr>
        <w:t>enefits will increase by</w:t>
      </w:r>
      <w:r>
        <w:rPr>
          <w:rFonts w:eastAsia="Calibri" w:cs="Arial"/>
          <w:lang w:eastAsia="en-US"/>
        </w:rPr>
        <w:t xml:space="preserve"> a</w:t>
      </w:r>
      <w:r w:rsidRPr="00716983">
        <w:rPr>
          <w:rFonts w:eastAsia="Calibri" w:cs="Arial"/>
          <w:lang w:eastAsia="en-US"/>
        </w:rPr>
        <w:t xml:space="preserve"> like amount</w:t>
      </w:r>
      <w:r>
        <w:rPr>
          <w:rFonts w:eastAsia="Calibri" w:cs="Arial"/>
          <w:lang w:eastAsia="en-US"/>
        </w:rPr>
        <w:t xml:space="preserve"> and would be approximately $</w:t>
      </w:r>
      <w:r w:rsidRPr="00716983">
        <w:rPr>
          <w:rFonts w:eastAsia="Calibri" w:cs="Arial"/>
          <w:lang w:eastAsia="en-US"/>
        </w:rPr>
        <w:t>107,548.</w:t>
      </w:r>
    </w:p>
    <w:p w14:paraId="4ADC2AFB" w14:textId="77777777" w:rsidR="004F5319" w:rsidRDefault="004F5319" w:rsidP="004F5319">
      <w:pPr>
        <w:pStyle w:val="ListParagraph"/>
        <w:numPr>
          <w:ilvl w:val="0"/>
          <w:numId w:val="49"/>
        </w:numPr>
        <w:spacing w:after="200"/>
        <w:contextualSpacing w:val="0"/>
        <w:rPr>
          <w:rFonts w:eastAsia="Calibri" w:cs="Arial"/>
          <w:lang w:eastAsia="en-US"/>
        </w:rPr>
      </w:pPr>
      <w:r>
        <w:rPr>
          <w:rFonts w:eastAsia="Calibri" w:cs="Arial"/>
          <w:lang w:eastAsia="en-US"/>
        </w:rPr>
        <w:t>Command staff positions have</w:t>
      </w:r>
      <w:r w:rsidRPr="00716983">
        <w:rPr>
          <w:rFonts w:eastAsia="Calibri" w:cs="Arial"/>
          <w:lang w:eastAsia="en-US"/>
        </w:rPr>
        <w:t xml:space="preserve"> increased from 3 to 7 between 2011</w:t>
      </w:r>
      <w:r>
        <w:rPr>
          <w:rFonts w:eastAsia="Calibri" w:cs="Arial"/>
          <w:lang w:eastAsia="en-US"/>
        </w:rPr>
        <w:t xml:space="preserve"> and 2016.  This increase occurred</w:t>
      </w:r>
      <w:r w:rsidRPr="00716983">
        <w:rPr>
          <w:rFonts w:eastAsia="Calibri" w:cs="Arial"/>
          <w:lang w:eastAsia="en-US"/>
        </w:rPr>
        <w:t xml:space="preserve"> through the addition of 2 battalion chiefs, 1 assistant chief and 1 </w:t>
      </w:r>
      <w:r>
        <w:rPr>
          <w:rFonts w:eastAsia="Calibri" w:cs="Arial"/>
          <w:lang w:eastAsia="en-US"/>
        </w:rPr>
        <w:t xml:space="preserve">staff </w:t>
      </w:r>
      <w:r w:rsidRPr="00716983">
        <w:rPr>
          <w:rFonts w:eastAsia="Calibri" w:cs="Arial"/>
          <w:lang w:eastAsia="en-US"/>
        </w:rPr>
        <w:t xml:space="preserve">captain.  </w:t>
      </w:r>
      <w:r>
        <w:rPr>
          <w:rFonts w:eastAsia="Calibri" w:cs="Arial"/>
          <w:lang w:eastAsia="en-US"/>
        </w:rPr>
        <w:t>The t</w:t>
      </w:r>
      <w:r w:rsidRPr="00716983">
        <w:rPr>
          <w:rFonts w:eastAsia="Calibri" w:cs="Arial"/>
          <w:lang w:eastAsia="en-US"/>
        </w:rPr>
        <w:t xml:space="preserve">otal added wages would be </w:t>
      </w:r>
      <w:r>
        <w:rPr>
          <w:rFonts w:eastAsia="Calibri" w:cs="Arial"/>
          <w:lang w:eastAsia="en-US"/>
        </w:rPr>
        <w:t>approximately $480,000.  The b</w:t>
      </w:r>
      <w:r w:rsidRPr="00716983">
        <w:rPr>
          <w:rFonts w:eastAsia="Calibri" w:cs="Arial"/>
          <w:lang w:eastAsia="en-US"/>
        </w:rPr>
        <w:t>e</w:t>
      </w:r>
      <w:r>
        <w:rPr>
          <w:rFonts w:eastAsia="Calibri" w:cs="Arial"/>
          <w:lang w:eastAsia="en-US"/>
        </w:rPr>
        <w:t>nefit total would be approximately</w:t>
      </w:r>
      <w:r w:rsidRPr="00716983">
        <w:rPr>
          <w:rFonts w:eastAsia="Calibri" w:cs="Arial"/>
          <w:lang w:eastAsia="en-US"/>
        </w:rPr>
        <w:t xml:space="preserve"> $147,360.  </w:t>
      </w:r>
    </w:p>
    <w:p w14:paraId="7B69C1F0" w14:textId="77777777" w:rsidR="004F5319" w:rsidRDefault="004F5319" w:rsidP="004F5319">
      <w:pPr>
        <w:pStyle w:val="ListParagraph"/>
        <w:numPr>
          <w:ilvl w:val="0"/>
          <w:numId w:val="49"/>
        </w:numPr>
        <w:spacing w:after="200"/>
        <w:contextualSpacing w:val="0"/>
        <w:rPr>
          <w:rFonts w:eastAsia="Calibri" w:cs="Arial"/>
          <w:lang w:eastAsia="en-US"/>
        </w:rPr>
      </w:pPr>
      <w:r w:rsidRPr="00716983">
        <w:rPr>
          <w:rFonts w:eastAsia="Calibri" w:cs="Arial"/>
          <w:lang w:eastAsia="en-US"/>
        </w:rPr>
        <w:lastRenderedPageBreak/>
        <w:t>Since the 2 battalion chief officers are field positions, it is a</w:t>
      </w:r>
      <w:r>
        <w:rPr>
          <w:rFonts w:eastAsia="Calibri" w:cs="Arial"/>
          <w:lang w:eastAsia="en-US"/>
        </w:rPr>
        <w:t>ssumed that overtime also accrue</w:t>
      </w:r>
      <w:r w:rsidRPr="00716983">
        <w:rPr>
          <w:rFonts w:eastAsia="Calibri" w:cs="Arial"/>
          <w:lang w:eastAsia="en-US"/>
        </w:rPr>
        <w:t>s to them</w:t>
      </w:r>
      <w:r>
        <w:rPr>
          <w:rFonts w:eastAsia="Calibri" w:cs="Arial"/>
          <w:lang w:eastAsia="en-US"/>
        </w:rPr>
        <w:t xml:space="preserve"> but not to the assistant chief or the staff captain</w:t>
      </w:r>
      <w:r w:rsidRPr="00716983">
        <w:rPr>
          <w:rFonts w:eastAsia="Calibri" w:cs="Arial"/>
          <w:lang w:eastAsia="en-US"/>
        </w:rPr>
        <w:t>.</w:t>
      </w:r>
      <w:r>
        <w:rPr>
          <w:rFonts w:eastAsia="Calibri" w:cs="Arial"/>
          <w:lang w:eastAsia="en-US"/>
        </w:rPr>
        <w:t xml:space="preserve">  U</w:t>
      </w:r>
      <w:r w:rsidRPr="0053761E">
        <w:rPr>
          <w:rFonts w:eastAsia="Calibri" w:cs="Arial"/>
          <w:lang w:eastAsia="en-US"/>
        </w:rPr>
        <w:t xml:space="preserve">sing </w:t>
      </w:r>
      <w:r>
        <w:rPr>
          <w:rFonts w:eastAsia="Calibri" w:cs="Arial"/>
          <w:lang w:eastAsia="en-US"/>
        </w:rPr>
        <w:t xml:space="preserve">the average </w:t>
      </w:r>
      <w:r w:rsidRPr="00A77DDE">
        <w:rPr>
          <w:rFonts w:eastAsia="Calibri" w:cs="Arial"/>
          <w:lang w:eastAsia="en-US"/>
        </w:rPr>
        <w:t xml:space="preserve">OT to </w:t>
      </w:r>
      <w:r>
        <w:rPr>
          <w:rFonts w:eastAsia="Calibri" w:cs="Arial"/>
          <w:lang w:eastAsia="en-US"/>
        </w:rPr>
        <w:t>w</w:t>
      </w:r>
      <w:r w:rsidRPr="0053761E">
        <w:rPr>
          <w:rFonts w:eastAsia="Calibri" w:cs="Arial"/>
          <w:lang w:eastAsia="en-US"/>
        </w:rPr>
        <w:t>ages ratio of 11.47% then</w:t>
      </w:r>
      <w:r>
        <w:rPr>
          <w:rFonts w:eastAsia="Calibri" w:cs="Arial"/>
          <w:lang w:eastAsia="en-US"/>
        </w:rPr>
        <w:t xml:space="preserve"> the</w:t>
      </w:r>
      <w:r w:rsidRPr="00A77DDE">
        <w:rPr>
          <w:rFonts w:eastAsia="Calibri" w:cs="Arial"/>
          <w:lang w:eastAsia="en-US"/>
        </w:rPr>
        <w:t xml:space="preserve"> wages </w:t>
      </w:r>
      <w:r>
        <w:rPr>
          <w:rFonts w:eastAsia="Calibri" w:cs="Arial"/>
          <w:lang w:eastAsia="en-US"/>
        </w:rPr>
        <w:t>for these two positions would be approximately</w:t>
      </w:r>
      <w:r w:rsidRPr="00A77DDE">
        <w:rPr>
          <w:rFonts w:eastAsia="Calibri" w:cs="Arial"/>
          <w:lang w:eastAsia="en-US"/>
        </w:rPr>
        <w:t xml:space="preserve"> $275,280.  </w:t>
      </w:r>
      <w:r>
        <w:rPr>
          <w:rFonts w:eastAsia="Calibri" w:cs="Arial"/>
          <w:lang w:eastAsia="en-US"/>
        </w:rPr>
        <w:t>The b</w:t>
      </w:r>
      <w:r w:rsidRPr="0053761E">
        <w:rPr>
          <w:rFonts w:eastAsia="Calibri" w:cs="Arial"/>
          <w:lang w:eastAsia="en-US"/>
        </w:rPr>
        <w:t>enefits will increase by</w:t>
      </w:r>
      <w:r>
        <w:rPr>
          <w:rFonts w:eastAsia="Calibri" w:cs="Arial"/>
          <w:lang w:eastAsia="en-US"/>
        </w:rPr>
        <w:t xml:space="preserve"> a</w:t>
      </w:r>
      <w:r w:rsidRPr="0053761E">
        <w:rPr>
          <w:rFonts w:eastAsia="Calibri" w:cs="Arial"/>
          <w:lang w:eastAsia="en-US"/>
        </w:rPr>
        <w:t xml:space="preserve"> like amount</w:t>
      </w:r>
      <w:r>
        <w:rPr>
          <w:rFonts w:eastAsia="Calibri" w:cs="Arial"/>
          <w:lang w:eastAsia="en-US"/>
        </w:rPr>
        <w:t xml:space="preserve"> and would be approximately</w:t>
      </w:r>
      <w:r w:rsidRPr="0053761E">
        <w:rPr>
          <w:rFonts w:eastAsia="Calibri" w:cs="Arial"/>
          <w:lang w:eastAsia="en-US"/>
        </w:rPr>
        <w:t xml:space="preserve"> $83,685.  </w:t>
      </w:r>
    </w:p>
    <w:p w14:paraId="2341FD77" w14:textId="77777777" w:rsidR="004F5319" w:rsidRPr="0053761E" w:rsidRDefault="004F5319" w:rsidP="004F5319">
      <w:pPr>
        <w:pStyle w:val="ListParagraph"/>
        <w:numPr>
          <w:ilvl w:val="0"/>
          <w:numId w:val="49"/>
        </w:numPr>
        <w:spacing w:after="200"/>
        <w:contextualSpacing w:val="0"/>
        <w:rPr>
          <w:rFonts w:eastAsia="Calibri" w:cs="Arial"/>
          <w:lang w:eastAsia="en-US"/>
        </w:rPr>
      </w:pPr>
      <w:r w:rsidRPr="0053761E">
        <w:rPr>
          <w:rFonts w:eastAsia="Calibri" w:cs="Arial"/>
          <w:lang w:eastAsia="en-US"/>
        </w:rPr>
        <w:t xml:space="preserve">Total wages for all 4 </w:t>
      </w:r>
      <w:r>
        <w:rPr>
          <w:rFonts w:eastAsia="Calibri" w:cs="Arial"/>
          <w:lang w:eastAsia="en-US"/>
        </w:rPr>
        <w:t xml:space="preserve">additional command </w:t>
      </w:r>
      <w:r w:rsidRPr="0053761E">
        <w:rPr>
          <w:rFonts w:eastAsia="Calibri" w:cs="Arial"/>
          <w:lang w:eastAsia="en-US"/>
        </w:rPr>
        <w:t>position</w:t>
      </w:r>
      <w:r>
        <w:rPr>
          <w:rFonts w:eastAsia="Calibri" w:cs="Arial"/>
          <w:lang w:eastAsia="en-US"/>
        </w:rPr>
        <w:t>s would be approximately</w:t>
      </w:r>
      <w:r w:rsidRPr="0053761E">
        <w:rPr>
          <w:rFonts w:eastAsia="Calibri" w:cs="Arial"/>
          <w:lang w:eastAsia="en-US"/>
        </w:rPr>
        <w:t xml:space="preserve"> $515,280 while total benef</w:t>
      </w:r>
      <w:r>
        <w:rPr>
          <w:rFonts w:eastAsia="Calibri" w:cs="Arial"/>
          <w:lang w:eastAsia="en-US"/>
        </w:rPr>
        <w:t>its would be approximately</w:t>
      </w:r>
      <w:r w:rsidRPr="0053761E">
        <w:rPr>
          <w:rFonts w:eastAsia="Calibri" w:cs="Arial"/>
          <w:lang w:eastAsia="en-US"/>
        </w:rPr>
        <w:t xml:space="preserve"> $156,645.</w:t>
      </w:r>
    </w:p>
    <w:p w14:paraId="35A579A6" w14:textId="77777777" w:rsidR="004F5319" w:rsidRDefault="004F5319" w:rsidP="004F5319">
      <w:pPr>
        <w:pStyle w:val="ListParagraph"/>
        <w:numPr>
          <w:ilvl w:val="0"/>
          <w:numId w:val="49"/>
        </w:numPr>
        <w:spacing w:after="200"/>
        <w:contextualSpacing w:val="0"/>
        <w:rPr>
          <w:rFonts w:eastAsia="Calibri" w:cs="Arial"/>
          <w:lang w:eastAsia="en-US"/>
        </w:rPr>
      </w:pPr>
      <w:r w:rsidRPr="00A77DDE">
        <w:rPr>
          <w:rFonts w:eastAsia="Calibri" w:cs="Arial"/>
          <w:lang w:eastAsia="en-US"/>
        </w:rPr>
        <w:t>In order to g</w:t>
      </w:r>
      <w:r>
        <w:rPr>
          <w:rFonts w:eastAsia="Calibri" w:cs="Arial"/>
          <w:lang w:eastAsia="en-US"/>
        </w:rPr>
        <w:t>ain a more accurate picture of Personal S</w:t>
      </w:r>
      <w:r w:rsidRPr="00A77DDE">
        <w:rPr>
          <w:rFonts w:eastAsia="Calibri" w:cs="Arial"/>
          <w:lang w:eastAsia="en-US"/>
        </w:rPr>
        <w:t xml:space="preserve">ervices increases between 2011 and 2016, the adopted 2016 budget </w:t>
      </w:r>
      <w:r>
        <w:rPr>
          <w:rFonts w:eastAsia="Calibri" w:cs="Arial"/>
          <w:lang w:eastAsia="en-US"/>
        </w:rPr>
        <w:t xml:space="preserve">for forecast purposes </w:t>
      </w:r>
      <w:r w:rsidRPr="00A77DDE">
        <w:rPr>
          <w:rFonts w:eastAsia="Calibri" w:cs="Arial"/>
          <w:lang w:eastAsia="en-US"/>
        </w:rPr>
        <w:t xml:space="preserve">will be adjusted </w:t>
      </w:r>
      <w:r>
        <w:rPr>
          <w:rFonts w:eastAsia="Calibri" w:cs="Arial"/>
          <w:lang w:eastAsia="en-US"/>
        </w:rPr>
        <w:t xml:space="preserve">by </w:t>
      </w:r>
      <w:r w:rsidRPr="00A77DDE">
        <w:rPr>
          <w:rFonts w:eastAsia="Calibri" w:cs="Arial"/>
          <w:lang w:eastAsia="en-US"/>
        </w:rPr>
        <w:t xml:space="preserve">subtracting the calculated </w:t>
      </w:r>
      <w:r>
        <w:rPr>
          <w:rFonts w:eastAsia="Calibri" w:cs="Arial"/>
          <w:lang w:eastAsia="en-US"/>
        </w:rPr>
        <w:t xml:space="preserve">incremental </w:t>
      </w:r>
      <w:r w:rsidRPr="00A77DDE">
        <w:rPr>
          <w:rFonts w:eastAsia="Calibri" w:cs="Arial"/>
          <w:lang w:eastAsia="en-US"/>
        </w:rPr>
        <w:t xml:space="preserve">costs of adding the above 15 new positions and reclassifications.  Total Wages (including OT) of the new/reclassified </w:t>
      </w:r>
      <w:r>
        <w:rPr>
          <w:rFonts w:eastAsia="Calibri" w:cs="Arial"/>
          <w:lang w:eastAsia="en-US"/>
        </w:rPr>
        <w:t xml:space="preserve">command, company officer and line </w:t>
      </w:r>
      <w:r w:rsidRPr="00A77DDE">
        <w:rPr>
          <w:rFonts w:eastAsia="Calibri" w:cs="Arial"/>
          <w:lang w:eastAsia="en-US"/>
        </w:rPr>
        <w:t>po</w:t>
      </w:r>
      <w:r>
        <w:rPr>
          <w:rFonts w:eastAsia="Calibri" w:cs="Arial"/>
          <w:lang w:eastAsia="en-US"/>
        </w:rPr>
        <w:t xml:space="preserve">sitions would be approximately </w:t>
      </w:r>
      <w:r w:rsidRPr="00A77DDE">
        <w:rPr>
          <w:rFonts w:eastAsia="Calibri" w:cs="Arial"/>
          <w:lang w:eastAsia="en-US"/>
        </w:rPr>
        <w:t xml:space="preserve">$1,225,955 while total benefits would be </w:t>
      </w:r>
      <w:r>
        <w:rPr>
          <w:rFonts w:eastAsia="Calibri" w:cs="Arial"/>
          <w:lang w:eastAsia="en-US"/>
        </w:rPr>
        <w:t>approximately</w:t>
      </w:r>
      <w:r w:rsidRPr="00A77DDE">
        <w:rPr>
          <w:rFonts w:eastAsia="Calibri" w:cs="Arial"/>
          <w:lang w:eastAsia="en-US"/>
        </w:rPr>
        <w:t xml:space="preserve"> $388,605.  </w:t>
      </w:r>
    </w:p>
    <w:p w14:paraId="2838B0B8" w14:textId="77777777" w:rsidR="004F5319" w:rsidRPr="0053761E" w:rsidRDefault="004F5319" w:rsidP="004F5319">
      <w:pPr>
        <w:pStyle w:val="ListParagraph"/>
        <w:numPr>
          <w:ilvl w:val="0"/>
          <w:numId w:val="49"/>
        </w:numPr>
        <w:spacing w:after="200"/>
        <w:contextualSpacing w:val="0"/>
        <w:rPr>
          <w:rFonts w:eastAsia="Calibri" w:cs="Arial"/>
          <w:lang w:eastAsia="en-US"/>
        </w:rPr>
      </w:pPr>
      <w:r>
        <w:rPr>
          <w:rFonts w:eastAsia="Calibri" w:cs="Arial"/>
          <w:lang w:eastAsia="en-US"/>
        </w:rPr>
        <w:t xml:space="preserve">Therefore, adjusted 2016 wages, for comparison with 2011 wages </w:t>
      </w:r>
      <w:r w:rsidRPr="00A77DDE">
        <w:rPr>
          <w:rFonts w:eastAsia="Calibri" w:cs="Arial"/>
          <w:lang w:eastAsia="en-US"/>
        </w:rPr>
        <w:t>should be</w:t>
      </w:r>
      <w:r>
        <w:rPr>
          <w:rFonts w:eastAsia="Calibri" w:cs="Arial"/>
          <w:lang w:eastAsia="en-US"/>
        </w:rPr>
        <w:t xml:space="preserve"> approximately</w:t>
      </w:r>
      <w:r w:rsidRPr="00A77DDE">
        <w:rPr>
          <w:rFonts w:eastAsia="Calibri" w:cs="Arial"/>
          <w:lang w:eastAsia="en-US"/>
        </w:rPr>
        <w:t xml:space="preserve"> $5,200,451 </w:t>
      </w:r>
      <w:r>
        <w:rPr>
          <w:rFonts w:eastAsia="Calibri" w:cs="Arial"/>
          <w:lang w:eastAsia="en-US"/>
        </w:rPr>
        <w:t xml:space="preserve">for a total increase of $593,621 or 12.9 percent over five years.  This is an average annual increase of 2.58 percent.  Adjusted 2016 benefits for comparison purposes with 2011 should be approximately </w:t>
      </w:r>
      <w:r w:rsidRPr="00A77DDE">
        <w:rPr>
          <w:rFonts w:eastAsia="Calibri" w:cs="Arial"/>
          <w:lang w:eastAsia="en-US"/>
        </w:rPr>
        <w:t>$1,417,212</w:t>
      </w:r>
      <w:r>
        <w:rPr>
          <w:rFonts w:eastAsia="Calibri" w:cs="Arial"/>
          <w:lang w:eastAsia="en-US"/>
        </w:rPr>
        <w:t xml:space="preserve"> for a total increase of $491,825 or 53.2 percent over five years.  This is an average of 8.9 percent annually</w:t>
      </w:r>
      <w:r w:rsidRPr="00A77DDE">
        <w:rPr>
          <w:rFonts w:eastAsia="Calibri" w:cs="Arial"/>
          <w:lang w:eastAsia="en-US"/>
        </w:rPr>
        <w:t>.</w:t>
      </w:r>
    </w:p>
    <w:p w14:paraId="3D6F6631" w14:textId="13F950AD" w:rsidR="004F5319" w:rsidRDefault="004F5319" w:rsidP="004F5319">
      <w:pPr>
        <w:pStyle w:val="Caption"/>
      </w:pPr>
    </w:p>
    <w:p w14:paraId="5E98C993" w14:textId="23895379" w:rsidR="004F5319" w:rsidRDefault="004F5319" w:rsidP="007857F7">
      <w:pPr>
        <w:rPr>
          <w:lang w:eastAsia="en-US"/>
        </w:rPr>
      </w:pPr>
    </w:p>
    <w:p w14:paraId="66541B73" w14:textId="77777777" w:rsidR="004F5319" w:rsidRPr="007857F7" w:rsidRDefault="004F5319" w:rsidP="007857F7">
      <w:pPr>
        <w:rPr>
          <w:lang w:eastAsia="en-US"/>
        </w:rPr>
      </w:pPr>
    </w:p>
    <w:p w14:paraId="3055573A" w14:textId="785DDE4C" w:rsidR="00A17926" w:rsidRPr="00A17926" w:rsidRDefault="00FF68DD" w:rsidP="004F5319">
      <w:pPr>
        <w:pStyle w:val="Caption"/>
      </w:pPr>
      <w:bookmarkStart w:id="127" w:name="_Ref464306937"/>
      <w:bookmarkStart w:id="128" w:name="_Toc464323677"/>
      <w:bookmarkEnd w:id="122"/>
      <w:r>
        <w:lastRenderedPageBreak/>
        <w:t xml:space="preserve">Figure </w:t>
      </w:r>
      <w:r w:rsidR="00432AD4">
        <w:fldChar w:fldCharType="begin"/>
      </w:r>
      <w:r w:rsidR="00432AD4">
        <w:instrText xml:space="preserve"> SEQ Figure \* ARABIC </w:instrText>
      </w:r>
      <w:r w:rsidR="00432AD4">
        <w:fldChar w:fldCharType="separate"/>
      </w:r>
      <w:r w:rsidR="008209A2">
        <w:rPr>
          <w:noProof/>
        </w:rPr>
        <w:t>35</w:t>
      </w:r>
      <w:r w:rsidR="00432AD4">
        <w:rPr>
          <w:noProof/>
        </w:rPr>
        <w:fldChar w:fldCharType="end"/>
      </w:r>
      <w:bookmarkEnd w:id="127"/>
      <w:r w:rsidR="00A17926" w:rsidRPr="00A17926">
        <w:t>: Fire and Ambulance Regular Wages and Overtime</w:t>
      </w:r>
      <w:r w:rsidR="00596983">
        <w:t>,</w:t>
      </w:r>
      <w:r w:rsidR="00A17926" w:rsidRPr="00A17926">
        <w:t xml:space="preserve"> FY 2011</w:t>
      </w:r>
      <w:r w:rsidR="00216D47">
        <w:t xml:space="preserve"> – FY </w:t>
      </w:r>
      <w:r w:rsidR="00A17926" w:rsidRPr="00A17926">
        <w:t>2016</w:t>
      </w:r>
      <w:bookmarkEnd w:id="128"/>
    </w:p>
    <w:p w14:paraId="55001161" w14:textId="77777777" w:rsidR="00A17926" w:rsidRPr="00A17926" w:rsidRDefault="00A17926" w:rsidP="00457FAF">
      <w:pPr>
        <w:spacing w:after="0"/>
        <w:jc w:val="center"/>
        <w:rPr>
          <w:rFonts w:eastAsia="Calibri" w:cs="Arial"/>
          <w:b/>
          <w:sz w:val="20"/>
          <w:szCs w:val="20"/>
          <w:lang w:eastAsia="en-US"/>
        </w:rPr>
      </w:pPr>
      <w:r w:rsidRPr="00A17926">
        <w:rPr>
          <w:rFonts w:eastAsia="Calibri" w:cs="Times New Roman"/>
          <w:noProof/>
          <w:lang w:eastAsia="en-US"/>
        </w:rPr>
        <w:drawing>
          <wp:inline distT="0" distB="0" distL="0" distR="0" wp14:anchorId="366AAC93" wp14:editId="2CC1DAF7">
            <wp:extent cx="5212080" cy="3390900"/>
            <wp:effectExtent l="0" t="0" r="7620" b="0"/>
            <wp:docPr id="88" name="Chart 88"/>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0E6E5466" w14:textId="77777777" w:rsidR="00930E11" w:rsidRDefault="00A17926" w:rsidP="007C23FF">
      <w:pPr>
        <w:spacing w:after="200"/>
        <w:jc w:val="left"/>
        <w:rPr>
          <w:rFonts w:eastAsia="Calibri" w:cs="Arial"/>
          <w:lang w:eastAsia="en-US"/>
        </w:rPr>
      </w:pPr>
      <w:r w:rsidRPr="00457FAF">
        <w:rPr>
          <w:rFonts w:eastAsia="Calibri" w:cs="Arial"/>
          <w:i/>
          <w:sz w:val="20"/>
        </w:rPr>
        <w:t>Source:  Departmental Audited and Adopted Budget Document</w:t>
      </w:r>
    </w:p>
    <w:p w14:paraId="7D68FFC5" w14:textId="11193BBF" w:rsidR="00A17926" w:rsidRPr="00BE0B44" w:rsidRDefault="00FF68DD" w:rsidP="007C23FF">
      <w:pPr>
        <w:spacing w:after="200"/>
        <w:rPr>
          <w:rFonts w:eastAsia="Calibri" w:cs="Arial"/>
          <w:lang w:eastAsia="en-US"/>
        </w:rPr>
      </w:pPr>
      <w:r>
        <w:rPr>
          <w:rFonts w:eastAsia="Calibri" w:cs="Arial"/>
          <w:lang w:eastAsia="en-US"/>
        </w:rPr>
        <w:fldChar w:fldCharType="begin"/>
      </w:r>
      <w:r>
        <w:rPr>
          <w:rFonts w:eastAsia="Calibri" w:cs="Arial"/>
          <w:lang w:eastAsia="en-US"/>
        </w:rPr>
        <w:instrText xml:space="preserve"> REF _Ref464306937 \h </w:instrText>
      </w:r>
      <w:r>
        <w:rPr>
          <w:rFonts w:eastAsia="Calibri" w:cs="Arial"/>
          <w:lang w:eastAsia="en-US"/>
        </w:rPr>
      </w:r>
      <w:r>
        <w:rPr>
          <w:rFonts w:eastAsia="Calibri" w:cs="Arial"/>
          <w:lang w:eastAsia="en-US"/>
        </w:rPr>
        <w:fldChar w:fldCharType="separate"/>
      </w:r>
      <w:r w:rsidR="008209A2">
        <w:t xml:space="preserve">Figure </w:t>
      </w:r>
      <w:r w:rsidR="008209A2">
        <w:rPr>
          <w:noProof/>
        </w:rPr>
        <w:t>35</w:t>
      </w:r>
      <w:r>
        <w:rPr>
          <w:rFonts w:eastAsia="Calibri" w:cs="Arial"/>
          <w:lang w:eastAsia="en-US"/>
        </w:rPr>
        <w:fldChar w:fldCharType="end"/>
      </w:r>
      <w:r>
        <w:rPr>
          <w:rFonts w:eastAsia="Calibri" w:cs="Arial"/>
          <w:lang w:eastAsia="en-US"/>
        </w:rPr>
        <w:t xml:space="preserve"> </w:t>
      </w:r>
      <w:r w:rsidR="00A17926" w:rsidRPr="00BE0B44">
        <w:rPr>
          <w:rFonts w:eastAsia="Calibri" w:cs="Arial"/>
          <w:lang w:eastAsia="en-US"/>
        </w:rPr>
        <w:t xml:space="preserve">shows regular wages and overtime for the GF fire budget and the </w:t>
      </w:r>
      <w:r w:rsidR="00457FAF" w:rsidRPr="00BE0B44">
        <w:rPr>
          <w:rFonts w:eastAsia="Calibri" w:cs="Arial"/>
          <w:lang w:eastAsia="en-US"/>
        </w:rPr>
        <w:t>ambulance ut</w:t>
      </w:r>
      <w:r w:rsidR="00A17926" w:rsidRPr="00BE0B44">
        <w:rPr>
          <w:rFonts w:eastAsia="Calibri" w:cs="Arial"/>
          <w:lang w:eastAsia="en-US"/>
        </w:rPr>
        <w:t>ility budget for FY 2011-2016.  Total wages are shown by the green dashed line with the total amount shown above.</w:t>
      </w:r>
      <w:r w:rsidR="00932D9C" w:rsidRPr="00BE0B44">
        <w:rPr>
          <w:rFonts w:eastAsia="Calibri" w:cs="Arial"/>
          <w:lang w:eastAsia="en-US"/>
        </w:rPr>
        <w:t xml:space="preserve">  </w:t>
      </w:r>
      <w:r w:rsidR="00BE0B44" w:rsidRPr="00BE0B44">
        <w:rPr>
          <w:rFonts w:eastAsia="Calibri" w:cs="Arial"/>
          <w:lang w:eastAsia="en-US"/>
        </w:rPr>
        <w:t>This reflects retroactive pay in FY 2013, increases in staffing within the fire budget as mentioned above</w:t>
      </w:r>
      <w:r w:rsidR="000B69B6">
        <w:rPr>
          <w:rFonts w:eastAsia="Calibri" w:cs="Arial"/>
          <w:lang w:eastAsia="en-US"/>
        </w:rPr>
        <w:t>,</w:t>
      </w:r>
      <w:r w:rsidR="00BE0B44" w:rsidRPr="00BE0B44">
        <w:rPr>
          <w:rFonts w:eastAsia="Calibri" w:cs="Arial"/>
          <w:lang w:eastAsia="en-US"/>
        </w:rPr>
        <w:t xml:space="preserve"> and a shift from general fund support to ambulance utility support in FY 2016.</w:t>
      </w:r>
    </w:p>
    <w:p w14:paraId="402929AB" w14:textId="10312549" w:rsidR="00A17926" w:rsidRPr="000B69B6" w:rsidRDefault="00A17926" w:rsidP="007C23FF">
      <w:pPr>
        <w:rPr>
          <w:rFonts w:eastAsia="Calibri" w:cs="Times New Roman"/>
          <w:iCs/>
          <w:lang w:eastAsia="en-US"/>
        </w:rPr>
      </w:pPr>
      <w:r w:rsidRPr="006A575C">
        <w:rPr>
          <w:rFonts w:eastAsia="Calibri" w:cs="Times New Roman"/>
          <w:iCs/>
          <w:lang w:eastAsia="en-US"/>
        </w:rPr>
        <w:t>Ambulance wages have increased from $1,477,995 in FY 2011 to $1,832,558 in FY 2015 for an increase of 24 percent or average increase of 7.</w:t>
      </w:r>
      <w:r w:rsidR="006A575C">
        <w:rPr>
          <w:rFonts w:eastAsia="Calibri" w:cs="Times New Roman"/>
          <w:iCs/>
          <w:lang w:eastAsia="en-US"/>
        </w:rPr>
        <w:t>0</w:t>
      </w:r>
      <w:r w:rsidRPr="006A575C">
        <w:rPr>
          <w:rFonts w:eastAsia="Calibri" w:cs="Times New Roman"/>
          <w:iCs/>
          <w:lang w:eastAsia="en-US"/>
        </w:rPr>
        <w:t xml:space="preserve"> percent annually.  The amount jumped to $2,919,079 in FY 2016.</w:t>
      </w:r>
      <w:r w:rsidR="00932D9C" w:rsidRPr="006A575C">
        <w:rPr>
          <w:rFonts w:eastAsia="Calibri" w:cs="Times New Roman"/>
          <w:iCs/>
          <w:lang w:eastAsia="en-US"/>
        </w:rPr>
        <w:t xml:space="preserve">  This reflects retroactive pay, increases in staffing and a shift from general fund support to ambulance utility support.</w:t>
      </w:r>
    </w:p>
    <w:p w14:paraId="06305DC4" w14:textId="237E40AF" w:rsidR="00A17926" w:rsidRPr="00457FAF" w:rsidRDefault="00A17926" w:rsidP="007C23FF">
      <w:pPr>
        <w:rPr>
          <w:rFonts w:eastAsia="Calibri" w:cs="Arial"/>
          <w:lang w:eastAsia="en-US"/>
        </w:rPr>
      </w:pPr>
      <w:r w:rsidRPr="00457FAF">
        <w:rPr>
          <w:rFonts w:eastAsia="Calibri" w:cs="Arial"/>
          <w:lang w:eastAsia="en-US"/>
        </w:rPr>
        <w:t xml:space="preserve">Fire wages have varied throughout the period averaging $2.65 million in FY 2011-12 then climbing to $3.67 million in FY 2013, falling back to $3.2 million in FY 2014, then rising back up to $3.74 million in FY 2015 before falling back to $3.2 million in FY 2016.  </w:t>
      </w:r>
    </w:p>
    <w:p w14:paraId="0889D71D" w14:textId="4B1D53DD" w:rsidR="00A17926" w:rsidRPr="00457FAF" w:rsidRDefault="00A17926" w:rsidP="007C23FF">
      <w:pPr>
        <w:rPr>
          <w:rFonts w:eastAsia="Calibri" w:cs="Arial"/>
          <w:lang w:eastAsia="en-US"/>
        </w:rPr>
      </w:pPr>
      <w:r w:rsidRPr="00457FAF">
        <w:rPr>
          <w:rFonts w:eastAsia="Calibri" w:cs="Arial"/>
          <w:lang w:eastAsia="en-US"/>
        </w:rPr>
        <w:t>The change in ratio between the fire and ambulance budgets is dri</w:t>
      </w:r>
      <w:r w:rsidR="00457FAF">
        <w:rPr>
          <w:rFonts w:eastAsia="Calibri" w:cs="Arial"/>
          <w:lang w:eastAsia="en-US"/>
        </w:rPr>
        <w:t>ven by the change in wages and coincides</w:t>
      </w:r>
      <w:r w:rsidRPr="00457FAF">
        <w:rPr>
          <w:rFonts w:eastAsia="Calibri" w:cs="Arial"/>
          <w:lang w:eastAsia="en-US"/>
        </w:rPr>
        <w:t xml:space="preserve"> with a change in allocation of shared personn</w:t>
      </w:r>
      <w:r w:rsidR="00457FAF">
        <w:rPr>
          <w:rFonts w:eastAsia="Calibri" w:cs="Arial"/>
          <w:lang w:eastAsia="en-US"/>
        </w:rPr>
        <w:t>el costs following the November</w:t>
      </w:r>
      <w:r w:rsidRPr="00457FAF">
        <w:rPr>
          <w:rFonts w:eastAsia="Calibri" w:cs="Arial"/>
          <w:lang w:eastAsia="en-US"/>
        </w:rPr>
        <w:t xml:space="preserve"> 2015 FCS Group rate study</w:t>
      </w:r>
      <w:r w:rsidR="000E2B65" w:rsidRPr="000E2B65">
        <w:t xml:space="preserve"> </w:t>
      </w:r>
      <w:r w:rsidR="000E2B65" w:rsidRPr="000E2B65">
        <w:rPr>
          <w:rFonts w:eastAsia="Calibri" w:cs="Arial"/>
          <w:lang w:eastAsia="en-US"/>
        </w:rPr>
        <w:t>as implemented in the FY 2016 budget</w:t>
      </w:r>
      <w:r w:rsidRPr="00457FAF">
        <w:rPr>
          <w:rFonts w:eastAsia="Calibri" w:cs="Arial"/>
          <w:lang w:eastAsia="en-US"/>
        </w:rPr>
        <w:t>.</w:t>
      </w:r>
    </w:p>
    <w:p w14:paraId="2B0E1BC6" w14:textId="77777777" w:rsidR="00A17926" w:rsidRPr="00A17926" w:rsidRDefault="00A17926" w:rsidP="007C23FF">
      <w:pPr>
        <w:rPr>
          <w:rFonts w:eastAsia="Calibri" w:cs="Arial"/>
          <w:lang w:eastAsia="en-US"/>
        </w:rPr>
      </w:pPr>
      <w:r w:rsidRPr="00A17926">
        <w:rPr>
          <w:rFonts w:eastAsia="Calibri" w:cs="Arial"/>
          <w:lang w:eastAsia="en-US"/>
        </w:rPr>
        <w:t>Overtime is generally 15 percent or less of the regular wages expense for both budgets.</w:t>
      </w:r>
    </w:p>
    <w:p w14:paraId="574C4329" w14:textId="5AE7CD5C" w:rsidR="00A17926" w:rsidRPr="00A17926" w:rsidRDefault="00FF68DD" w:rsidP="00457FAF">
      <w:pPr>
        <w:pStyle w:val="Caption"/>
      </w:pPr>
      <w:bookmarkStart w:id="129" w:name="_Ref464307040"/>
      <w:bookmarkStart w:id="130" w:name="_Toc464323678"/>
      <w:r>
        <w:lastRenderedPageBreak/>
        <w:t xml:space="preserve">Figure </w:t>
      </w:r>
      <w:r w:rsidR="00432AD4">
        <w:fldChar w:fldCharType="begin"/>
      </w:r>
      <w:r w:rsidR="00432AD4">
        <w:instrText xml:space="preserve"> SEQ Figure \* ARABIC </w:instrText>
      </w:r>
      <w:r w:rsidR="00432AD4">
        <w:fldChar w:fldCharType="separate"/>
      </w:r>
      <w:r w:rsidR="008209A2">
        <w:rPr>
          <w:noProof/>
        </w:rPr>
        <w:t>36</w:t>
      </w:r>
      <w:r w:rsidR="00432AD4">
        <w:rPr>
          <w:noProof/>
        </w:rPr>
        <w:fldChar w:fldCharType="end"/>
      </w:r>
      <w:bookmarkEnd w:id="129"/>
      <w:r w:rsidR="00A17926" w:rsidRPr="00A17926">
        <w:t>: Fire and Ambulance Operating Expenses</w:t>
      </w:r>
      <w:r w:rsidR="00596983">
        <w:t>,</w:t>
      </w:r>
      <w:r w:rsidR="00A17926" w:rsidRPr="00A17926">
        <w:t xml:space="preserve"> FY 2011</w:t>
      </w:r>
      <w:r w:rsidR="00216D47">
        <w:t xml:space="preserve"> – FY </w:t>
      </w:r>
      <w:r w:rsidR="00A17926" w:rsidRPr="00A17926">
        <w:t>2016</w:t>
      </w:r>
      <w:bookmarkEnd w:id="130"/>
    </w:p>
    <w:p w14:paraId="23B959A2" w14:textId="77777777" w:rsidR="00A17926" w:rsidRPr="00A17926" w:rsidRDefault="00A17926" w:rsidP="00457FAF">
      <w:pPr>
        <w:spacing w:after="0"/>
        <w:jc w:val="center"/>
        <w:rPr>
          <w:rFonts w:eastAsia="Calibri" w:cs="Arial"/>
          <w:b/>
          <w:sz w:val="20"/>
          <w:szCs w:val="20"/>
          <w:lang w:eastAsia="en-US"/>
        </w:rPr>
      </w:pPr>
      <w:r w:rsidRPr="00A17926">
        <w:rPr>
          <w:rFonts w:eastAsia="Calibri" w:cs="Times New Roman"/>
          <w:noProof/>
          <w:lang w:eastAsia="en-US"/>
        </w:rPr>
        <w:drawing>
          <wp:inline distT="0" distB="0" distL="0" distR="0" wp14:anchorId="739FBCC9" wp14:editId="23FA13C4">
            <wp:extent cx="5212080" cy="3676650"/>
            <wp:effectExtent l="0" t="0" r="7620" b="0"/>
            <wp:docPr id="89" name="Chart 89"/>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18B0583F" w14:textId="77777777" w:rsidR="00A17926" w:rsidRPr="00457FAF" w:rsidRDefault="00A17926" w:rsidP="00457FAF">
      <w:pPr>
        <w:spacing w:after="240" w:line="240" w:lineRule="auto"/>
        <w:jc w:val="left"/>
        <w:rPr>
          <w:rFonts w:eastAsia="Calibri" w:cs="Arial"/>
          <w:i/>
        </w:rPr>
      </w:pPr>
      <w:r w:rsidRPr="00457FAF">
        <w:rPr>
          <w:rFonts w:eastAsia="Calibri" w:cs="Arial"/>
          <w:i/>
          <w:sz w:val="20"/>
        </w:rPr>
        <w:t>Source:  Departmental Audited and Adopted Budget Documents</w:t>
      </w:r>
    </w:p>
    <w:p w14:paraId="40362BCC" w14:textId="4C7801A7" w:rsidR="00A17926" w:rsidRPr="00A17926" w:rsidRDefault="00A17926" w:rsidP="007857F7">
      <w:pPr>
        <w:numPr>
          <w:ilvl w:val="0"/>
          <w:numId w:val="54"/>
        </w:numPr>
        <w:spacing w:after="120" w:line="240" w:lineRule="auto"/>
        <w:rPr>
          <w:rFonts w:eastAsia="Calibri" w:cs="Arial"/>
          <w:lang w:eastAsia="en-US"/>
        </w:rPr>
      </w:pPr>
      <w:r w:rsidRPr="00A17926">
        <w:rPr>
          <w:rFonts w:eastAsia="Calibri" w:cs="Arial"/>
          <w:lang w:eastAsia="en-US"/>
        </w:rPr>
        <w:t xml:space="preserve">Total operating expenses for the </w:t>
      </w:r>
      <w:r w:rsidR="00457FAF" w:rsidRPr="00A17926">
        <w:rPr>
          <w:rFonts w:eastAsia="Calibri" w:cs="Arial"/>
          <w:lang w:eastAsia="en-US"/>
        </w:rPr>
        <w:t xml:space="preserve">Department </w:t>
      </w:r>
      <w:proofErr w:type="gramStart"/>
      <w:r w:rsidRPr="00A17926">
        <w:rPr>
          <w:rFonts w:eastAsia="Calibri" w:cs="Arial"/>
          <w:lang w:eastAsia="en-US"/>
        </w:rPr>
        <w:t>are shown</w:t>
      </w:r>
      <w:proofErr w:type="gramEnd"/>
      <w:r w:rsidRPr="00A17926">
        <w:rPr>
          <w:rFonts w:eastAsia="Calibri" w:cs="Arial"/>
          <w:lang w:eastAsia="en-US"/>
        </w:rPr>
        <w:t xml:space="preserve"> in </w:t>
      </w:r>
      <w:r w:rsidR="00FF68DD">
        <w:rPr>
          <w:rFonts w:eastAsia="Calibri" w:cs="Arial"/>
          <w:lang w:eastAsia="en-US"/>
        </w:rPr>
        <w:fldChar w:fldCharType="begin"/>
      </w:r>
      <w:r w:rsidR="00FF68DD">
        <w:rPr>
          <w:rFonts w:eastAsia="Calibri" w:cs="Arial"/>
          <w:lang w:eastAsia="en-US"/>
        </w:rPr>
        <w:instrText xml:space="preserve"> REF _Ref464307040 \h </w:instrText>
      </w:r>
      <w:r w:rsidR="00FF68DD">
        <w:rPr>
          <w:rFonts w:eastAsia="Calibri" w:cs="Arial"/>
          <w:lang w:eastAsia="en-US"/>
        </w:rPr>
      </w:r>
      <w:r w:rsidR="00FF68DD">
        <w:rPr>
          <w:rFonts w:eastAsia="Calibri" w:cs="Arial"/>
          <w:lang w:eastAsia="en-US"/>
        </w:rPr>
        <w:fldChar w:fldCharType="separate"/>
      </w:r>
      <w:r w:rsidR="008209A2">
        <w:t xml:space="preserve">Figure </w:t>
      </w:r>
      <w:r w:rsidR="008209A2">
        <w:rPr>
          <w:noProof/>
        </w:rPr>
        <w:t>36</w:t>
      </w:r>
      <w:r w:rsidR="00FF68DD">
        <w:rPr>
          <w:rFonts w:eastAsia="Calibri" w:cs="Arial"/>
          <w:lang w:eastAsia="en-US"/>
        </w:rPr>
        <w:fldChar w:fldCharType="end"/>
      </w:r>
      <w:r w:rsidR="00FF68DD">
        <w:rPr>
          <w:rFonts w:eastAsia="Calibri" w:cs="Arial"/>
          <w:lang w:eastAsia="en-US"/>
        </w:rPr>
        <w:t xml:space="preserve"> </w:t>
      </w:r>
      <w:r w:rsidRPr="00A17926">
        <w:rPr>
          <w:rFonts w:eastAsia="Calibri" w:cs="Arial"/>
          <w:lang w:eastAsia="en-US"/>
        </w:rPr>
        <w:t xml:space="preserve">by the dashed green line with the totals above the triangular symbol.  </w:t>
      </w:r>
    </w:p>
    <w:p w14:paraId="793B12D0" w14:textId="77777777" w:rsidR="00A17926" w:rsidRPr="00A17926" w:rsidRDefault="00A17926" w:rsidP="007857F7">
      <w:pPr>
        <w:numPr>
          <w:ilvl w:val="0"/>
          <w:numId w:val="54"/>
        </w:numPr>
        <w:spacing w:after="120" w:line="240" w:lineRule="auto"/>
        <w:rPr>
          <w:rFonts w:eastAsia="Calibri" w:cs="Arial"/>
          <w:lang w:eastAsia="en-US"/>
        </w:rPr>
      </w:pPr>
      <w:r w:rsidRPr="00A17926">
        <w:rPr>
          <w:rFonts w:eastAsia="Calibri" w:cs="Arial"/>
          <w:lang w:eastAsia="en-US"/>
        </w:rPr>
        <w:t>Each budget includes a line item (54.4910) for I/F ER Replacement which is a recurring amount funded each year for capital apparatus replacement.  For the purposes of this analysis, this amount is shown as a recurring capital expense rather than an operating expense to clarify that this is for capital equipment.</w:t>
      </w:r>
    </w:p>
    <w:p w14:paraId="6A4DB05E" w14:textId="77777777" w:rsidR="00A17926" w:rsidRPr="00A17926" w:rsidRDefault="00A17926" w:rsidP="007857F7">
      <w:pPr>
        <w:numPr>
          <w:ilvl w:val="0"/>
          <w:numId w:val="54"/>
        </w:numPr>
        <w:spacing w:after="120" w:line="240" w:lineRule="auto"/>
        <w:rPr>
          <w:rFonts w:eastAsia="Calibri" w:cs="Arial"/>
          <w:lang w:eastAsia="en-US"/>
        </w:rPr>
      </w:pPr>
      <w:r w:rsidRPr="00A17926">
        <w:rPr>
          <w:rFonts w:eastAsia="Calibri" w:cs="Arial"/>
          <w:lang w:eastAsia="en-US"/>
        </w:rPr>
        <w:t>Department operating expenses have increased from $1,006,872 in FY 2011 to $1,418,573 in FY 2014 for an increase of 40.9 percent or approximately 13.4 percent per year for three years.</w:t>
      </w:r>
    </w:p>
    <w:p w14:paraId="4173FB43" w14:textId="1CCCE15C" w:rsidR="00A17926" w:rsidRPr="00A17926" w:rsidRDefault="00A17926" w:rsidP="007857F7">
      <w:pPr>
        <w:numPr>
          <w:ilvl w:val="0"/>
          <w:numId w:val="54"/>
        </w:numPr>
        <w:spacing w:after="120" w:line="240" w:lineRule="auto"/>
        <w:rPr>
          <w:rFonts w:eastAsia="Calibri" w:cs="Arial"/>
          <w:lang w:eastAsia="en-US"/>
        </w:rPr>
      </w:pPr>
      <w:r w:rsidRPr="00A17926">
        <w:rPr>
          <w:rFonts w:eastAsia="Calibri" w:cs="Arial"/>
          <w:lang w:eastAsia="en-US"/>
        </w:rPr>
        <w:t>This increase was driven primarily by ambulance operating costs</w:t>
      </w:r>
      <w:r w:rsidR="00457FAF">
        <w:rPr>
          <w:rFonts w:eastAsia="Calibri" w:cs="Arial"/>
          <w:lang w:eastAsia="en-US"/>
        </w:rPr>
        <w:t>,</w:t>
      </w:r>
      <w:r w:rsidRPr="00A17926">
        <w:rPr>
          <w:rFonts w:eastAsia="Calibri" w:cs="Arial"/>
          <w:lang w:eastAsia="en-US"/>
        </w:rPr>
        <w:t xml:space="preserve"> which increased 77.9 percent over the period through FY 2014 or approximately 25.3 percent per year.  Fire operating costs remained relatively flat during this period.</w:t>
      </w:r>
    </w:p>
    <w:p w14:paraId="197B0F83" w14:textId="1D68326E" w:rsidR="00A17926" w:rsidRPr="00A17926" w:rsidRDefault="00A17926" w:rsidP="007857F7">
      <w:pPr>
        <w:numPr>
          <w:ilvl w:val="0"/>
          <w:numId w:val="54"/>
        </w:numPr>
        <w:spacing w:after="120" w:line="240" w:lineRule="auto"/>
        <w:rPr>
          <w:rFonts w:eastAsia="Calibri" w:cs="Arial"/>
          <w:lang w:eastAsia="en-US"/>
        </w:rPr>
      </w:pPr>
      <w:r w:rsidRPr="00A17926">
        <w:rPr>
          <w:rFonts w:eastAsia="Calibri" w:cs="Arial"/>
          <w:lang w:eastAsia="en-US"/>
        </w:rPr>
        <w:t>The rate of increase in operating costs increased between FY 2014 and FY 2015</w:t>
      </w:r>
      <w:r w:rsidR="001A5246">
        <w:rPr>
          <w:rFonts w:eastAsia="Calibri" w:cs="Arial"/>
          <w:lang w:eastAsia="en-US"/>
        </w:rPr>
        <w:t>,</w:t>
      </w:r>
      <w:r w:rsidRPr="00A17926">
        <w:rPr>
          <w:rFonts w:eastAsia="Calibri" w:cs="Arial"/>
          <w:lang w:eastAsia="en-US"/>
        </w:rPr>
        <w:t xml:space="preserve"> a rate sustained through FY 2016.  The operating costs went from $1,418,573 in FY 2014 to $2,273,700 in FY 2016 for an increase of 60.3 percent or an average increase of 26.6 percent per year.</w:t>
      </w:r>
    </w:p>
    <w:p w14:paraId="210EC3B9" w14:textId="1C25D275" w:rsidR="00A17926" w:rsidRPr="00A17926" w:rsidRDefault="00A17926" w:rsidP="007857F7">
      <w:pPr>
        <w:numPr>
          <w:ilvl w:val="0"/>
          <w:numId w:val="54"/>
        </w:numPr>
        <w:spacing w:after="120" w:line="240" w:lineRule="auto"/>
        <w:rPr>
          <w:rFonts w:eastAsia="Calibri" w:cs="Arial"/>
          <w:lang w:eastAsia="en-US"/>
        </w:rPr>
      </w:pPr>
      <w:r w:rsidRPr="00A17926">
        <w:rPr>
          <w:rFonts w:eastAsia="Calibri" w:cs="Arial"/>
          <w:lang w:eastAsia="en-US"/>
        </w:rPr>
        <w:t>Both fire and ambulance operating costs increased at a high rate (average annual in</w:t>
      </w:r>
      <w:r w:rsidR="001A5246">
        <w:rPr>
          <w:rFonts w:eastAsia="Calibri" w:cs="Arial"/>
          <w:lang w:eastAsia="en-US"/>
        </w:rPr>
        <w:t>crease of 29.8 and 24.9 percent,</w:t>
      </w:r>
      <w:r w:rsidRPr="00A17926">
        <w:rPr>
          <w:rFonts w:eastAsia="Calibri" w:cs="Arial"/>
          <w:lang w:eastAsia="en-US"/>
        </w:rPr>
        <w:t xml:space="preserve"> respectively) from FY 2014 to FY 2016.</w:t>
      </w:r>
    </w:p>
    <w:p w14:paraId="4E774D59" w14:textId="38D08C28" w:rsidR="00A17926" w:rsidRPr="00A17926" w:rsidRDefault="00FF68DD" w:rsidP="001A5246">
      <w:pPr>
        <w:pStyle w:val="Caption"/>
      </w:pPr>
      <w:bookmarkStart w:id="131" w:name="_Ref464307124"/>
      <w:bookmarkStart w:id="132" w:name="_Toc464323679"/>
      <w:r>
        <w:lastRenderedPageBreak/>
        <w:t xml:space="preserve">Figure </w:t>
      </w:r>
      <w:r w:rsidR="00432AD4">
        <w:fldChar w:fldCharType="begin"/>
      </w:r>
      <w:r w:rsidR="00432AD4">
        <w:instrText xml:space="preserve"> SEQ Figure \* ARABIC </w:instrText>
      </w:r>
      <w:r w:rsidR="00432AD4">
        <w:fldChar w:fldCharType="separate"/>
      </w:r>
      <w:r w:rsidR="008209A2">
        <w:rPr>
          <w:noProof/>
        </w:rPr>
        <w:t>37</w:t>
      </w:r>
      <w:r w:rsidR="00432AD4">
        <w:rPr>
          <w:noProof/>
        </w:rPr>
        <w:fldChar w:fldCharType="end"/>
      </w:r>
      <w:bookmarkEnd w:id="131"/>
      <w:r w:rsidR="00596983">
        <w:t xml:space="preserve">: </w:t>
      </w:r>
      <w:r w:rsidR="00A17926" w:rsidRPr="00A17926">
        <w:t>Fire and Ambulance Capital Expenses</w:t>
      </w:r>
      <w:r w:rsidR="00596983">
        <w:t>,</w:t>
      </w:r>
      <w:r w:rsidR="00A17926" w:rsidRPr="00A17926">
        <w:t xml:space="preserve"> FY 2011</w:t>
      </w:r>
      <w:r w:rsidR="00216D47">
        <w:t xml:space="preserve"> – FY </w:t>
      </w:r>
      <w:r w:rsidR="00A17926" w:rsidRPr="00A17926">
        <w:t>2016</w:t>
      </w:r>
      <w:bookmarkEnd w:id="132"/>
    </w:p>
    <w:p w14:paraId="51DF3190" w14:textId="77777777" w:rsidR="00A17926" w:rsidRPr="00A17926" w:rsidRDefault="00A17926" w:rsidP="00A17926">
      <w:pPr>
        <w:spacing w:after="0"/>
        <w:rPr>
          <w:rFonts w:eastAsia="Calibri" w:cs="Arial"/>
          <w:b/>
          <w:sz w:val="20"/>
          <w:szCs w:val="20"/>
          <w:lang w:eastAsia="en-US"/>
        </w:rPr>
      </w:pPr>
      <w:r w:rsidRPr="00A17926">
        <w:rPr>
          <w:rFonts w:eastAsia="Calibri" w:cs="Times New Roman"/>
          <w:noProof/>
          <w:lang w:eastAsia="en-US"/>
        </w:rPr>
        <w:drawing>
          <wp:inline distT="0" distB="0" distL="0" distR="0" wp14:anchorId="5A98DB24" wp14:editId="4BD51E78">
            <wp:extent cx="5943600" cy="3467100"/>
            <wp:effectExtent l="0" t="0" r="0" b="0"/>
            <wp:docPr id="90" name="Chart 90"/>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7A7D402B" w14:textId="77777777" w:rsidR="00A17926" w:rsidRPr="001A5246" w:rsidRDefault="00A17926" w:rsidP="00A17926">
      <w:pPr>
        <w:spacing w:after="200"/>
        <w:jc w:val="left"/>
        <w:rPr>
          <w:rFonts w:eastAsia="Calibri" w:cs="Arial"/>
          <w:i/>
        </w:rPr>
      </w:pPr>
      <w:r w:rsidRPr="001A5246">
        <w:rPr>
          <w:rFonts w:eastAsia="Calibri" w:cs="Arial"/>
          <w:i/>
          <w:sz w:val="20"/>
        </w:rPr>
        <w:t>Source:  Departmental Audited and Adopted Budget Documents</w:t>
      </w:r>
    </w:p>
    <w:p w14:paraId="3213B02D" w14:textId="148E1891" w:rsidR="00A17926" w:rsidRPr="00A17926" w:rsidRDefault="00FF68DD" w:rsidP="007857F7">
      <w:pPr>
        <w:numPr>
          <w:ilvl w:val="0"/>
          <w:numId w:val="54"/>
        </w:numPr>
        <w:spacing w:after="120" w:line="240" w:lineRule="auto"/>
        <w:rPr>
          <w:rFonts w:eastAsia="Calibri" w:cs="Arial"/>
          <w:lang w:eastAsia="en-US"/>
        </w:rPr>
      </w:pPr>
      <w:r>
        <w:rPr>
          <w:rFonts w:eastAsia="Calibri" w:cs="Arial"/>
          <w:lang w:eastAsia="en-US"/>
        </w:rPr>
        <w:fldChar w:fldCharType="begin"/>
      </w:r>
      <w:r>
        <w:rPr>
          <w:rFonts w:eastAsia="Calibri" w:cs="Arial"/>
          <w:lang w:eastAsia="en-US"/>
        </w:rPr>
        <w:instrText xml:space="preserve"> REF _Ref464307124 \h </w:instrText>
      </w:r>
      <w:r>
        <w:rPr>
          <w:rFonts w:eastAsia="Calibri" w:cs="Arial"/>
          <w:lang w:eastAsia="en-US"/>
        </w:rPr>
      </w:r>
      <w:r>
        <w:rPr>
          <w:rFonts w:eastAsia="Calibri" w:cs="Arial"/>
          <w:lang w:eastAsia="en-US"/>
        </w:rPr>
        <w:fldChar w:fldCharType="separate"/>
      </w:r>
      <w:r w:rsidR="008209A2">
        <w:t xml:space="preserve">Figure </w:t>
      </w:r>
      <w:r w:rsidR="008209A2">
        <w:rPr>
          <w:noProof/>
        </w:rPr>
        <w:t>37</w:t>
      </w:r>
      <w:r>
        <w:rPr>
          <w:rFonts w:eastAsia="Calibri" w:cs="Arial"/>
          <w:lang w:eastAsia="en-US"/>
        </w:rPr>
        <w:fldChar w:fldCharType="end"/>
      </w:r>
      <w:r w:rsidR="00930E11" w:rsidRPr="00596983">
        <w:rPr>
          <w:rFonts w:eastAsia="Calibri" w:cs="Arial"/>
          <w:lang w:eastAsia="en-US"/>
        </w:rPr>
        <w:t xml:space="preserve"> </w:t>
      </w:r>
      <w:r w:rsidR="00A17926" w:rsidRPr="00A17926">
        <w:rPr>
          <w:rFonts w:eastAsia="Calibri" w:cs="Arial"/>
          <w:lang w:eastAsia="en-US"/>
        </w:rPr>
        <w:t xml:space="preserve">shows total </w:t>
      </w:r>
      <w:r w:rsidR="001A5246" w:rsidRPr="00A17926">
        <w:rPr>
          <w:rFonts w:eastAsia="Calibri" w:cs="Arial"/>
          <w:lang w:eastAsia="en-US"/>
        </w:rPr>
        <w:t xml:space="preserve">Department </w:t>
      </w:r>
      <w:r w:rsidR="00A17926" w:rsidRPr="00A17926">
        <w:rPr>
          <w:rFonts w:eastAsia="Calibri" w:cs="Arial"/>
          <w:lang w:eastAsia="en-US"/>
        </w:rPr>
        <w:t>I/F (interfund) ER Replacement costs for the period FY 2011-2016 as a green dashed line with the total over each green triangle.  As stated, although this is a recurring expense and is budgeted as an operating cost, this expense is for replacement of capital apparatus in each fund and is shown as a recurring capital expense for the purposes of this analysis.</w:t>
      </w:r>
    </w:p>
    <w:p w14:paraId="385A803F" w14:textId="77777777" w:rsidR="00A17926" w:rsidRPr="00A17926" w:rsidRDefault="00A17926" w:rsidP="007857F7">
      <w:pPr>
        <w:numPr>
          <w:ilvl w:val="0"/>
          <w:numId w:val="54"/>
        </w:numPr>
        <w:spacing w:after="120" w:line="240" w:lineRule="auto"/>
        <w:rPr>
          <w:rFonts w:eastAsia="Calibri" w:cs="Arial"/>
          <w:lang w:eastAsia="en-US"/>
        </w:rPr>
      </w:pPr>
      <w:r w:rsidRPr="00A17926">
        <w:rPr>
          <w:rFonts w:eastAsia="Calibri" w:cs="Arial"/>
          <w:lang w:eastAsia="en-US"/>
        </w:rPr>
        <w:t>Department costs have averaged $450,000 per year from FY 2011-2015 and jumped in FY 2016 to $540,000.</w:t>
      </w:r>
    </w:p>
    <w:p w14:paraId="02F6B8D2" w14:textId="77777777" w:rsidR="00A17926" w:rsidRPr="00A17926" w:rsidRDefault="00A17926" w:rsidP="007857F7">
      <w:pPr>
        <w:numPr>
          <w:ilvl w:val="0"/>
          <w:numId w:val="54"/>
        </w:numPr>
        <w:spacing w:after="120" w:line="240" w:lineRule="auto"/>
        <w:rPr>
          <w:rFonts w:eastAsia="Calibri" w:cs="Arial"/>
          <w:lang w:eastAsia="en-US"/>
        </w:rPr>
      </w:pPr>
      <w:r w:rsidRPr="00A17926">
        <w:rPr>
          <w:rFonts w:eastAsia="Calibri" w:cs="Arial"/>
          <w:lang w:eastAsia="en-US"/>
        </w:rPr>
        <w:t>Costs have generally been split equally between the fire and ambulance budgets.</w:t>
      </w:r>
    </w:p>
    <w:p w14:paraId="4E1D1227" w14:textId="1A2D960D" w:rsidR="00A17926" w:rsidRPr="00A17926" w:rsidRDefault="00A17926" w:rsidP="007857F7">
      <w:pPr>
        <w:numPr>
          <w:ilvl w:val="0"/>
          <w:numId w:val="54"/>
        </w:numPr>
        <w:spacing w:after="120" w:line="240" w:lineRule="auto"/>
        <w:rPr>
          <w:rFonts w:eastAsia="Calibri" w:cs="Arial"/>
          <w:lang w:eastAsia="en-US"/>
        </w:rPr>
      </w:pPr>
      <w:r w:rsidRPr="00A17926">
        <w:rPr>
          <w:rFonts w:eastAsia="Calibri" w:cs="Arial"/>
          <w:lang w:eastAsia="en-US"/>
        </w:rPr>
        <w:t>Other non-emergency response capital apparatus costs are shown by fund for fire and ambulance budgets in</w:t>
      </w:r>
      <w:r w:rsidRPr="001A5246">
        <w:rPr>
          <w:rFonts w:eastAsia="Calibri" w:cs="Arial"/>
          <w:lang w:eastAsia="en-US"/>
        </w:rPr>
        <w:t xml:space="preserve"> </w:t>
      </w:r>
      <w:r w:rsidR="00930E11" w:rsidRPr="001A5246">
        <w:rPr>
          <w:rFonts w:eastAsia="Calibri" w:cs="Arial"/>
          <w:lang w:eastAsia="en-US"/>
        </w:rPr>
        <w:fldChar w:fldCharType="begin"/>
      </w:r>
      <w:r w:rsidR="00930E11" w:rsidRPr="00930E11">
        <w:rPr>
          <w:rFonts w:eastAsia="Calibri" w:cs="Arial"/>
          <w:lang w:eastAsia="en-US"/>
        </w:rPr>
        <w:instrText xml:space="preserve"> REF _Ref456014516 \h  \* MERGEFORMAT </w:instrText>
      </w:r>
      <w:r w:rsidR="00930E11" w:rsidRPr="001A5246">
        <w:rPr>
          <w:rFonts w:eastAsia="Calibri" w:cs="Arial"/>
          <w:lang w:eastAsia="en-US"/>
        </w:rPr>
      </w:r>
      <w:r w:rsidR="00930E11" w:rsidRPr="001A5246">
        <w:rPr>
          <w:rFonts w:eastAsia="Calibri" w:cs="Arial"/>
          <w:lang w:eastAsia="en-US"/>
        </w:rPr>
        <w:fldChar w:fldCharType="separate"/>
      </w:r>
      <w:proofErr w:type="gramStart"/>
      <w:r w:rsidR="008209A2" w:rsidRPr="008209A2">
        <w:rPr>
          <w:rFonts w:eastAsia="Calibri" w:cs="Times New Roman"/>
          <w:iCs/>
          <w:lang w:eastAsia="en-US"/>
        </w:rPr>
        <w:t xml:space="preserve">Figure </w:t>
      </w:r>
      <w:proofErr w:type="gramEnd"/>
      <w:r w:rsidR="00930E11" w:rsidRPr="001A5246">
        <w:rPr>
          <w:rFonts w:eastAsia="Calibri" w:cs="Arial"/>
          <w:lang w:eastAsia="en-US"/>
        </w:rPr>
        <w:fldChar w:fldCharType="end"/>
      </w:r>
      <w:r w:rsidRPr="00A17926">
        <w:rPr>
          <w:rFonts w:eastAsia="Calibri" w:cs="Arial"/>
          <w:lang w:eastAsia="en-US"/>
        </w:rPr>
        <w:t>, which follows.</w:t>
      </w:r>
    </w:p>
    <w:p w14:paraId="4C4E2F0C" w14:textId="77777777" w:rsidR="00A17926" w:rsidRPr="00A17926" w:rsidRDefault="00A17926" w:rsidP="007857F7">
      <w:pPr>
        <w:numPr>
          <w:ilvl w:val="0"/>
          <w:numId w:val="54"/>
        </w:numPr>
        <w:spacing w:after="120" w:line="240" w:lineRule="auto"/>
        <w:rPr>
          <w:rFonts w:eastAsia="Calibri" w:cs="Arial"/>
          <w:lang w:eastAsia="en-US"/>
        </w:rPr>
      </w:pPr>
      <w:r w:rsidRPr="00A17926">
        <w:rPr>
          <w:rFonts w:eastAsia="Calibri" w:cs="Arial"/>
          <w:lang w:eastAsia="en-US"/>
        </w:rPr>
        <w:t>These expenses are sporadic and relatively minor when compared with the ER replacement expenditures discussed above.</w:t>
      </w:r>
    </w:p>
    <w:p w14:paraId="6E6FB7C6" w14:textId="09163682" w:rsidR="00A17926" w:rsidRPr="00A17926" w:rsidRDefault="00A17926" w:rsidP="001A5246">
      <w:pPr>
        <w:pStyle w:val="Caption"/>
      </w:pPr>
      <w:bookmarkStart w:id="133" w:name="_Ref456014516"/>
      <w:bookmarkStart w:id="134" w:name="_Toc464323680"/>
      <w:r w:rsidRPr="00A17926">
        <w:lastRenderedPageBreak/>
        <w:t xml:space="preserve">Figure </w:t>
      </w:r>
      <w:bookmarkEnd w:id="133"/>
      <w:r w:rsidR="00930E11">
        <w:fldChar w:fldCharType="begin"/>
      </w:r>
      <w:r w:rsidR="00930E11">
        <w:instrText xml:space="preserve"> SEQ Figure \* ARABIC </w:instrText>
      </w:r>
      <w:r w:rsidR="00930E11">
        <w:fldChar w:fldCharType="separate"/>
      </w:r>
      <w:r w:rsidR="008209A2">
        <w:rPr>
          <w:noProof/>
        </w:rPr>
        <w:t>38</w:t>
      </w:r>
      <w:r w:rsidR="00930E11">
        <w:rPr>
          <w:noProof/>
        </w:rPr>
        <w:fldChar w:fldCharType="end"/>
      </w:r>
      <w:r w:rsidR="00596983">
        <w:t xml:space="preserve">: </w:t>
      </w:r>
      <w:r w:rsidRPr="00A17926">
        <w:t xml:space="preserve">Fire and Ambulance </w:t>
      </w:r>
      <w:r w:rsidR="00596983">
        <w:t xml:space="preserve">Non-Apparatus </w:t>
      </w:r>
      <w:r w:rsidRPr="00A17926">
        <w:t>Capital Expenses</w:t>
      </w:r>
      <w:r w:rsidR="00596983">
        <w:t>,</w:t>
      </w:r>
      <w:r w:rsidRPr="00A17926">
        <w:t xml:space="preserve"> FY 2011</w:t>
      </w:r>
      <w:r w:rsidR="00216D47">
        <w:t xml:space="preserve"> – FY </w:t>
      </w:r>
      <w:r w:rsidRPr="00A17926">
        <w:t>2016</w:t>
      </w:r>
      <w:bookmarkEnd w:id="134"/>
    </w:p>
    <w:p w14:paraId="4EEA0DA8" w14:textId="77777777" w:rsidR="00A17926" w:rsidRPr="00A17926" w:rsidRDefault="00A17926" w:rsidP="001A5246">
      <w:pPr>
        <w:spacing w:after="0"/>
        <w:jc w:val="center"/>
        <w:rPr>
          <w:rFonts w:eastAsia="Calibri" w:cs="Arial"/>
          <w:b/>
          <w:sz w:val="20"/>
          <w:szCs w:val="20"/>
          <w:lang w:eastAsia="en-US"/>
        </w:rPr>
      </w:pPr>
      <w:r w:rsidRPr="00A17926">
        <w:rPr>
          <w:rFonts w:eastAsia="Calibri" w:cs="Times New Roman"/>
          <w:noProof/>
          <w:lang w:eastAsia="en-US"/>
        </w:rPr>
        <w:drawing>
          <wp:inline distT="0" distB="0" distL="0" distR="0" wp14:anchorId="06E2A01B" wp14:editId="49FEBA62">
            <wp:extent cx="5212080" cy="2428875"/>
            <wp:effectExtent l="0" t="0" r="7620" b="9525"/>
            <wp:docPr id="91" name="Chart 91"/>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041AC113" w14:textId="77777777" w:rsidR="00A17926" w:rsidRPr="001A5246" w:rsidRDefault="00A17926" w:rsidP="001A5246">
      <w:pPr>
        <w:spacing w:after="240" w:line="240" w:lineRule="auto"/>
        <w:jc w:val="left"/>
        <w:rPr>
          <w:rFonts w:eastAsia="Calibri" w:cs="Arial"/>
          <w:i/>
        </w:rPr>
      </w:pPr>
      <w:r w:rsidRPr="001A5246">
        <w:rPr>
          <w:rFonts w:eastAsia="Calibri" w:cs="Arial"/>
          <w:i/>
          <w:sz w:val="20"/>
        </w:rPr>
        <w:t>Source:  Departmental Audited and Adopted Budget Documents</w:t>
      </w:r>
    </w:p>
    <w:p w14:paraId="116D9D9E" w14:textId="77777777" w:rsidR="00A17926" w:rsidRPr="00A17926" w:rsidRDefault="00A17926" w:rsidP="00A17926">
      <w:pPr>
        <w:spacing w:after="120"/>
        <w:rPr>
          <w:rFonts w:eastAsia="Calibri" w:cs="Arial"/>
          <w:b/>
          <w:i/>
        </w:rPr>
      </w:pPr>
      <w:r w:rsidRPr="00A17926">
        <w:rPr>
          <w:rFonts w:eastAsia="Calibri" w:cs="Arial"/>
          <w:b/>
          <w:i/>
        </w:rPr>
        <w:t>Net Income/Deficit</w:t>
      </w:r>
    </w:p>
    <w:p w14:paraId="35447437" w14:textId="13FC233F" w:rsidR="00A17926" w:rsidRPr="00A17926" w:rsidRDefault="00930E11" w:rsidP="00A17926">
      <w:pPr>
        <w:spacing w:after="200"/>
        <w:rPr>
          <w:rFonts w:eastAsia="Calibri" w:cs="Times New Roman"/>
          <w:lang w:eastAsia="en-US"/>
        </w:rPr>
      </w:pPr>
      <w:r w:rsidRPr="00596983">
        <w:rPr>
          <w:rFonts w:eastAsia="Calibri" w:cs="Times New Roman"/>
          <w:lang w:eastAsia="en-US"/>
        </w:rPr>
        <w:fldChar w:fldCharType="begin"/>
      </w:r>
      <w:r w:rsidRPr="00596983">
        <w:rPr>
          <w:rFonts w:eastAsia="Calibri" w:cs="Times New Roman"/>
          <w:lang w:eastAsia="en-US"/>
        </w:rPr>
        <w:instrText xml:space="preserve"> REF _Ref456014554 \h  \* MERGEFORMAT </w:instrText>
      </w:r>
      <w:r w:rsidRPr="00596983">
        <w:rPr>
          <w:rFonts w:eastAsia="Calibri" w:cs="Times New Roman"/>
          <w:lang w:eastAsia="en-US"/>
        </w:rPr>
      </w:r>
      <w:r w:rsidRPr="00596983">
        <w:rPr>
          <w:rFonts w:eastAsia="Calibri" w:cs="Times New Roman"/>
          <w:lang w:eastAsia="en-US"/>
        </w:rPr>
        <w:fldChar w:fldCharType="separate"/>
      </w:r>
      <w:r w:rsidR="008209A2" w:rsidRPr="008209A2">
        <w:rPr>
          <w:rFonts w:eastAsia="Calibri" w:cs="Times New Roman"/>
          <w:iCs/>
          <w:lang w:eastAsia="en-US"/>
        </w:rPr>
        <w:t xml:space="preserve">Figure </w:t>
      </w:r>
      <w:r w:rsidRPr="00596983">
        <w:rPr>
          <w:rFonts w:eastAsia="Calibri" w:cs="Times New Roman"/>
          <w:lang w:eastAsia="en-US"/>
        </w:rPr>
        <w:fldChar w:fldCharType="end"/>
      </w:r>
      <w:r w:rsidRPr="00596983">
        <w:rPr>
          <w:rFonts w:eastAsia="Calibri" w:cs="Times New Roman"/>
          <w:lang w:eastAsia="en-US"/>
        </w:rPr>
        <w:t xml:space="preserve"> </w:t>
      </w:r>
      <w:r w:rsidR="00A17926" w:rsidRPr="00A17926">
        <w:rPr>
          <w:rFonts w:eastAsia="Calibri" w:cs="Times New Roman"/>
          <w:lang w:eastAsia="en-US"/>
        </w:rPr>
        <w:t>shows graphically the department sub-total of actual fire expenses for FY 2011 through FY 2015 with amended for FY 2016 in red.  Revenue shown for the same period represents the contractual payment from the Port to the City under the interlocal agreement for ARFF services as well as other fire specific fees.  Since the fire budget of the PFD is a budget within the General Fund, the “operating deficit” reflect</w:t>
      </w:r>
      <w:r w:rsidR="00CA2104">
        <w:rPr>
          <w:rFonts w:eastAsia="Calibri" w:cs="Times New Roman"/>
          <w:lang w:eastAsia="en-US"/>
        </w:rPr>
        <w:t>s that portion of the</w:t>
      </w:r>
      <w:r w:rsidR="00A17926" w:rsidRPr="00A17926">
        <w:rPr>
          <w:rFonts w:eastAsia="Calibri" w:cs="Times New Roman"/>
          <w:lang w:eastAsia="en-US"/>
        </w:rPr>
        <w:t xml:space="preserve"> expenditure</w:t>
      </w:r>
      <w:r w:rsidR="00CA2104">
        <w:rPr>
          <w:rFonts w:eastAsia="Calibri" w:cs="Times New Roman"/>
          <w:lang w:eastAsia="en-US"/>
        </w:rPr>
        <w:t>s</w:t>
      </w:r>
      <w:r w:rsidR="00A17926" w:rsidRPr="00A17926">
        <w:rPr>
          <w:rFonts w:eastAsia="Calibri" w:cs="Times New Roman"/>
          <w:lang w:eastAsia="en-US"/>
        </w:rPr>
        <w:t xml:space="preserve"> budget funded by City general revenues other than the specific recurring fire revenue sources; for example, tax revenues such as sales and property taxes.</w:t>
      </w:r>
    </w:p>
    <w:p w14:paraId="1E2B3634" w14:textId="4ECEE605" w:rsidR="00A17926" w:rsidRPr="00A17926" w:rsidRDefault="00A17926" w:rsidP="00CA2104">
      <w:pPr>
        <w:pStyle w:val="Caption"/>
      </w:pPr>
      <w:bookmarkStart w:id="135" w:name="_Ref456014554"/>
      <w:bookmarkStart w:id="136" w:name="_Toc464323681"/>
      <w:r w:rsidRPr="00A17926">
        <w:lastRenderedPageBreak/>
        <w:t xml:space="preserve">Figure </w:t>
      </w:r>
      <w:bookmarkEnd w:id="135"/>
      <w:r w:rsidR="00930E11">
        <w:fldChar w:fldCharType="begin"/>
      </w:r>
      <w:r w:rsidR="00930E11">
        <w:instrText xml:space="preserve"> SEQ Figure \* ARABIC </w:instrText>
      </w:r>
      <w:r w:rsidR="00930E11">
        <w:fldChar w:fldCharType="separate"/>
      </w:r>
      <w:r w:rsidR="008209A2">
        <w:rPr>
          <w:noProof/>
        </w:rPr>
        <w:t>39</w:t>
      </w:r>
      <w:r w:rsidR="00930E11">
        <w:rPr>
          <w:noProof/>
        </w:rPr>
        <w:fldChar w:fldCharType="end"/>
      </w:r>
      <w:r w:rsidR="00596983">
        <w:t xml:space="preserve">: </w:t>
      </w:r>
      <w:r w:rsidRPr="00A17926">
        <w:t>Fire Recurring Revenue, Expenditure</w:t>
      </w:r>
      <w:r w:rsidR="00CA2104">
        <w:t>,</w:t>
      </w:r>
      <w:r w:rsidRPr="00A17926">
        <w:t xml:space="preserve"> and Net Surplus/(Deficit) Trends</w:t>
      </w:r>
      <w:r w:rsidR="00216D47">
        <w:t>, FY 2011 – FY 2016</w:t>
      </w:r>
      <w:bookmarkEnd w:id="136"/>
    </w:p>
    <w:p w14:paraId="7ACB22A8" w14:textId="77777777" w:rsidR="00A17926" w:rsidRPr="00A17926" w:rsidRDefault="00A17926" w:rsidP="00252CDB">
      <w:pPr>
        <w:keepNext/>
        <w:spacing w:after="0"/>
        <w:jc w:val="center"/>
        <w:rPr>
          <w:rFonts w:eastAsia="Calibri" w:cs="Arial"/>
          <w:b/>
          <w:sz w:val="20"/>
        </w:rPr>
      </w:pPr>
      <w:r w:rsidRPr="00A17926">
        <w:rPr>
          <w:rFonts w:eastAsia="Calibri" w:cs="Times New Roman"/>
          <w:noProof/>
          <w:lang w:eastAsia="en-US"/>
        </w:rPr>
        <w:drawing>
          <wp:inline distT="0" distB="0" distL="0" distR="0" wp14:anchorId="06C18C3C" wp14:editId="4C4124CE">
            <wp:extent cx="5212080" cy="3186430"/>
            <wp:effectExtent l="0" t="0" r="7620" b="13970"/>
            <wp:docPr id="92" name="Chart 92"/>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5DFD88F5" w14:textId="77777777" w:rsidR="00A17926" w:rsidRPr="00252CDB" w:rsidRDefault="00A17926" w:rsidP="00252CDB">
      <w:pPr>
        <w:spacing w:after="240" w:line="240" w:lineRule="auto"/>
        <w:jc w:val="left"/>
        <w:rPr>
          <w:rFonts w:eastAsia="Calibri" w:cs="Arial"/>
          <w:i/>
          <w:sz w:val="20"/>
        </w:rPr>
      </w:pPr>
      <w:r w:rsidRPr="00252CDB">
        <w:rPr>
          <w:rFonts w:eastAsia="Calibri" w:cs="Arial"/>
          <w:i/>
          <w:sz w:val="20"/>
        </w:rPr>
        <w:t>Source:  Departmental Audited and Adopted Budget Documents</w:t>
      </w:r>
    </w:p>
    <w:p w14:paraId="627BF7A4" w14:textId="68202210" w:rsidR="00A17926" w:rsidRPr="00A17926" w:rsidRDefault="00A17926" w:rsidP="00A17926">
      <w:pPr>
        <w:spacing w:after="200"/>
        <w:rPr>
          <w:rFonts w:eastAsia="Calibri" w:cs="Times New Roman"/>
          <w:lang w:eastAsia="en-US"/>
        </w:rPr>
      </w:pPr>
      <w:r w:rsidRPr="00A17926">
        <w:rPr>
          <w:rFonts w:eastAsia="Calibri" w:cs="Times New Roman"/>
          <w:lang w:eastAsia="en-US"/>
        </w:rPr>
        <w:t xml:space="preserve">Conversely, </w:t>
      </w:r>
      <w:r w:rsidR="00930E11" w:rsidRPr="00596983">
        <w:rPr>
          <w:rFonts w:eastAsia="Calibri" w:cs="Times New Roman"/>
          <w:lang w:eastAsia="en-US"/>
        </w:rPr>
        <w:fldChar w:fldCharType="begin"/>
      </w:r>
      <w:r w:rsidR="00930E11" w:rsidRPr="00596983">
        <w:rPr>
          <w:rFonts w:eastAsia="Calibri" w:cs="Times New Roman"/>
          <w:lang w:eastAsia="en-US"/>
        </w:rPr>
        <w:instrText xml:space="preserve"> REF _Ref456014595 \h  \* MERGEFORMAT </w:instrText>
      </w:r>
      <w:r w:rsidR="00930E11" w:rsidRPr="00596983">
        <w:rPr>
          <w:rFonts w:eastAsia="Calibri" w:cs="Times New Roman"/>
          <w:lang w:eastAsia="en-US"/>
        </w:rPr>
      </w:r>
      <w:r w:rsidR="00930E11" w:rsidRPr="00596983">
        <w:rPr>
          <w:rFonts w:eastAsia="Calibri" w:cs="Times New Roman"/>
          <w:lang w:eastAsia="en-US"/>
        </w:rPr>
        <w:fldChar w:fldCharType="separate"/>
      </w:r>
      <w:r w:rsidR="008209A2" w:rsidRPr="008209A2">
        <w:rPr>
          <w:rFonts w:eastAsia="Calibri" w:cs="Times New Roman"/>
          <w:iCs/>
          <w:lang w:eastAsia="en-US"/>
        </w:rPr>
        <w:t xml:space="preserve">Figure </w:t>
      </w:r>
      <w:r w:rsidR="00930E11" w:rsidRPr="00596983">
        <w:rPr>
          <w:rFonts w:eastAsia="Calibri" w:cs="Times New Roman"/>
          <w:lang w:eastAsia="en-US"/>
        </w:rPr>
        <w:fldChar w:fldCharType="end"/>
      </w:r>
      <w:r w:rsidR="00930E11" w:rsidRPr="00252CDB">
        <w:rPr>
          <w:rFonts w:eastAsia="Calibri" w:cs="Times New Roman"/>
          <w:lang w:eastAsia="en-US"/>
        </w:rPr>
        <w:t xml:space="preserve"> </w:t>
      </w:r>
      <w:r w:rsidR="00252CDB">
        <w:rPr>
          <w:rFonts w:eastAsia="Calibri" w:cs="Times New Roman"/>
          <w:lang w:eastAsia="en-US"/>
        </w:rPr>
        <w:t>illustrates in graphic format</w:t>
      </w:r>
      <w:r w:rsidRPr="00A17926">
        <w:rPr>
          <w:rFonts w:eastAsia="Calibri" w:cs="Times New Roman"/>
          <w:lang w:eastAsia="en-US"/>
        </w:rPr>
        <w:t xml:space="preserve"> the </w:t>
      </w:r>
      <w:r w:rsidR="00252CDB" w:rsidRPr="00A17926">
        <w:rPr>
          <w:rFonts w:eastAsia="Calibri" w:cs="Times New Roman"/>
          <w:lang w:eastAsia="en-US"/>
        </w:rPr>
        <w:t xml:space="preserve">Department </w:t>
      </w:r>
      <w:r w:rsidRPr="00A17926">
        <w:rPr>
          <w:rFonts w:eastAsia="Calibri" w:cs="Times New Roman"/>
          <w:lang w:eastAsia="en-US"/>
        </w:rPr>
        <w:t>sub-total of actual ambulance expenses for FY 2011 through FY 2015</w:t>
      </w:r>
      <w:r w:rsidR="00596983">
        <w:rPr>
          <w:rFonts w:eastAsia="Calibri" w:cs="Times New Roman"/>
          <w:lang w:eastAsia="en-US"/>
        </w:rPr>
        <w:t>,</w:t>
      </w:r>
      <w:r w:rsidRPr="00A17926">
        <w:rPr>
          <w:rFonts w:eastAsia="Calibri" w:cs="Times New Roman"/>
          <w:lang w:eastAsia="en-US"/>
        </w:rPr>
        <w:t xml:space="preserve"> with amended FY 2016 in red.  Revenue shown for the same period represents primarily ambulance billing and the ambulance utility fee.  Since the ambulance budget of the PFD is a self-contained budget, the “operating deficit” reflects the difference between recurring ambulance revenue and recurring expense.  To the extent that there is an operating deficit, it must be made up through other fundi</w:t>
      </w:r>
      <w:r w:rsidR="00252CDB">
        <w:rPr>
          <w:rFonts w:eastAsia="Calibri" w:cs="Times New Roman"/>
          <w:lang w:eastAsia="en-US"/>
        </w:rPr>
        <w:t>ng sources available</w:t>
      </w:r>
      <w:r w:rsidRPr="00A17926">
        <w:rPr>
          <w:rFonts w:eastAsia="Calibri" w:cs="Times New Roman"/>
          <w:lang w:eastAsia="en-US"/>
        </w:rPr>
        <w:t>.  These include the General Fund transfer (subsidy) discussed above and the beginning fund balance each year.</w:t>
      </w:r>
    </w:p>
    <w:p w14:paraId="48D84A36" w14:textId="133FDFB3" w:rsidR="00A17926" w:rsidRPr="00A17926" w:rsidRDefault="00A17926" w:rsidP="00252CDB">
      <w:pPr>
        <w:pStyle w:val="Caption"/>
      </w:pPr>
      <w:bookmarkStart w:id="137" w:name="_Ref456014595"/>
      <w:bookmarkStart w:id="138" w:name="_Toc464323682"/>
      <w:r w:rsidRPr="00A17926">
        <w:lastRenderedPageBreak/>
        <w:t xml:space="preserve">Figure </w:t>
      </w:r>
      <w:bookmarkEnd w:id="137"/>
      <w:r w:rsidR="00930E11">
        <w:fldChar w:fldCharType="begin"/>
      </w:r>
      <w:r w:rsidR="00930E11">
        <w:instrText xml:space="preserve"> SEQ Figure \* ARABIC </w:instrText>
      </w:r>
      <w:r w:rsidR="00930E11">
        <w:fldChar w:fldCharType="separate"/>
      </w:r>
      <w:r w:rsidR="008209A2">
        <w:rPr>
          <w:noProof/>
        </w:rPr>
        <w:t>40</w:t>
      </w:r>
      <w:r w:rsidR="00930E11">
        <w:rPr>
          <w:noProof/>
        </w:rPr>
        <w:fldChar w:fldCharType="end"/>
      </w:r>
      <w:r w:rsidR="00596983">
        <w:t xml:space="preserve">: </w:t>
      </w:r>
      <w:r w:rsidRPr="00A17926">
        <w:t>Ambulance Recurring Revenue, Expenditure and Net Surplus/(Deficit) Trends</w:t>
      </w:r>
      <w:r w:rsidR="00216D47">
        <w:t>, FY 2011 – FY 2016</w:t>
      </w:r>
      <w:bookmarkEnd w:id="138"/>
    </w:p>
    <w:p w14:paraId="2CA3C838" w14:textId="77777777" w:rsidR="00A17926" w:rsidRPr="00A17926" w:rsidRDefault="00A17926" w:rsidP="00596983">
      <w:pPr>
        <w:spacing w:after="0"/>
        <w:jc w:val="center"/>
        <w:rPr>
          <w:rFonts w:eastAsia="Calibri" w:cs="Arial"/>
          <w:b/>
          <w:sz w:val="20"/>
        </w:rPr>
      </w:pPr>
      <w:r w:rsidRPr="00A17926">
        <w:rPr>
          <w:rFonts w:eastAsia="Calibri" w:cs="Times New Roman"/>
          <w:noProof/>
          <w:lang w:eastAsia="en-US"/>
        </w:rPr>
        <w:drawing>
          <wp:inline distT="0" distB="0" distL="0" distR="0" wp14:anchorId="520A1729" wp14:editId="7A2DDF8E">
            <wp:extent cx="5212080" cy="3362325"/>
            <wp:effectExtent l="0" t="0" r="7620" b="9525"/>
            <wp:docPr id="93" name="Chart 93"/>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2244D494" w14:textId="77777777" w:rsidR="00A17926" w:rsidRPr="00596983" w:rsidRDefault="00A17926" w:rsidP="00596983">
      <w:pPr>
        <w:spacing w:after="240"/>
        <w:jc w:val="left"/>
        <w:rPr>
          <w:rFonts w:eastAsia="Calibri" w:cs="Arial"/>
          <w:i/>
          <w:sz w:val="20"/>
        </w:rPr>
      </w:pPr>
      <w:r w:rsidRPr="00596983">
        <w:rPr>
          <w:rFonts w:eastAsia="Calibri" w:cs="Arial"/>
          <w:i/>
          <w:sz w:val="20"/>
        </w:rPr>
        <w:t>Source:  Departmental Audited and Adopted Budget Documents</w:t>
      </w:r>
    </w:p>
    <w:p w14:paraId="459BE923" w14:textId="6D20F26B" w:rsidR="00A17926" w:rsidRPr="00A17926" w:rsidRDefault="00596983" w:rsidP="00A17926">
      <w:pPr>
        <w:spacing w:after="200"/>
        <w:rPr>
          <w:rFonts w:eastAsia="Calibri" w:cs="Arial"/>
        </w:rPr>
      </w:pPr>
      <w:r>
        <w:rPr>
          <w:rFonts w:eastAsia="Calibri" w:cs="Arial"/>
        </w:rPr>
        <w:t xml:space="preserve">The following figure </w:t>
      </w:r>
      <w:r w:rsidR="00A17926" w:rsidRPr="00A17926">
        <w:rPr>
          <w:rFonts w:eastAsia="Calibri" w:cs="Arial"/>
        </w:rPr>
        <w:t>illustrates the relationship between the annual operating surplus/(deficit), General Fund transfer into the Ambulance Utility Fund</w:t>
      </w:r>
      <w:r w:rsidR="009068FA">
        <w:rPr>
          <w:rFonts w:eastAsia="Calibri" w:cs="Arial"/>
        </w:rPr>
        <w:t>,</w:t>
      </w:r>
      <w:r w:rsidR="00A17926" w:rsidRPr="00A17926">
        <w:rPr>
          <w:rFonts w:eastAsia="Calibri" w:cs="Arial"/>
        </w:rPr>
        <w:t xml:space="preserve"> and the beginning fund balance each year.  As in </w:t>
      </w:r>
      <w:r w:rsidR="00930E11" w:rsidRPr="00216D47">
        <w:rPr>
          <w:rFonts w:eastAsia="Calibri" w:cs="Arial"/>
        </w:rPr>
        <w:fldChar w:fldCharType="begin"/>
      </w:r>
      <w:r w:rsidR="00930E11" w:rsidRPr="00216D47">
        <w:rPr>
          <w:rFonts w:eastAsia="Calibri" w:cs="Arial"/>
        </w:rPr>
        <w:instrText xml:space="preserve"> REF _Ref456014595 \h  \* MERGEFORMAT </w:instrText>
      </w:r>
      <w:r w:rsidR="00930E11" w:rsidRPr="00216D47">
        <w:rPr>
          <w:rFonts w:eastAsia="Calibri" w:cs="Arial"/>
        </w:rPr>
      </w:r>
      <w:r w:rsidR="00930E11" w:rsidRPr="00216D47">
        <w:rPr>
          <w:rFonts w:eastAsia="Calibri" w:cs="Arial"/>
        </w:rPr>
        <w:fldChar w:fldCharType="separate"/>
      </w:r>
      <w:proofErr w:type="gramStart"/>
      <w:r w:rsidR="008209A2" w:rsidRPr="008209A2">
        <w:rPr>
          <w:rFonts w:eastAsia="Calibri" w:cs="Times New Roman"/>
          <w:iCs/>
          <w:lang w:eastAsia="en-US"/>
        </w:rPr>
        <w:t xml:space="preserve">Figure </w:t>
      </w:r>
      <w:proofErr w:type="gramEnd"/>
      <w:r w:rsidR="00930E11" w:rsidRPr="00216D47">
        <w:rPr>
          <w:rFonts w:eastAsia="Calibri" w:cs="Arial"/>
        </w:rPr>
        <w:fldChar w:fldCharType="end"/>
      </w:r>
      <w:r w:rsidR="00A17926" w:rsidRPr="00216D47">
        <w:rPr>
          <w:rFonts w:eastAsia="Calibri" w:cs="Arial"/>
        </w:rPr>
        <w:t>,</w:t>
      </w:r>
      <w:r w:rsidR="00A17926" w:rsidRPr="00A17926">
        <w:rPr>
          <w:rFonts w:eastAsia="Calibri" w:cs="Arial"/>
        </w:rPr>
        <w:t xml:space="preserve"> the green bars represent the annual operating sur</w:t>
      </w:r>
      <w:r w:rsidR="009068FA">
        <w:rPr>
          <w:rFonts w:eastAsia="Calibri" w:cs="Arial"/>
        </w:rPr>
        <w:t>plus or</w:t>
      </w:r>
      <w:r w:rsidR="00A17926" w:rsidRPr="00A17926">
        <w:rPr>
          <w:rFonts w:eastAsia="Calibri" w:cs="Arial"/>
        </w:rPr>
        <w:t xml:space="preserve"> the operating deficit.  Even though the above figure shows recurring revenue increasing each year, expenses are as well and continue to exceed revenues.  Therefore, the ambulance fund runs a deficit each year.  This deficit, de</w:t>
      </w:r>
      <w:r w:rsidR="009068FA">
        <w:rPr>
          <w:rFonts w:eastAsia="Calibri" w:cs="Arial"/>
        </w:rPr>
        <w:t xml:space="preserve">spite an infusion from the </w:t>
      </w:r>
      <w:r w:rsidR="00A17926" w:rsidRPr="00A17926">
        <w:rPr>
          <w:rFonts w:eastAsia="Calibri" w:cs="Arial"/>
        </w:rPr>
        <w:t xml:space="preserve">General Fund, causes fund balance to decrease </w:t>
      </w:r>
      <w:r w:rsidR="009068FA">
        <w:rPr>
          <w:rFonts w:eastAsia="Calibri" w:cs="Arial"/>
        </w:rPr>
        <w:t>(</w:t>
      </w:r>
      <w:r w:rsidR="00A17926" w:rsidRPr="00A17926">
        <w:rPr>
          <w:rFonts w:eastAsia="Calibri" w:cs="Arial"/>
        </w:rPr>
        <w:t>as shown by the blue line</w:t>
      </w:r>
      <w:r w:rsidR="009068FA">
        <w:rPr>
          <w:rFonts w:eastAsia="Calibri" w:cs="Arial"/>
        </w:rPr>
        <w:t>)</w:t>
      </w:r>
      <w:r w:rsidR="00A17926" w:rsidRPr="00A17926">
        <w:rPr>
          <w:rFonts w:eastAsia="Calibri" w:cs="Arial"/>
        </w:rPr>
        <w:t xml:space="preserve"> which decreases from FY 2011 through FY 2012.  As the General Fund subsidy is significantly increased, the decrease in fund balance is arrested and reversed. </w:t>
      </w:r>
    </w:p>
    <w:p w14:paraId="094BC679" w14:textId="650B9C83" w:rsidR="00A17926" w:rsidRPr="00A17926" w:rsidRDefault="00A17926" w:rsidP="00A17926">
      <w:pPr>
        <w:spacing w:after="200"/>
        <w:rPr>
          <w:rFonts w:eastAsia="Calibri" w:cs="Arial"/>
        </w:rPr>
      </w:pPr>
      <w:r w:rsidRPr="00A17926">
        <w:rPr>
          <w:rFonts w:eastAsia="Calibri" w:cs="Arial"/>
        </w:rPr>
        <w:t xml:space="preserve">Expenses </w:t>
      </w:r>
      <w:r w:rsidR="009068FA">
        <w:rPr>
          <w:rFonts w:eastAsia="Calibri" w:cs="Arial"/>
        </w:rPr>
        <w:t>were</w:t>
      </w:r>
      <w:r w:rsidRPr="00A17926">
        <w:rPr>
          <w:rFonts w:eastAsia="Calibri" w:cs="Arial"/>
        </w:rPr>
        <w:t xml:space="preserve"> significantly reduced in FY 2014 and the annual operating deficit</w:t>
      </w:r>
      <w:r w:rsidR="009068FA">
        <w:rPr>
          <w:rFonts w:eastAsia="Calibri" w:cs="Arial"/>
        </w:rPr>
        <w:t xml:space="preserve"> wa</w:t>
      </w:r>
      <w:r w:rsidRPr="00A17926">
        <w:rPr>
          <w:rFonts w:eastAsia="Calibri" w:cs="Arial"/>
        </w:rPr>
        <w:t>s almost reduced to zero</w:t>
      </w:r>
      <w:r w:rsidR="009068FA">
        <w:rPr>
          <w:rFonts w:eastAsia="Calibri" w:cs="Arial"/>
        </w:rPr>
        <w:t>,</w:t>
      </w:r>
      <w:r w:rsidRPr="00A17926">
        <w:rPr>
          <w:rFonts w:eastAsia="Calibri" w:cs="Arial"/>
        </w:rPr>
        <w:t xml:space="preserve"> allowing </w:t>
      </w:r>
      <w:r w:rsidR="009068FA">
        <w:rPr>
          <w:rFonts w:eastAsia="Calibri" w:cs="Arial"/>
        </w:rPr>
        <w:t xml:space="preserve">the </w:t>
      </w:r>
      <w:r w:rsidRPr="00A17926">
        <w:rPr>
          <w:rFonts w:eastAsia="Calibri" w:cs="Arial"/>
        </w:rPr>
        <w:t>fund balance to continue increasing and allowing the City to reduce the subsidy to the ambulance fund.  The City keeps the subsidy flat at $420,000 from FY 2014 through FY 2016 and, as operating deficits again increase, the fund balance begins to react by decreasing between FY 2015 and FY 2016.</w:t>
      </w:r>
    </w:p>
    <w:p w14:paraId="3B09D2DE" w14:textId="411EF54C" w:rsidR="00A17926" w:rsidRPr="00A17926" w:rsidRDefault="00A17926" w:rsidP="009068FA">
      <w:pPr>
        <w:pStyle w:val="Caption"/>
      </w:pPr>
      <w:bookmarkStart w:id="139" w:name="_Ref456014704"/>
      <w:bookmarkStart w:id="140" w:name="_Toc464323683"/>
      <w:r w:rsidRPr="00A17926">
        <w:lastRenderedPageBreak/>
        <w:t xml:space="preserve">Figure </w:t>
      </w:r>
      <w:bookmarkEnd w:id="139"/>
      <w:r w:rsidR="00930E11">
        <w:fldChar w:fldCharType="begin"/>
      </w:r>
      <w:r w:rsidR="00930E11">
        <w:instrText xml:space="preserve"> SEQ Figure \* ARABIC </w:instrText>
      </w:r>
      <w:r w:rsidR="00930E11">
        <w:fldChar w:fldCharType="separate"/>
      </w:r>
      <w:r w:rsidR="008209A2">
        <w:rPr>
          <w:noProof/>
        </w:rPr>
        <w:t>41</w:t>
      </w:r>
      <w:r w:rsidR="00930E11">
        <w:rPr>
          <w:noProof/>
        </w:rPr>
        <w:fldChar w:fldCharType="end"/>
      </w:r>
      <w:r w:rsidR="009068FA">
        <w:t xml:space="preserve">: </w:t>
      </w:r>
      <w:r w:rsidRPr="00A17926">
        <w:t>Ambulance Operating Surplus/(Deficit), Fund Balance</w:t>
      </w:r>
      <w:r w:rsidR="009068FA">
        <w:t>,</w:t>
      </w:r>
      <w:r w:rsidRPr="00A17926">
        <w:t xml:space="preserve"> and GF Transfer (In) Trends</w:t>
      </w:r>
      <w:r w:rsidR="009068FA">
        <w:t>, FY 2011 – FY 2016</w:t>
      </w:r>
      <w:bookmarkEnd w:id="140"/>
    </w:p>
    <w:p w14:paraId="02EB705C" w14:textId="77777777" w:rsidR="00A17926" w:rsidRPr="00A17926" w:rsidRDefault="00A17926" w:rsidP="009068FA">
      <w:pPr>
        <w:spacing w:after="0"/>
        <w:jc w:val="center"/>
        <w:rPr>
          <w:rFonts w:eastAsia="Calibri" w:cs="Arial"/>
          <w:b/>
          <w:sz w:val="20"/>
        </w:rPr>
      </w:pPr>
      <w:r w:rsidRPr="00A17926">
        <w:rPr>
          <w:rFonts w:eastAsia="Calibri" w:cs="Times New Roman"/>
          <w:noProof/>
          <w:lang w:eastAsia="en-US"/>
        </w:rPr>
        <w:drawing>
          <wp:inline distT="0" distB="0" distL="0" distR="0" wp14:anchorId="482EB888" wp14:editId="4CE639EE">
            <wp:extent cx="5743575" cy="3524250"/>
            <wp:effectExtent l="0" t="0" r="9525" b="0"/>
            <wp:docPr id="94" name="Chart 94"/>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1D422781" w14:textId="77777777" w:rsidR="00A17926" w:rsidRPr="009068FA" w:rsidRDefault="00A17926" w:rsidP="00A17926">
      <w:pPr>
        <w:spacing w:after="120"/>
        <w:jc w:val="left"/>
        <w:rPr>
          <w:rFonts w:eastAsia="Calibri" w:cs="Arial"/>
          <w:i/>
          <w:sz w:val="20"/>
        </w:rPr>
      </w:pPr>
      <w:r w:rsidRPr="009068FA">
        <w:rPr>
          <w:rFonts w:eastAsia="Calibri" w:cs="Arial"/>
          <w:i/>
          <w:sz w:val="20"/>
        </w:rPr>
        <w:t>Source:  Departmental Audited and Adopted Budget Documents</w:t>
      </w:r>
    </w:p>
    <w:p w14:paraId="0DF24E8B" w14:textId="77777777" w:rsidR="00A17926" w:rsidRPr="00A17926" w:rsidRDefault="00A17926" w:rsidP="00A17926">
      <w:pPr>
        <w:spacing w:after="120"/>
        <w:jc w:val="left"/>
        <w:rPr>
          <w:rFonts w:eastAsia="Calibri" w:cs="Arial"/>
          <w:b/>
          <w:sz w:val="20"/>
        </w:rPr>
      </w:pPr>
    </w:p>
    <w:p w14:paraId="0B055B9C" w14:textId="77777777" w:rsidR="009234BC" w:rsidRDefault="009234BC">
      <w:pPr>
        <w:spacing w:after="200"/>
        <w:jc w:val="left"/>
        <w:rPr>
          <w:rFonts w:eastAsiaTheme="majorEastAsia" w:cs="Calibri"/>
          <w:bCs/>
          <w:caps/>
          <w:color w:val="808080" w:themeColor="background1" w:themeShade="80"/>
          <w:sz w:val="24"/>
          <w:szCs w:val="26"/>
        </w:rPr>
      </w:pPr>
      <w:r>
        <w:rPr>
          <w:rFonts w:cs="Calibri"/>
        </w:rPr>
        <w:br w:type="page"/>
      </w:r>
    </w:p>
    <w:p w14:paraId="3C45E82A" w14:textId="784EFD1C" w:rsidR="003A60C0" w:rsidRPr="003A60C0" w:rsidRDefault="003A60C0" w:rsidP="003A60C0">
      <w:pPr>
        <w:pStyle w:val="Heading2"/>
        <w:rPr>
          <w:rFonts w:cs="Calibri"/>
        </w:rPr>
      </w:pPr>
      <w:bookmarkStart w:id="141" w:name="_Toc464323561"/>
      <w:r w:rsidRPr="003A60C0">
        <w:rPr>
          <w:rFonts w:cs="Calibri"/>
        </w:rPr>
        <w:lastRenderedPageBreak/>
        <w:t>Staffing</w:t>
      </w:r>
      <w:bookmarkEnd w:id="59"/>
      <w:bookmarkEnd w:id="141"/>
    </w:p>
    <w:p w14:paraId="60E86C0C" w14:textId="2EA80CBA" w:rsidR="003A60C0" w:rsidRPr="003A60C0" w:rsidRDefault="003A60C0" w:rsidP="003A60C0">
      <w:pPr>
        <w:widowControl w:val="0"/>
        <w:rPr>
          <w:rFonts w:eastAsia="Times New Roman" w:cs="Times New Roman"/>
          <w:szCs w:val="24"/>
          <w:lang w:eastAsia="en-US"/>
        </w:rPr>
      </w:pPr>
      <w:r w:rsidRPr="003A60C0">
        <w:rPr>
          <w:rFonts w:eastAsia="Times New Roman" w:cs="Times New Roman"/>
          <w:szCs w:val="24"/>
          <w:lang w:eastAsia="en-US"/>
        </w:rPr>
        <w:t>The most valuable asset of any organization is its people.  The effective management of human resources requires a balance between the maximum utilization of the overall workforce and the experience of a high level of job satisfaction by individual workers.  To achieve this goal consistently,</w:t>
      </w:r>
      <w:r w:rsidR="009068FA">
        <w:rPr>
          <w:rFonts w:eastAsia="Times New Roman" w:cs="Times New Roman"/>
          <w:szCs w:val="24"/>
          <w:lang w:eastAsia="en-US"/>
        </w:rPr>
        <w:t xml:space="preserve"> management must </w:t>
      </w:r>
      <w:r w:rsidRPr="003A60C0">
        <w:rPr>
          <w:rFonts w:eastAsia="Times New Roman" w:cs="Times New Roman"/>
          <w:szCs w:val="24"/>
          <w:lang w:eastAsia="en-US"/>
        </w:rPr>
        <w:t>combine reliability with a safe working environment, fair treatment, the opportunity to provide input, and recognition of the individual’s commitment and sacrifice.  Job satisfaction depends upon this combination of factors.</w:t>
      </w:r>
    </w:p>
    <w:p w14:paraId="4F85EB90" w14:textId="77777777" w:rsidR="003A60C0" w:rsidRPr="003A60C0" w:rsidRDefault="003A60C0" w:rsidP="003A60C0">
      <w:pPr>
        <w:pStyle w:val="Heading3"/>
        <w:rPr>
          <w:rFonts w:eastAsia="Times New Roman"/>
          <w:lang w:eastAsia="en-US"/>
        </w:rPr>
      </w:pPr>
      <w:bookmarkStart w:id="142" w:name="_Toc464323562"/>
      <w:r w:rsidRPr="003A60C0">
        <w:rPr>
          <w:rFonts w:eastAsia="Times New Roman"/>
          <w:lang w:eastAsia="en-US"/>
        </w:rPr>
        <w:t>Administrative and Support Staffing</w:t>
      </w:r>
      <w:bookmarkEnd w:id="142"/>
    </w:p>
    <w:p w14:paraId="5FAAE008" w14:textId="77777777" w:rsidR="003A60C0" w:rsidRPr="003A60C0" w:rsidRDefault="003A60C0" w:rsidP="003A60C0">
      <w:pPr>
        <w:widowControl w:val="0"/>
        <w:rPr>
          <w:rFonts w:eastAsia="Times New Roman" w:cs="Times New Roman"/>
          <w:szCs w:val="24"/>
          <w:lang w:eastAsia="en-US"/>
        </w:rPr>
      </w:pPr>
      <w:r w:rsidRPr="003A60C0">
        <w:rPr>
          <w:rFonts w:eastAsia="Times New Roman" w:cs="Times New Roman"/>
          <w:szCs w:val="24"/>
          <w:lang w:eastAsia="en-US"/>
        </w:rPr>
        <w:t>One of the primary responsibilities of a fire department’s administration is to ensure that the fiscal, infrastructure, and support elements are in place and functioning smoothly and effectively so that the core mission—responding to and mitigating emergencies—can be accomplished in a safe and efficient manner.</w:t>
      </w:r>
    </w:p>
    <w:p w14:paraId="39618240" w14:textId="77777777" w:rsidR="003A60C0" w:rsidRPr="003A60C0" w:rsidRDefault="003A60C0" w:rsidP="003A60C0">
      <w:pPr>
        <w:widowControl w:val="0"/>
        <w:rPr>
          <w:rFonts w:eastAsia="Times New Roman" w:cs="Times New Roman"/>
          <w:szCs w:val="24"/>
          <w:lang w:eastAsia="en-US"/>
        </w:rPr>
      </w:pPr>
      <w:r w:rsidRPr="003A60C0">
        <w:rPr>
          <w:rFonts w:eastAsia="Times New Roman" w:cs="Times New Roman"/>
          <w:szCs w:val="24"/>
          <w:lang w:eastAsia="en-US"/>
        </w:rPr>
        <w:t>Like any other part of a municipal fire department, administration and support need the appropriate resources to function properly.  In this section of the staffing analysis, the ratio of administrative and support positions to total organizational staffing is compared to industry best practices and similar organizations.  Too large an emphasis on administrative staffing can have as detrimental an influence on the efficient functioning of an organization as too little.  It is important to achieve an appropriate balance between administration and support and the operational sides of a department.  Organizational success may depend upon it.</w:t>
      </w:r>
    </w:p>
    <w:p w14:paraId="6CCEA7F1" w14:textId="4A73176D" w:rsidR="003A60C0" w:rsidRPr="003A60C0" w:rsidRDefault="003A60C0" w:rsidP="003A60C0">
      <w:pPr>
        <w:widowControl w:val="0"/>
        <w:rPr>
          <w:rFonts w:eastAsia="Times New Roman" w:cs="Times New Roman"/>
          <w:szCs w:val="24"/>
          <w:lang w:eastAsia="en-US"/>
        </w:rPr>
      </w:pPr>
      <w:r w:rsidRPr="003A60C0">
        <w:rPr>
          <w:rFonts w:eastAsia="Times New Roman" w:cs="Times New Roman"/>
          <w:szCs w:val="24"/>
          <w:lang w:eastAsia="en-US"/>
        </w:rPr>
        <w:t>The level of administration and support</w:t>
      </w:r>
      <w:r w:rsidR="009068FA">
        <w:rPr>
          <w:rFonts w:eastAsia="Times New Roman" w:cs="Times New Roman"/>
          <w:szCs w:val="24"/>
          <w:lang w:eastAsia="en-US"/>
        </w:rPr>
        <w:t xml:space="preserve"> staffing represents 10.5 percent</w:t>
      </w:r>
      <w:r w:rsidRPr="003A60C0">
        <w:rPr>
          <w:rFonts w:eastAsia="Times New Roman" w:cs="Times New Roman"/>
          <w:szCs w:val="24"/>
          <w:lang w:eastAsia="en-US"/>
        </w:rPr>
        <w:t xml:space="preserve"> of Pasco Fire’s total staff.  This ratio is on the low end of what ESCI sees when studying fire departments in the northwest.  Fire districts often have ratios in the 15 to 18 percent range, but this is because districts must provide all of the support functions that cities are able to provide through other departments within the city’s organizational infrastructure.  Human resources, information technology, and building and apparatus maintenance are some of those functions.  Pasco has done a good job of integrating the needed fire</w:t>
      </w:r>
      <w:r w:rsidR="009068FA">
        <w:rPr>
          <w:rFonts w:eastAsia="Times New Roman" w:cs="Times New Roman"/>
          <w:szCs w:val="24"/>
          <w:lang w:eastAsia="en-US"/>
        </w:rPr>
        <w:t xml:space="preserve"> department support under other</w:t>
      </w:r>
      <w:r w:rsidRPr="003A60C0">
        <w:rPr>
          <w:rFonts w:eastAsia="Times New Roman" w:cs="Times New Roman"/>
          <w:szCs w:val="24"/>
          <w:lang w:eastAsia="en-US"/>
        </w:rPr>
        <w:t xml:space="preserve"> civilian divisions within the city.  Still, Pasco Fire Department’s administrative </w:t>
      </w:r>
      <w:r w:rsidR="00495E3E">
        <w:rPr>
          <w:rFonts w:eastAsia="Times New Roman" w:cs="Times New Roman"/>
          <w:szCs w:val="24"/>
          <w:lang w:eastAsia="en-US"/>
        </w:rPr>
        <w:t xml:space="preserve">and </w:t>
      </w:r>
      <w:r w:rsidRPr="003A60C0">
        <w:rPr>
          <w:rFonts w:eastAsia="Times New Roman" w:cs="Times New Roman"/>
          <w:szCs w:val="24"/>
          <w:lang w:eastAsia="en-US"/>
        </w:rPr>
        <w:t>supp</w:t>
      </w:r>
      <w:r w:rsidR="009068FA">
        <w:rPr>
          <w:rFonts w:eastAsia="Times New Roman" w:cs="Times New Roman"/>
          <w:szCs w:val="24"/>
          <w:lang w:eastAsia="en-US"/>
        </w:rPr>
        <w:t>ort function is very lean</w:t>
      </w:r>
      <w:r w:rsidRPr="003A60C0">
        <w:rPr>
          <w:rFonts w:eastAsia="Times New Roman" w:cs="Times New Roman"/>
          <w:szCs w:val="24"/>
          <w:lang w:eastAsia="en-US"/>
        </w:rPr>
        <w:t xml:space="preserve">. </w:t>
      </w:r>
    </w:p>
    <w:p w14:paraId="4F0DA875" w14:textId="4F045D81" w:rsidR="003A60C0" w:rsidRPr="003A60C0" w:rsidRDefault="003A60C0" w:rsidP="009068FA">
      <w:pPr>
        <w:rPr>
          <w:rFonts w:eastAsia="Times New Roman" w:cs="Times New Roman"/>
          <w:szCs w:val="24"/>
          <w:lang w:eastAsia="en-US"/>
        </w:rPr>
      </w:pPr>
      <w:r w:rsidRPr="003A60C0">
        <w:rPr>
          <w:rFonts w:eastAsia="Times New Roman" w:cs="Times New Roman"/>
          <w:szCs w:val="24"/>
          <w:lang w:eastAsia="en-US"/>
        </w:rPr>
        <w:t xml:space="preserve">While Pasco </w:t>
      </w:r>
      <w:r w:rsidR="009068FA">
        <w:rPr>
          <w:rFonts w:eastAsia="Times New Roman" w:cs="Times New Roman"/>
          <w:szCs w:val="24"/>
          <w:lang w:eastAsia="en-US"/>
        </w:rPr>
        <w:t xml:space="preserve">Fire </w:t>
      </w:r>
      <w:r w:rsidRPr="003A60C0">
        <w:rPr>
          <w:rFonts w:eastAsia="Times New Roman" w:cs="Times New Roman"/>
          <w:szCs w:val="24"/>
          <w:lang w:eastAsia="en-US"/>
        </w:rPr>
        <w:t xml:space="preserve">should be complimented for maintaining an efficient administrative profile, the lack of adequate staffing can create problems in two areas.  First, the lack of functional redundancies can result in the crippling of normal operations when the unexpected arises.  There should be adequate staffing such that if any member of staff </w:t>
      </w:r>
      <w:r w:rsidR="009068FA">
        <w:rPr>
          <w:rFonts w:eastAsia="Times New Roman" w:cs="Times New Roman"/>
          <w:szCs w:val="24"/>
          <w:lang w:eastAsia="en-US"/>
        </w:rPr>
        <w:t>were to become</w:t>
      </w:r>
      <w:r w:rsidRPr="003A60C0">
        <w:rPr>
          <w:rFonts w:eastAsia="Times New Roman" w:cs="Times New Roman"/>
          <w:szCs w:val="24"/>
          <w:lang w:eastAsia="en-US"/>
        </w:rPr>
        <w:t xml:space="preserve"> unavailable for wor</w:t>
      </w:r>
      <w:r w:rsidR="009068FA">
        <w:rPr>
          <w:rFonts w:eastAsia="Times New Roman" w:cs="Times New Roman"/>
          <w:szCs w:val="24"/>
          <w:lang w:eastAsia="en-US"/>
        </w:rPr>
        <w:t>k for an extended period</w:t>
      </w:r>
      <w:r w:rsidRPr="003A60C0">
        <w:rPr>
          <w:rFonts w:eastAsia="Times New Roman" w:cs="Times New Roman"/>
          <w:szCs w:val="24"/>
          <w:lang w:eastAsia="en-US"/>
        </w:rPr>
        <w:t>, someone else can step in to pick up that load.  Second, lacking adequate staffing in administrative or managerial functions can lead to lost opportunities</w:t>
      </w:r>
      <w:r w:rsidR="009068FA">
        <w:rPr>
          <w:rFonts w:eastAsia="Times New Roman" w:cs="Times New Roman"/>
          <w:szCs w:val="24"/>
          <w:lang w:eastAsia="en-US"/>
        </w:rPr>
        <w:t xml:space="preserve"> because </w:t>
      </w:r>
      <w:r w:rsidRPr="003A60C0">
        <w:rPr>
          <w:rFonts w:eastAsia="Times New Roman" w:cs="Times New Roman"/>
          <w:szCs w:val="24"/>
          <w:lang w:eastAsia="en-US"/>
        </w:rPr>
        <w:t>it is personnel at these levels who are likely to recognize potential needs or exposures within the community.  Personnel who are over-burdened with current workload are prone to “tunnel vision” when the organization needs them looking out on the horizon.</w:t>
      </w:r>
    </w:p>
    <w:p w14:paraId="5A047D86" w14:textId="77777777" w:rsidR="003A60C0" w:rsidRPr="003A60C0" w:rsidRDefault="003A60C0" w:rsidP="003A60C0">
      <w:pPr>
        <w:widowControl w:val="0"/>
        <w:rPr>
          <w:rFonts w:eastAsia="Times New Roman" w:cs="Times New Roman"/>
          <w:szCs w:val="24"/>
          <w:lang w:eastAsia="en-US"/>
        </w:rPr>
      </w:pPr>
      <w:r w:rsidRPr="003A60C0">
        <w:rPr>
          <w:rFonts w:eastAsia="Times New Roman" w:cs="Times New Roman"/>
          <w:szCs w:val="24"/>
          <w:lang w:eastAsia="en-US"/>
        </w:rPr>
        <w:t xml:space="preserve">Most of the administrative functions are physically centralized at PFD’s main station.  This centralized </w:t>
      </w:r>
      <w:r w:rsidRPr="003A60C0">
        <w:rPr>
          <w:rFonts w:eastAsia="Times New Roman" w:cs="Times New Roman"/>
          <w:szCs w:val="24"/>
          <w:lang w:eastAsia="en-US"/>
        </w:rPr>
        <w:lastRenderedPageBreak/>
        <w:t>structure serves to facilitate good communications between divisions and elements; however, unlike most smaller departments with a shared fire station and administrative facilities, PFD’s is not designed in such a way that administrative offices are housed together and separated (if only slightly) from the operations side of the facility.  The result is at least twofold: there is a lack of space for chief officers who may need to be engaged in confidential conversations, and the “walk through” nature of the facility creates too many distractions for those who are working in the space.  Casual interactions between managerial staff and line personnel can be positive, but they can also serve to cause inefficiencies in the work place.</w:t>
      </w:r>
    </w:p>
    <w:p w14:paraId="79506288" w14:textId="390D7B71" w:rsidR="003A60C0" w:rsidRPr="003A60C0" w:rsidRDefault="003A60C0" w:rsidP="003A60C0">
      <w:pPr>
        <w:widowControl w:val="0"/>
        <w:rPr>
          <w:rFonts w:eastAsia="Times New Roman" w:cs="Times New Roman"/>
          <w:szCs w:val="24"/>
          <w:lang w:eastAsia="en-US"/>
        </w:rPr>
      </w:pPr>
      <w:r w:rsidRPr="003A60C0">
        <w:rPr>
          <w:rFonts w:eastAsia="Times New Roman" w:cs="Times New Roman"/>
          <w:szCs w:val="24"/>
          <w:lang w:eastAsia="en-US"/>
        </w:rPr>
        <w:t xml:space="preserve">The issue of better organizing the work environment for administrative staff will be addressed in the </w:t>
      </w:r>
      <w:r w:rsidR="0009602B" w:rsidRPr="0009602B">
        <w:rPr>
          <w:rFonts w:eastAsia="Times New Roman" w:cs="Times New Roman"/>
          <w:i/>
          <w:szCs w:val="24"/>
          <w:lang w:eastAsia="en-US"/>
        </w:rPr>
        <w:t>Capital Needs</w:t>
      </w:r>
      <w:r w:rsidRPr="003A60C0">
        <w:rPr>
          <w:rFonts w:eastAsia="Times New Roman" w:cs="Times New Roman"/>
          <w:szCs w:val="24"/>
          <w:lang w:eastAsia="en-US"/>
        </w:rPr>
        <w:t xml:space="preserve"> section of this report.</w:t>
      </w:r>
    </w:p>
    <w:p w14:paraId="1BE0E7FB" w14:textId="77777777" w:rsidR="003A60C0" w:rsidRPr="003A60C0" w:rsidRDefault="003A60C0" w:rsidP="003A60C0">
      <w:pPr>
        <w:pStyle w:val="Heading3"/>
        <w:rPr>
          <w:rFonts w:eastAsia="Times New Roman"/>
          <w:lang w:eastAsia="en-US"/>
        </w:rPr>
      </w:pPr>
      <w:bookmarkStart w:id="143" w:name="_Toc464323563"/>
      <w:r w:rsidRPr="003A60C0">
        <w:rPr>
          <w:rFonts w:eastAsia="Times New Roman"/>
          <w:lang w:eastAsia="en-US"/>
        </w:rPr>
        <w:t>Emergency Response Staffing</w:t>
      </w:r>
      <w:bookmarkEnd w:id="143"/>
    </w:p>
    <w:p w14:paraId="1E30434E" w14:textId="76B6BE5E" w:rsidR="003A60C0" w:rsidRPr="003A60C0" w:rsidRDefault="0009602B" w:rsidP="003A60C0">
      <w:pPr>
        <w:widowControl w:val="0"/>
        <w:rPr>
          <w:rFonts w:eastAsia="Times New Roman" w:cs="Times New Roman"/>
          <w:szCs w:val="24"/>
          <w:lang w:eastAsia="en-US"/>
        </w:rPr>
      </w:pPr>
      <w:r>
        <w:rPr>
          <w:rFonts w:eastAsia="Times New Roman" w:cs="Times New Roman"/>
          <w:szCs w:val="24"/>
          <w:lang w:eastAsia="en-US"/>
        </w:rPr>
        <w:t xml:space="preserve">An adequate number of </w:t>
      </w:r>
      <w:r w:rsidR="003A60C0" w:rsidRPr="003A60C0">
        <w:rPr>
          <w:rFonts w:eastAsia="Times New Roman" w:cs="Times New Roman"/>
          <w:szCs w:val="24"/>
          <w:lang w:eastAsia="en-US"/>
        </w:rPr>
        <w:t>properly trained staff of emergency responders is required for putting the appropriate emergency apparatus and equipment to its best use in mitigating incidents.  Insufficient staffing at an operational scene decreases the effectiveness of the response and increases the risk of injury to all individuals involved.</w:t>
      </w:r>
    </w:p>
    <w:p w14:paraId="3C92C6E0" w14:textId="2916E8BE" w:rsidR="003A60C0" w:rsidRDefault="003A60C0" w:rsidP="003A60C0">
      <w:pPr>
        <w:widowControl w:val="0"/>
        <w:rPr>
          <w:rFonts w:eastAsia="Times New Roman" w:cs="Times New Roman"/>
          <w:szCs w:val="24"/>
          <w:lang w:eastAsia="en-US"/>
        </w:rPr>
      </w:pPr>
      <w:r w:rsidRPr="003A60C0">
        <w:rPr>
          <w:rFonts w:eastAsia="Times New Roman" w:cs="Times New Roman"/>
          <w:szCs w:val="24"/>
          <w:lang w:eastAsia="en-US"/>
        </w:rPr>
        <w:t xml:space="preserve">The first 15 minutes is the most crucial period in the suppression of a fire.  How effectively and efficiently firefighters perform during this period has a significant impact on the overall outcome of the event.  This general concept is applicable to fire, rescue, and medical situations.  Critical tasks must be performed in a timely manner in order to control a fire or to treat a patient.  Pasco Fire Department is responsible for assuring that responding companies are capable of performing all of the described tasks in a prompt, efficient, and safe manner.  The following </w:t>
      </w:r>
      <w:r w:rsidR="0026247A">
        <w:rPr>
          <w:rFonts w:eastAsia="Times New Roman" w:cs="Times New Roman"/>
          <w:szCs w:val="24"/>
          <w:lang w:eastAsia="en-US"/>
        </w:rPr>
        <w:t>figure</w:t>
      </w:r>
      <w:r w:rsidRPr="003A60C0">
        <w:rPr>
          <w:rFonts w:eastAsia="Times New Roman" w:cs="Times New Roman"/>
          <w:szCs w:val="24"/>
          <w:lang w:eastAsia="en-US"/>
        </w:rPr>
        <w:t xml:space="preserve"> lists PFD’s emergency response staffing.</w:t>
      </w:r>
    </w:p>
    <w:p w14:paraId="14C65610" w14:textId="45E2572A" w:rsidR="0026247A" w:rsidRPr="003A60C0" w:rsidRDefault="0026247A" w:rsidP="009F6573">
      <w:pPr>
        <w:pStyle w:val="Caption"/>
        <w:rPr>
          <w:rFonts w:eastAsia="Times New Roman"/>
          <w:szCs w:val="24"/>
        </w:rPr>
      </w:pPr>
      <w:bookmarkStart w:id="144" w:name="_Toc464323684"/>
      <w:r>
        <w:t xml:space="preserve">Figure </w:t>
      </w:r>
      <w:r w:rsidR="00432AD4">
        <w:fldChar w:fldCharType="begin"/>
      </w:r>
      <w:r w:rsidR="00432AD4">
        <w:instrText xml:space="preserve"> SEQ Figure \* ARABIC</w:instrText>
      </w:r>
      <w:r w:rsidR="00432AD4">
        <w:instrText xml:space="preserve"> </w:instrText>
      </w:r>
      <w:r w:rsidR="00432AD4">
        <w:fldChar w:fldCharType="separate"/>
      </w:r>
      <w:r w:rsidR="008209A2">
        <w:rPr>
          <w:noProof/>
        </w:rPr>
        <w:t>42</w:t>
      </w:r>
      <w:r w:rsidR="00432AD4">
        <w:rPr>
          <w:noProof/>
        </w:rPr>
        <w:fldChar w:fldCharType="end"/>
      </w:r>
      <w:r>
        <w:t>: Emergency Response Staffing per Shift</w:t>
      </w:r>
      <w:bookmarkEnd w:id="144"/>
    </w:p>
    <w:tbl>
      <w:tblPr>
        <w:tblW w:w="6624" w:type="dxa"/>
        <w:jc w:val="center"/>
        <w:tblLook w:val="04A0" w:firstRow="1" w:lastRow="0" w:firstColumn="1" w:lastColumn="0" w:noHBand="0" w:noVBand="1"/>
      </w:tblPr>
      <w:tblGrid>
        <w:gridCol w:w="1960"/>
        <w:gridCol w:w="812"/>
        <w:gridCol w:w="812"/>
        <w:gridCol w:w="812"/>
        <w:gridCol w:w="1000"/>
        <w:gridCol w:w="1228"/>
      </w:tblGrid>
      <w:tr w:rsidR="0026247A" w:rsidRPr="0026247A" w14:paraId="3EC9EE33" w14:textId="77777777" w:rsidTr="0026247A">
        <w:trPr>
          <w:trHeight w:val="525"/>
          <w:jc w:val="center"/>
        </w:trPr>
        <w:tc>
          <w:tcPr>
            <w:tcW w:w="1960" w:type="dxa"/>
            <w:tcBorders>
              <w:top w:val="nil"/>
              <w:left w:val="nil"/>
              <w:bottom w:val="nil"/>
              <w:right w:val="nil"/>
            </w:tcBorders>
            <w:shd w:val="clear" w:color="000000" w:fill="365F91"/>
            <w:vAlign w:val="center"/>
            <w:hideMark/>
          </w:tcPr>
          <w:p w14:paraId="1FC8593E" w14:textId="77777777" w:rsidR="0026247A" w:rsidRPr="0026247A" w:rsidRDefault="0026247A" w:rsidP="0026247A">
            <w:pPr>
              <w:spacing w:after="0" w:line="240" w:lineRule="auto"/>
              <w:jc w:val="center"/>
              <w:rPr>
                <w:rFonts w:eastAsia="Times New Roman" w:cs="Times New Roman"/>
                <w:b/>
                <w:bCs/>
                <w:color w:val="FFFFFF"/>
                <w:sz w:val="20"/>
                <w:szCs w:val="20"/>
                <w:lang w:eastAsia="en-US"/>
              </w:rPr>
            </w:pPr>
            <w:r w:rsidRPr="0026247A">
              <w:rPr>
                <w:rFonts w:eastAsia="Times New Roman" w:cs="Times New Roman"/>
                <w:b/>
                <w:bCs/>
                <w:color w:val="FFFFFF"/>
                <w:sz w:val="20"/>
                <w:szCs w:val="20"/>
                <w:lang w:eastAsia="en-US"/>
              </w:rPr>
              <w:t>Operational Assignments</w:t>
            </w:r>
          </w:p>
        </w:tc>
        <w:tc>
          <w:tcPr>
            <w:tcW w:w="812" w:type="dxa"/>
            <w:tcBorders>
              <w:top w:val="nil"/>
              <w:left w:val="nil"/>
              <w:bottom w:val="nil"/>
              <w:right w:val="nil"/>
            </w:tcBorders>
            <w:shd w:val="clear" w:color="000000" w:fill="365F91"/>
            <w:vAlign w:val="bottom"/>
            <w:hideMark/>
          </w:tcPr>
          <w:p w14:paraId="64145073" w14:textId="77777777" w:rsidR="0026247A" w:rsidRPr="0026247A" w:rsidRDefault="0026247A" w:rsidP="0026247A">
            <w:pPr>
              <w:spacing w:after="0" w:line="240" w:lineRule="auto"/>
              <w:jc w:val="center"/>
              <w:rPr>
                <w:rFonts w:eastAsia="Times New Roman" w:cs="Times New Roman"/>
                <w:b/>
                <w:bCs/>
                <w:color w:val="FFFFFF"/>
                <w:sz w:val="20"/>
                <w:szCs w:val="20"/>
                <w:lang w:eastAsia="en-US"/>
              </w:rPr>
            </w:pPr>
            <w:r w:rsidRPr="0026247A">
              <w:rPr>
                <w:rFonts w:eastAsia="Times New Roman" w:cs="Times New Roman"/>
                <w:b/>
                <w:bCs/>
                <w:color w:val="FFFFFF"/>
                <w:sz w:val="20"/>
                <w:szCs w:val="20"/>
                <w:lang w:eastAsia="en-US"/>
              </w:rPr>
              <w:t>Station 81</w:t>
            </w:r>
          </w:p>
        </w:tc>
        <w:tc>
          <w:tcPr>
            <w:tcW w:w="812" w:type="dxa"/>
            <w:tcBorders>
              <w:top w:val="nil"/>
              <w:left w:val="nil"/>
              <w:bottom w:val="nil"/>
              <w:right w:val="nil"/>
            </w:tcBorders>
            <w:shd w:val="clear" w:color="000000" w:fill="365F91"/>
            <w:vAlign w:val="bottom"/>
            <w:hideMark/>
          </w:tcPr>
          <w:p w14:paraId="7A5F3D11" w14:textId="77777777" w:rsidR="0026247A" w:rsidRPr="0026247A" w:rsidRDefault="0026247A" w:rsidP="0026247A">
            <w:pPr>
              <w:spacing w:after="0" w:line="240" w:lineRule="auto"/>
              <w:jc w:val="center"/>
              <w:rPr>
                <w:rFonts w:eastAsia="Times New Roman" w:cs="Times New Roman"/>
                <w:b/>
                <w:bCs/>
                <w:color w:val="FFFFFF"/>
                <w:sz w:val="20"/>
                <w:szCs w:val="20"/>
                <w:lang w:eastAsia="en-US"/>
              </w:rPr>
            </w:pPr>
            <w:r w:rsidRPr="0026247A">
              <w:rPr>
                <w:rFonts w:eastAsia="Times New Roman" w:cs="Times New Roman"/>
                <w:b/>
                <w:bCs/>
                <w:color w:val="FFFFFF"/>
                <w:sz w:val="20"/>
                <w:szCs w:val="20"/>
                <w:lang w:eastAsia="en-US"/>
              </w:rPr>
              <w:t>Station 82</w:t>
            </w:r>
          </w:p>
        </w:tc>
        <w:tc>
          <w:tcPr>
            <w:tcW w:w="812" w:type="dxa"/>
            <w:tcBorders>
              <w:top w:val="nil"/>
              <w:left w:val="nil"/>
              <w:bottom w:val="nil"/>
              <w:right w:val="nil"/>
            </w:tcBorders>
            <w:shd w:val="clear" w:color="000000" w:fill="365F91"/>
            <w:vAlign w:val="bottom"/>
            <w:hideMark/>
          </w:tcPr>
          <w:p w14:paraId="32B6A798" w14:textId="77777777" w:rsidR="0026247A" w:rsidRPr="0026247A" w:rsidRDefault="0026247A" w:rsidP="0026247A">
            <w:pPr>
              <w:spacing w:after="0" w:line="240" w:lineRule="auto"/>
              <w:jc w:val="center"/>
              <w:rPr>
                <w:rFonts w:eastAsia="Times New Roman" w:cs="Times New Roman"/>
                <w:b/>
                <w:bCs/>
                <w:color w:val="FFFFFF"/>
                <w:sz w:val="20"/>
                <w:szCs w:val="20"/>
                <w:lang w:eastAsia="en-US"/>
              </w:rPr>
            </w:pPr>
            <w:r w:rsidRPr="0026247A">
              <w:rPr>
                <w:rFonts w:eastAsia="Times New Roman" w:cs="Times New Roman"/>
                <w:b/>
                <w:bCs/>
                <w:color w:val="FFFFFF"/>
                <w:sz w:val="20"/>
                <w:szCs w:val="20"/>
                <w:lang w:eastAsia="en-US"/>
              </w:rPr>
              <w:t>Station 83</w:t>
            </w:r>
          </w:p>
        </w:tc>
        <w:tc>
          <w:tcPr>
            <w:tcW w:w="1000" w:type="dxa"/>
            <w:tcBorders>
              <w:top w:val="nil"/>
              <w:left w:val="nil"/>
              <w:bottom w:val="nil"/>
              <w:right w:val="nil"/>
            </w:tcBorders>
            <w:shd w:val="clear" w:color="000000" w:fill="365F91"/>
            <w:vAlign w:val="bottom"/>
            <w:hideMark/>
          </w:tcPr>
          <w:p w14:paraId="244833C8" w14:textId="77777777" w:rsidR="0026247A" w:rsidRPr="0026247A" w:rsidRDefault="0026247A" w:rsidP="0026247A">
            <w:pPr>
              <w:spacing w:after="0" w:line="240" w:lineRule="auto"/>
              <w:jc w:val="center"/>
              <w:rPr>
                <w:rFonts w:eastAsia="Times New Roman" w:cs="Times New Roman"/>
                <w:b/>
                <w:bCs/>
                <w:color w:val="FFFFFF"/>
                <w:sz w:val="20"/>
                <w:szCs w:val="20"/>
                <w:lang w:eastAsia="en-US"/>
              </w:rPr>
            </w:pPr>
            <w:r w:rsidRPr="0026247A">
              <w:rPr>
                <w:rFonts w:eastAsia="Times New Roman" w:cs="Times New Roman"/>
                <w:b/>
                <w:bCs/>
                <w:color w:val="FFFFFF"/>
                <w:sz w:val="20"/>
                <w:szCs w:val="20"/>
                <w:lang w:eastAsia="en-US"/>
              </w:rPr>
              <w:t>Battalion Chief</w:t>
            </w:r>
          </w:p>
        </w:tc>
        <w:tc>
          <w:tcPr>
            <w:tcW w:w="1228" w:type="dxa"/>
            <w:tcBorders>
              <w:top w:val="nil"/>
              <w:left w:val="nil"/>
              <w:bottom w:val="nil"/>
              <w:right w:val="nil"/>
            </w:tcBorders>
            <w:shd w:val="clear" w:color="000000" w:fill="365F91"/>
            <w:vAlign w:val="bottom"/>
            <w:hideMark/>
          </w:tcPr>
          <w:p w14:paraId="00F75707" w14:textId="77777777" w:rsidR="0026247A" w:rsidRPr="0026247A" w:rsidRDefault="0026247A" w:rsidP="0026247A">
            <w:pPr>
              <w:spacing w:after="0" w:line="240" w:lineRule="auto"/>
              <w:jc w:val="center"/>
              <w:rPr>
                <w:rFonts w:eastAsia="Times New Roman" w:cs="Times New Roman"/>
                <w:b/>
                <w:bCs/>
                <w:color w:val="FFFFFF"/>
                <w:sz w:val="20"/>
                <w:szCs w:val="20"/>
                <w:lang w:eastAsia="en-US"/>
              </w:rPr>
            </w:pPr>
            <w:r w:rsidRPr="0026247A">
              <w:rPr>
                <w:rFonts w:eastAsia="Times New Roman" w:cs="Times New Roman"/>
                <w:b/>
                <w:bCs/>
                <w:color w:val="FFFFFF"/>
                <w:sz w:val="20"/>
                <w:szCs w:val="20"/>
                <w:lang w:eastAsia="en-US"/>
              </w:rPr>
              <w:t>Total Suppression</w:t>
            </w:r>
          </w:p>
        </w:tc>
      </w:tr>
      <w:tr w:rsidR="0026247A" w:rsidRPr="0026247A" w14:paraId="70E57B03" w14:textId="77777777" w:rsidTr="0026247A">
        <w:trPr>
          <w:trHeight w:val="300"/>
          <w:jc w:val="center"/>
        </w:trPr>
        <w:tc>
          <w:tcPr>
            <w:tcW w:w="1960" w:type="dxa"/>
            <w:tcBorders>
              <w:top w:val="nil"/>
              <w:left w:val="nil"/>
              <w:bottom w:val="nil"/>
              <w:right w:val="nil"/>
            </w:tcBorders>
            <w:shd w:val="clear" w:color="auto" w:fill="auto"/>
            <w:noWrap/>
            <w:vAlign w:val="bottom"/>
            <w:hideMark/>
          </w:tcPr>
          <w:p w14:paraId="63C3E7E4" w14:textId="77777777" w:rsidR="0026247A" w:rsidRPr="0026247A" w:rsidRDefault="0026247A" w:rsidP="0026247A">
            <w:pPr>
              <w:spacing w:after="0" w:line="240" w:lineRule="auto"/>
              <w:jc w:val="left"/>
              <w:rPr>
                <w:rFonts w:eastAsia="Times New Roman" w:cs="Times New Roman"/>
                <w:color w:val="000000"/>
                <w:sz w:val="20"/>
                <w:szCs w:val="20"/>
                <w:lang w:eastAsia="en-US"/>
              </w:rPr>
            </w:pPr>
            <w:r w:rsidRPr="0026247A">
              <w:rPr>
                <w:rFonts w:eastAsia="Times New Roman" w:cs="Times New Roman"/>
                <w:color w:val="000000"/>
                <w:sz w:val="20"/>
                <w:szCs w:val="20"/>
                <w:lang w:eastAsia="en-US"/>
              </w:rPr>
              <w:t>Minimum Staffing</w:t>
            </w:r>
          </w:p>
        </w:tc>
        <w:tc>
          <w:tcPr>
            <w:tcW w:w="812" w:type="dxa"/>
            <w:tcBorders>
              <w:top w:val="nil"/>
              <w:left w:val="nil"/>
              <w:bottom w:val="nil"/>
              <w:right w:val="nil"/>
            </w:tcBorders>
            <w:shd w:val="clear" w:color="auto" w:fill="auto"/>
            <w:noWrap/>
            <w:vAlign w:val="center"/>
            <w:hideMark/>
          </w:tcPr>
          <w:p w14:paraId="6DA3F163" w14:textId="77777777" w:rsidR="0026247A" w:rsidRPr="0026247A" w:rsidRDefault="0026247A" w:rsidP="0026247A">
            <w:pPr>
              <w:spacing w:after="0" w:line="240" w:lineRule="auto"/>
              <w:jc w:val="center"/>
              <w:rPr>
                <w:rFonts w:eastAsia="Times New Roman" w:cs="Times New Roman"/>
                <w:color w:val="000000"/>
                <w:sz w:val="20"/>
                <w:szCs w:val="20"/>
                <w:lang w:eastAsia="en-US"/>
              </w:rPr>
            </w:pPr>
            <w:r w:rsidRPr="0026247A">
              <w:rPr>
                <w:rFonts w:eastAsia="Times New Roman" w:cs="Times New Roman"/>
                <w:color w:val="000000"/>
                <w:sz w:val="20"/>
                <w:szCs w:val="20"/>
                <w:lang w:eastAsia="en-US"/>
              </w:rPr>
              <w:t>4</w:t>
            </w:r>
          </w:p>
        </w:tc>
        <w:tc>
          <w:tcPr>
            <w:tcW w:w="812" w:type="dxa"/>
            <w:tcBorders>
              <w:top w:val="nil"/>
              <w:left w:val="nil"/>
              <w:bottom w:val="nil"/>
              <w:right w:val="nil"/>
            </w:tcBorders>
            <w:shd w:val="clear" w:color="auto" w:fill="auto"/>
            <w:noWrap/>
            <w:vAlign w:val="center"/>
            <w:hideMark/>
          </w:tcPr>
          <w:p w14:paraId="457061D2" w14:textId="77777777" w:rsidR="0026247A" w:rsidRPr="0026247A" w:rsidRDefault="0026247A" w:rsidP="0026247A">
            <w:pPr>
              <w:spacing w:after="0" w:line="240" w:lineRule="auto"/>
              <w:jc w:val="center"/>
              <w:rPr>
                <w:rFonts w:eastAsia="Times New Roman" w:cs="Times New Roman"/>
                <w:color w:val="000000"/>
                <w:sz w:val="20"/>
                <w:szCs w:val="20"/>
                <w:lang w:eastAsia="en-US"/>
              </w:rPr>
            </w:pPr>
            <w:r w:rsidRPr="0026247A">
              <w:rPr>
                <w:rFonts w:eastAsia="Times New Roman" w:cs="Times New Roman"/>
                <w:color w:val="000000"/>
                <w:sz w:val="20"/>
                <w:szCs w:val="20"/>
                <w:lang w:eastAsia="en-US"/>
              </w:rPr>
              <w:t>6</w:t>
            </w:r>
          </w:p>
        </w:tc>
        <w:tc>
          <w:tcPr>
            <w:tcW w:w="812" w:type="dxa"/>
            <w:tcBorders>
              <w:top w:val="nil"/>
              <w:left w:val="nil"/>
              <w:bottom w:val="nil"/>
              <w:right w:val="nil"/>
            </w:tcBorders>
            <w:shd w:val="clear" w:color="auto" w:fill="auto"/>
            <w:noWrap/>
            <w:vAlign w:val="center"/>
            <w:hideMark/>
          </w:tcPr>
          <w:p w14:paraId="03657CB3" w14:textId="77777777" w:rsidR="0026247A" w:rsidRPr="0026247A" w:rsidRDefault="0026247A" w:rsidP="0026247A">
            <w:pPr>
              <w:spacing w:after="0" w:line="240" w:lineRule="auto"/>
              <w:jc w:val="center"/>
              <w:rPr>
                <w:rFonts w:eastAsia="Times New Roman" w:cs="Times New Roman"/>
                <w:color w:val="000000"/>
                <w:sz w:val="20"/>
                <w:szCs w:val="20"/>
                <w:lang w:eastAsia="en-US"/>
              </w:rPr>
            </w:pPr>
            <w:r w:rsidRPr="0026247A">
              <w:rPr>
                <w:rFonts w:eastAsia="Times New Roman" w:cs="Times New Roman"/>
                <w:color w:val="000000"/>
                <w:sz w:val="20"/>
                <w:szCs w:val="20"/>
                <w:lang w:eastAsia="en-US"/>
              </w:rPr>
              <w:t>4</w:t>
            </w:r>
          </w:p>
        </w:tc>
        <w:tc>
          <w:tcPr>
            <w:tcW w:w="1000" w:type="dxa"/>
            <w:tcBorders>
              <w:top w:val="nil"/>
              <w:left w:val="nil"/>
              <w:bottom w:val="nil"/>
              <w:right w:val="nil"/>
            </w:tcBorders>
            <w:shd w:val="clear" w:color="auto" w:fill="auto"/>
            <w:noWrap/>
            <w:vAlign w:val="center"/>
            <w:hideMark/>
          </w:tcPr>
          <w:p w14:paraId="676D9679" w14:textId="77777777" w:rsidR="0026247A" w:rsidRPr="0026247A" w:rsidRDefault="0026247A" w:rsidP="0026247A">
            <w:pPr>
              <w:spacing w:after="0" w:line="240" w:lineRule="auto"/>
              <w:jc w:val="center"/>
              <w:rPr>
                <w:rFonts w:eastAsia="Times New Roman" w:cs="Times New Roman"/>
                <w:color w:val="000000"/>
                <w:sz w:val="20"/>
                <w:szCs w:val="20"/>
                <w:lang w:eastAsia="en-US"/>
              </w:rPr>
            </w:pPr>
            <w:r w:rsidRPr="0026247A">
              <w:rPr>
                <w:rFonts w:eastAsia="Times New Roman" w:cs="Times New Roman"/>
                <w:color w:val="000000"/>
                <w:sz w:val="20"/>
                <w:szCs w:val="20"/>
                <w:lang w:eastAsia="en-US"/>
              </w:rPr>
              <w:t>1</w:t>
            </w:r>
          </w:p>
        </w:tc>
        <w:tc>
          <w:tcPr>
            <w:tcW w:w="1228" w:type="dxa"/>
            <w:tcBorders>
              <w:top w:val="nil"/>
              <w:left w:val="nil"/>
              <w:bottom w:val="nil"/>
              <w:right w:val="nil"/>
            </w:tcBorders>
            <w:shd w:val="clear" w:color="auto" w:fill="auto"/>
            <w:noWrap/>
            <w:vAlign w:val="bottom"/>
            <w:hideMark/>
          </w:tcPr>
          <w:p w14:paraId="723289AE" w14:textId="77777777" w:rsidR="0026247A" w:rsidRPr="0026247A" w:rsidRDefault="0026247A" w:rsidP="0026247A">
            <w:pPr>
              <w:spacing w:after="0" w:line="240" w:lineRule="auto"/>
              <w:jc w:val="center"/>
              <w:rPr>
                <w:rFonts w:eastAsia="Times New Roman" w:cs="Times New Roman"/>
                <w:color w:val="000000"/>
                <w:sz w:val="20"/>
                <w:szCs w:val="20"/>
                <w:lang w:eastAsia="en-US"/>
              </w:rPr>
            </w:pPr>
            <w:r w:rsidRPr="0026247A">
              <w:rPr>
                <w:rFonts w:eastAsia="Times New Roman" w:cs="Times New Roman"/>
                <w:color w:val="000000"/>
                <w:sz w:val="20"/>
                <w:szCs w:val="20"/>
                <w:lang w:eastAsia="en-US"/>
              </w:rPr>
              <w:t>15</w:t>
            </w:r>
          </w:p>
        </w:tc>
      </w:tr>
      <w:tr w:rsidR="0026247A" w:rsidRPr="0026247A" w14:paraId="5F7CE4B7" w14:textId="77777777" w:rsidTr="0026247A">
        <w:trPr>
          <w:trHeight w:val="300"/>
          <w:jc w:val="center"/>
        </w:trPr>
        <w:tc>
          <w:tcPr>
            <w:tcW w:w="1960" w:type="dxa"/>
            <w:tcBorders>
              <w:top w:val="nil"/>
              <w:left w:val="nil"/>
              <w:bottom w:val="nil"/>
              <w:right w:val="nil"/>
            </w:tcBorders>
            <w:shd w:val="clear" w:color="auto" w:fill="auto"/>
            <w:noWrap/>
            <w:vAlign w:val="bottom"/>
            <w:hideMark/>
          </w:tcPr>
          <w:p w14:paraId="2EAD2750" w14:textId="77777777" w:rsidR="0026247A" w:rsidRPr="0026247A" w:rsidRDefault="0026247A" w:rsidP="0026247A">
            <w:pPr>
              <w:spacing w:after="0" w:line="240" w:lineRule="auto"/>
              <w:jc w:val="left"/>
              <w:rPr>
                <w:rFonts w:eastAsia="Times New Roman" w:cs="Times New Roman"/>
                <w:color w:val="000000"/>
                <w:sz w:val="20"/>
                <w:szCs w:val="20"/>
                <w:lang w:eastAsia="en-US"/>
              </w:rPr>
            </w:pPr>
            <w:r w:rsidRPr="0026247A">
              <w:rPr>
                <w:rFonts w:eastAsia="Times New Roman" w:cs="Times New Roman"/>
                <w:color w:val="000000"/>
                <w:sz w:val="20"/>
                <w:szCs w:val="20"/>
                <w:lang w:eastAsia="en-US"/>
              </w:rPr>
              <w:t>Maximum Assigned</w:t>
            </w:r>
          </w:p>
        </w:tc>
        <w:tc>
          <w:tcPr>
            <w:tcW w:w="812" w:type="dxa"/>
            <w:tcBorders>
              <w:top w:val="nil"/>
              <w:left w:val="nil"/>
              <w:bottom w:val="nil"/>
              <w:right w:val="nil"/>
            </w:tcBorders>
            <w:shd w:val="clear" w:color="auto" w:fill="auto"/>
            <w:noWrap/>
            <w:vAlign w:val="center"/>
            <w:hideMark/>
          </w:tcPr>
          <w:p w14:paraId="43CA0067" w14:textId="77777777" w:rsidR="0026247A" w:rsidRPr="0026247A" w:rsidRDefault="0026247A" w:rsidP="0026247A">
            <w:pPr>
              <w:spacing w:after="0" w:line="240" w:lineRule="auto"/>
              <w:jc w:val="center"/>
              <w:rPr>
                <w:rFonts w:eastAsia="Times New Roman" w:cs="Times New Roman"/>
                <w:color w:val="000000"/>
                <w:sz w:val="20"/>
                <w:szCs w:val="20"/>
                <w:lang w:eastAsia="en-US"/>
              </w:rPr>
            </w:pPr>
            <w:r w:rsidRPr="0026247A">
              <w:rPr>
                <w:rFonts w:eastAsia="Times New Roman" w:cs="Times New Roman"/>
                <w:color w:val="000000"/>
                <w:sz w:val="20"/>
                <w:szCs w:val="20"/>
                <w:lang w:eastAsia="en-US"/>
              </w:rPr>
              <w:t>5</w:t>
            </w:r>
          </w:p>
        </w:tc>
        <w:tc>
          <w:tcPr>
            <w:tcW w:w="812" w:type="dxa"/>
            <w:tcBorders>
              <w:top w:val="nil"/>
              <w:left w:val="nil"/>
              <w:bottom w:val="nil"/>
              <w:right w:val="nil"/>
            </w:tcBorders>
            <w:shd w:val="clear" w:color="auto" w:fill="auto"/>
            <w:noWrap/>
            <w:vAlign w:val="center"/>
            <w:hideMark/>
          </w:tcPr>
          <w:p w14:paraId="377E4F2D" w14:textId="77777777" w:rsidR="0026247A" w:rsidRPr="0026247A" w:rsidRDefault="0026247A" w:rsidP="0026247A">
            <w:pPr>
              <w:spacing w:after="0" w:line="240" w:lineRule="auto"/>
              <w:jc w:val="center"/>
              <w:rPr>
                <w:rFonts w:eastAsia="Times New Roman" w:cs="Times New Roman"/>
                <w:color w:val="000000"/>
                <w:sz w:val="20"/>
                <w:szCs w:val="20"/>
                <w:lang w:eastAsia="en-US"/>
              </w:rPr>
            </w:pPr>
            <w:r w:rsidRPr="0026247A">
              <w:rPr>
                <w:rFonts w:eastAsia="Times New Roman" w:cs="Times New Roman"/>
                <w:color w:val="000000"/>
                <w:sz w:val="20"/>
                <w:szCs w:val="20"/>
                <w:lang w:eastAsia="en-US"/>
              </w:rPr>
              <w:t>7</w:t>
            </w:r>
          </w:p>
        </w:tc>
        <w:tc>
          <w:tcPr>
            <w:tcW w:w="812" w:type="dxa"/>
            <w:tcBorders>
              <w:top w:val="nil"/>
              <w:left w:val="nil"/>
              <w:bottom w:val="nil"/>
              <w:right w:val="nil"/>
            </w:tcBorders>
            <w:shd w:val="clear" w:color="auto" w:fill="auto"/>
            <w:noWrap/>
            <w:vAlign w:val="center"/>
            <w:hideMark/>
          </w:tcPr>
          <w:p w14:paraId="03B05070" w14:textId="77777777" w:rsidR="0026247A" w:rsidRPr="0026247A" w:rsidRDefault="0026247A" w:rsidP="0026247A">
            <w:pPr>
              <w:spacing w:after="0" w:line="240" w:lineRule="auto"/>
              <w:jc w:val="center"/>
              <w:rPr>
                <w:rFonts w:eastAsia="Times New Roman" w:cs="Times New Roman"/>
                <w:color w:val="000000"/>
                <w:sz w:val="20"/>
                <w:szCs w:val="20"/>
                <w:lang w:eastAsia="en-US"/>
              </w:rPr>
            </w:pPr>
            <w:r w:rsidRPr="0026247A">
              <w:rPr>
                <w:rFonts w:eastAsia="Times New Roman" w:cs="Times New Roman"/>
                <w:color w:val="000000"/>
                <w:sz w:val="20"/>
                <w:szCs w:val="20"/>
                <w:lang w:eastAsia="en-US"/>
              </w:rPr>
              <w:t>5</w:t>
            </w:r>
          </w:p>
        </w:tc>
        <w:tc>
          <w:tcPr>
            <w:tcW w:w="1000" w:type="dxa"/>
            <w:tcBorders>
              <w:top w:val="nil"/>
              <w:left w:val="nil"/>
              <w:bottom w:val="nil"/>
              <w:right w:val="nil"/>
            </w:tcBorders>
            <w:shd w:val="clear" w:color="auto" w:fill="auto"/>
            <w:noWrap/>
            <w:vAlign w:val="center"/>
            <w:hideMark/>
          </w:tcPr>
          <w:p w14:paraId="1E0A790F" w14:textId="77777777" w:rsidR="0026247A" w:rsidRPr="0026247A" w:rsidRDefault="0026247A" w:rsidP="0026247A">
            <w:pPr>
              <w:spacing w:after="0" w:line="240" w:lineRule="auto"/>
              <w:jc w:val="center"/>
              <w:rPr>
                <w:rFonts w:eastAsia="Times New Roman" w:cs="Times New Roman"/>
                <w:color w:val="000000"/>
                <w:sz w:val="20"/>
                <w:szCs w:val="20"/>
                <w:lang w:eastAsia="en-US"/>
              </w:rPr>
            </w:pPr>
            <w:r w:rsidRPr="0026247A">
              <w:rPr>
                <w:rFonts w:eastAsia="Times New Roman" w:cs="Times New Roman"/>
                <w:color w:val="000000"/>
                <w:sz w:val="20"/>
                <w:szCs w:val="20"/>
                <w:lang w:eastAsia="en-US"/>
              </w:rPr>
              <w:t>1</w:t>
            </w:r>
          </w:p>
        </w:tc>
        <w:tc>
          <w:tcPr>
            <w:tcW w:w="1228" w:type="dxa"/>
            <w:tcBorders>
              <w:top w:val="nil"/>
              <w:left w:val="nil"/>
              <w:bottom w:val="nil"/>
              <w:right w:val="nil"/>
            </w:tcBorders>
            <w:shd w:val="clear" w:color="auto" w:fill="auto"/>
            <w:noWrap/>
            <w:vAlign w:val="bottom"/>
            <w:hideMark/>
          </w:tcPr>
          <w:p w14:paraId="12D2F9E9" w14:textId="77777777" w:rsidR="0026247A" w:rsidRPr="0026247A" w:rsidRDefault="0026247A" w:rsidP="0026247A">
            <w:pPr>
              <w:spacing w:after="0" w:line="240" w:lineRule="auto"/>
              <w:jc w:val="center"/>
              <w:rPr>
                <w:rFonts w:eastAsia="Times New Roman" w:cs="Times New Roman"/>
                <w:color w:val="000000"/>
                <w:sz w:val="20"/>
                <w:szCs w:val="20"/>
                <w:lang w:eastAsia="en-US"/>
              </w:rPr>
            </w:pPr>
            <w:r w:rsidRPr="0026247A">
              <w:rPr>
                <w:rFonts w:eastAsia="Times New Roman" w:cs="Times New Roman"/>
                <w:color w:val="000000"/>
                <w:sz w:val="20"/>
                <w:szCs w:val="20"/>
                <w:lang w:eastAsia="en-US"/>
              </w:rPr>
              <w:t>18</w:t>
            </w:r>
          </w:p>
        </w:tc>
      </w:tr>
    </w:tbl>
    <w:p w14:paraId="09FECDFC" w14:textId="77777777" w:rsidR="0026247A" w:rsidRDefault="0026247A" w:rsidP="003A60C0">
      <w:pPr>
        <w:widowControl w:val="0"/>
        <w:rPr>
          <w:rFonts w:eastAsia="Times New Roman" w:cs="Times New Roman"/>
          <w:szCs w:val="24"/>
          <w:lang w:eastAsia="en-US"/>
        </w:rPr>
      </w:pPr>
    </w:p>
    <w:p w14:paraId="046D6296" w14:textId="5AF0BAB3" w:rsidR="003A60C0" w:rsidRPr="003A60C0" w:rsidRDefault="003A60C0" w:rsidP="003A60C0">
      <w:pPr>
        <w:widowControl w:val="0"/>
        <w:rPr>
          <w:rFonts w:eastAsia="Times New Roman" w:cs="Times New Roman"/>
          <w:szCs w:val="24"/>
          <w:lang w:eastAsia="en-US"/>
        </w:rPr>
      </w:pPr>
      <w:r w:rsidRPr="003A60C0">
        <w:rPr>
          <w:rFonts w:eastAsia="Times New Roman" w:cs="Times New Roman"/>
          <w:szCs w:val="24"/>
          <w:lang w:eastAsia="en-US"/>
        </w:rPr>
        <w:t>Considerable ongoing local, regional, and national discussion</w:t>
      </w:r>
      <w:r w:rsidR="0009602B">
        <w:rPr>
          <w:rFonts w:eastAsia="Times New Roman" w:cs="Times New Roman"/>
          <w:szCs w:val="24"/>
          <w:lang w:eastAsia="en-US"/>
        </w:rPr>
        <w:t>s</w:t>
      </w:r>
      <w:r w:rsidRPr="003A60C0">
        <w:rPr>
          <w:rFonts w:eastAsia="Times New Roman" w:cs="Times New Roman"/>
          <w:szCs w:val="24"/>
          <w:lang w:eastAsia="en-US"/>
        </w:rPr>
        <w:t xml:space="preserve"> and debate</w:t>
      </w:r>
      <w:r w:rsidR="0009602B">
        <w:rPr>
          <w:rFonts w:eastAsia="Times New Roman" w:cs="Times New Roman"/>
          <w:szCs w:val="24"/>
          <w:lang w:eastAsia="en-US"/>
        </w:rPr>
        <w:t>s</w:t>
      </w:r>
      <w:r w:rsidRPr="003A60C0">
        <w:rPr>
          <w:rFonts w:eastAsia="Times New Roman" w:cs="Times New Roman"/>
          <w:szCs w:val="24"/>
          <w:lang w:eastAsia="en-US"/>
        </w:rPr>
        <w:t xml:space="preserve"> around large incidents of significant consequence have brought attention to the matter of firefighter staffing.  Frequently, this discussion is set in the context of firefighter safety.  While there are published standards regarding firefighter staffing, they generally speak in terms of the number of firefighters assigned to a particular apparatus, often characterized as a preferred standard of</w:t>
      </w:r>
      <w:r w:rsidR="00D246C9">
        <w:rPr>
          <w:rFonts w:eastAsia="Times New Roman" w:cs="Times New Roman"/>
          <w:szCs w:val="24"/>
          <w:lang w:eastAsia="en-US"/>
        </w:rPr>
        <w:t>,</w:t>
      </w:r>
      <w:r w:rsidRPr="003A60C0">
        <w:rPr>
          <w:rFonts w:eastAsia="Times New Roman" w:cs="Times New Roman"/>
          <w:szCs w:val="24"/>
          <w:lang w:eastAsia="en-US"/>
        </w:rPr>
        <w:t xml:space="preserve"> ”…a minimum</w:t>
      </w:r>
      <w:r w:rsidR="009C33D2">
        <w:rPr>
          <w:rFonts w:eastAsia="Times New Roman" w:cs="Times New Roman"/>
          <w:szCs w:val="24"/>
          <w:lang w:eastAsia="en-US"/>
        </w:rPr>
        <w:t xml:space="preserve"> of four personnel per company.”</w:t>
      </w:r>
      <w:r w:rsidRPr="003A60C0">
        <w:rPr>
          <w:rFonts w:eastAsia="Times New Roman" w:cs="Times New Roman"/>
          <w:szCs w:val="24"/>
          <w:lang w:eastAsia="en-US"/>
        </w:rPr>
        <w:t xml:space="preserve">  ESCI notes that the more critical issue is the number of firefighting personnel assembled in a reasonable amount of time at the scene if an emergency that can perform the required critical tasks to mitigate the emergency regardless of the type or number of vehicles upon which they arrive.  </w:t>
      </w:r>
    </w:p>
    <w:p w14:paraId="736BD24E" w14:textId="70A1DF9D" w:rsidR="003A60C0" w:rsidRPr="003A60C0" w:rsidRDefault="003A60C0" w:rsidP="0026247A">
      <w:pPr>
        <w:widowControl w:val="0"/>
        <w:rPr>
          <w:rFonts w:eastAsia="Times New Roman" w:cs="Times New Roman"/>
          <w:szCs w:val="24"/>
          <w:lang w:eastAsia="en-US"/>
        </w:rPr>
      </w:pPr>
      <w:r w:rsidRPr="003A60C0">
        <w:rPr>
          <w:rFonts w:eastAsia="Times New Roman" w:cs="Times New Roman"/>
          <w:szCs w:val="24"/>
          <w:lang w:eastAsia="en-US"/>
        </w:rPr>
        <w:t xml:space="preserve">Complicating the issue of operational staffing for large incidents is the continued responsibility of the fire service in providing their communities’ first line of emergency medical response.  These responses </w:t>
      </w:r>
      <w:r w:rsidRPr="003A60C0">
        <w:rPr>
          <w:rFonts w:eastAsia="Times New Roman" w:cs="Times New Roman"/>
          <w:szCs w:val="24"/>
          <w:lang w:eastAsia="en-US"/>
        </w:rPr>
        <w:lastRenderedPageBreak/>
        <w:t xml:space="preserve">often require fewer personnel resources while occurring in much greater numbers than fires.  Whether a fire department provides emergency transport to the hospital or not, medical emergencies have continued to challenge many fire service organizations’ abilities to keep up with service demands.  </w:t>
      </w:r>
      <w:r w:rsidR="0026247A">
        <w:rPr>
          <w:rFonts w:eastAsia="Times New Roman" w:cs="Times New Roman"/>
          <w:szCs w:val="24"/>
          <w:lang w:eastAsia="en-US"/>
        </w:rPr>
        <w:t>PFD</w:t>
      </w:r>
      <w:r w:rsidRPr="003A60C0">
        <w:rPr>
          <w:rFonts w:eastAsia="Times New Roman" w:cs="Times New Roman"/>
          <w:szCs w:val="24"/>
          <w:lang w:eastAsia="en-US"/>
        </w:rPr>
        <w:t xml:space="preserve"> is no exception.</w:t>
      </w:r>
    </w:p>
    <w:p w14:paraId="4D0B56DF" w14:textId="53C7756B" w:rsidR="00C35B4C" w:rsidRDefault="00C35B4C" w:rsidP="003A60C0">
      <w:pPr>
        <w:widowControl w:val="0"/>
        <w:rPr>
          <w:rFonts w:eastAsia="Cambria" w:cs="Times New Roman"/>
          <w:lang w:eastAsia="en-US"/>
        </w:rPr>
      </w:pPr>
      <w:r w:rsidRPr="0006012F">
        <w:rPr>
          <w:rFonts w:eastAsia="Cambria" w:cs="Times New Roman"/>
          <w:lang w:eastAsia="en-US"/>
        </w:rPr>
        <w:t xml:space="preserve">PFD’s response protocols necessitate transferring Medic Unit crews to “swing” over to the fire apparatus when a multi-unit fire response is dispatched (i.e., structure fire), resulting in a four-person company.  If the medic units are in quarters and available, as well as their counterpart fire engine, the crews will merge on the engine to respond, leaving the medic unit unstaffed and out of service.  If the medic unit or fire engine are separated when the dispatch occurs, they respond to the </w:t>
      </w:r>
      <w:r>
        <w:rPr>
          <w:rFonts w:eastAsia="Cambria" w:cs="Times New Roman"/>
          <w:lang w:eastAsia="en-US"/>
        </w:rPr>
        <w:t xml:space="preserve">fire </w:t>
      </w:r>
      <w:r w:rsidRPr="0006012F">
        <w:rPr>
          <w:rFonts w:eastAsia="Cambria" w:cs="Times New Roman"/>
          <w:lang w:eastAsia="en-US"/>
        </w:rPr>
        <w:t>incident separately.  In either case, medical incident response capability is compromised, yet the additional staffing is critical to the structure fire response.</w:t>
      </w:r>
      <w:r>
        <w:rPr>
          <w:rFonts w:eastAsia="Cambria" w:cs="Times New Roman"/>
          <w:lang w:eastAsia="en-US"/>
        </w:rPr>
        <w:t xml:space="preserve">  By increasing the staffing on the engine companies, structure fire responses are less dependent upon the added staffing medic units represent.  This maintains an effective EMS response capability while improving the effective response force for structure fires (discussed in greater detail in the </w:t>
      </w:r>
      <w:r w:rsidRPr="00193270">
        <w:rPr>
          <w:rFonts w:eastAsia="Cambria" w:cs="Times New Roman"/>
          <w:i/>
          <w:lang w:eastAsia="en-US"/>
        </w:rPr>
        <w:t>Service Delivery &amp; Performance</w:t>
      </w:r>
      <w:r>
        <w:rPr>
          <w:rFonts w:eastAsia="Cambria" w:cs="Times New Roman"/>
          <w:lang w:eastAsia="en-US"/>
        </w:rPr>
        <w:t xml:space="preserve"> section of this report). </w:t>
      </w:r>
    </w:p>
    <w:p w14:paraId="58673813" w14:textId="6D1EAE23" w:rsidR="004819D0" w:rsidRDefault="003A60C0" w:rsidP="003A60C0">
      <w:pPr>
        <w:widowControl w:val="0"/>
        <w:rPr>
          <w:rFonts w:eastAsia="Times New Roman" w:cs="Times New Roman"/>
          <w:szCs w:val="24"/>
          <w:lang w:eastAsia="en-US"/>
        </w:rPr>
      </w:pPr>
      <w:r w:rsidRPr="003A60C0">
        <w:rPr>
          <w:rFonts w:eastAsia="Times New Roman" w:cs="Times New Roman"/>
          <w:szCs w:val="24"/>
          <w:lang w:eastAsia="en-US"/>
        </w:rPr>
        <w:t xml:space="preserve">Regarding fires and other major emergencies, the number and types of tasks needing simultaneous action will dictate the minimum number of firefighters required to combat different types of </w:t>
      </w:r>
      <w:r w:rsidR="0009602B">
        <w:rPr>
          <w:rFonts w:eastAsia="Times New Roman" w:cs="Times New Roman"/>
          <w:szCs w:val="24"/>
          <w:lang w:eastAsia="en-US"/>
        </w:rPr>
        <w:t>incidents</w:t>
      </w:r>
      <w:r w:rsidRPr="003A60C0">
        <w:rPr>
          <w:rFonts w:eastAsia="Times New Roman" w:cs="Times New Roman"/>
          <w:szCs w:val="24"/>
          <w:lang w:eastAsia="en-US"/>
        </w:rPr>
        <w:t xml:space="preserve">.  In the absence of adequate personnel to perform concurrent action, the </w:t>
      </w:r>
      <w:r w:rsidR="005C2D7B">
        <w:rPr>
          <w:rFonts w:eastAsia="Times New Roman" w:cs="Times New Roman"/>
          <w:szCs w:val="24"/>
          <w:lang w:eastAsia="en-US"/>
        </w:rPr>
        <w:t xml:space="preserve">incident </w:t>
      </w:r>
      <w:r w:rsidRPr="003A60C0">
        <w:rPr>
          <w:rFonts w:eastAsia="Times New Roman" w:cs="Times New Roman"/>
          <w:szCs w:val="24"/>
          <w:lang w:eastAsia="en-US"/>
        </w:rPr>
        <w:t>commander must prioritize the tasks and compl</w:t>
      </w:r>
      <w:r w:rsidR="0009602B">
        <w:rPr>
          <w:rFonts w:eastAsia="Times New Roman" w:cs="Times New Roman"/>
          <w:szCs w:val="24"/>
          <w:lang w:eastAsia="en-US"/>
        </w:rPr>
        <w:t>ete some in chronological order</w:t>
      </w:r>
      <w:r w:rsidRPr="003A60C0">
        <w:rPr>
          <w:rFonts w:eastAsia="Times New Roman" w:cs="Times New Roman"/>
          <w:szCs w:val="24"/>
          <w:lang w:eastAsia="en-US"/>
        </w:rPr>
        <w:t xml:space="preserve"> rather than concurrently.  </w:t>
      </w:r>
    </w:p>
    <w:p w14:paraId="528629C2" w14:textId="43E418C4" w:rsidR="004819D0" w:rsidRDefault="004819D0" w:rsidP="003A60C0">
      <w:pPr>
        <w:widowControl w:val="0"/>
        <w:rPr>
          <w:rFonts w:eastAsia="Times New Roman" w:cs="Times New Roman"/>
          <w:szCs w:val="24"/>
          <w:lang w:eastAsia="en-US"/>
        </w:rPr>
      </w:pPr>
      <w:r w:rsidRPr="004819D0">
        <w:rPr>
          <w:rFonts w:eastAsia="Times New Roman" w:cs="Times New Roman"/>
          <w:szCs w:val="24"/>
          <w:lang w:eastAsia="en-US"/>
        </w:rPr>
        <w:t>Many fire departments develop Standards of Cover to define how they will respond to a variety of emergencies.  Standards of Cover (or SOC) take into account the particulars of each organization, recognizing that how fire departments respond to various situations depends upon their size, their available resources</w:t>
      </w:r>
      <w:r w:rsidR="0009602B">
        <w:rPr>
          <w:rFonts w:eastAsia="Times New Roman" w:cs="Times New Roman"/>
          <w:szCs w:val="24"/>
          <w:lang w:eastAsia="en-US"/>
        </w:rPr>
        <w:t>,</w:t>
      </w:r>
      <w:r w:rsidRPr="004819D0">
        <w:rPr>
          <w:rFonts w:eastAsia="Times New Roman" w:cs="Times New Roman"/>
          <w:szCs w:val="24"/>
          <w:lang w:eastAsia="en-US"/>
        </w:rPr>
        <w:t xml:space="preserve"> and the priorities of that agency’s community.  SOCs also communicate to employees and to citizens how the agency expects its responders to approach emergency situations.  </w:t>
      </w:r>
      <w:r w:rsidR="003E5372" w:rsidRPr="003E5372">
        <w:rPr>
          <w:rFonts w:eastAsia="Times New Roman" w:cs="Times New Roman"/>
          <w:szCs w:val="24"/>
          <w:lang w:eastAsia="en-US"/>
        </w:rPr>
        <w:t xml:space="preserve">PFD does not have a Standards of Cover.  </w:t>
      </w:r>
      <w:r w:rsidRPr="004819D0">
        <w:rPr>
          <w:rFonts w:eastAsia="Times New Roman" w:cs="Times New Roman"/>
          <w:szCs w:val="24"/>
          <w:lang w:eastAsia="en-US"/>
        </w:rPr>
        <w:t>Absent such a document</w:t>
      </w:r>
      <w:r>
        <w:rPr>
          <w:rFonts w:eastAsia="Times New Roman" w:cs="Times New Roman"/>
          <w:szCs w:val="24"/>
          <w:lang w:eastAsia="en-US"/>
        </w:rPr>
        <w:t>,</w:t>
      </w:r>
      <w:r w:rsidRPr="004819D0">
        <w:rPr>
          <w:rFonts w:eastAsia="Times New Roman" w:cs="Times New Roman"/>
          <w:szCs w:val="24"/>
          <w:lang w:eastAsia="en-US"/>
        </w:rPr>
        <w:t xml:space="preserve"> fire departments </w:t>
      </w:r>
      <w:r>
        <w:rPr>
          <w:rFonts w:eastAsia="Times New Roman" w:cs="Times New Roman"/>
          <w:szCs w:val="24"/>
          <w:lang w:eastAsia="en-US"/>
        </w:rPr>
        <w:t>may</w:t>
      </w:r>
      <w:r w:rsidRPr="004819D0">
        <w:rPr>
          <w:rFonts w:eastAsia="Times New Roman" w:cs="Times New Roman"/>
          <w:szCs w:val="24"/>
          <w:lang w:eastAsia="en-US"/>
        </w:rPr>
        <w:t xml:space="preserve"> be held to state and/or national standards that may not take into consideration the practica</w:t>
      </w:r>
      <w:r>
        <w:rPr>
          <w:rFonts w:eastAsia="Times New Roman" w:cs="Times New Roman"/>
          <w:szCs w:val="24"/>
          <w:lang w:eastAsia="en-US"/>
        </w:rPr>
        <w:t>l realities of the given locale</w:t>
      </w:r>
      <w:r w:rsidRPr="004819D0">
        <w:rPr>
          <w:rFonts w:eastAsia="Times New Roman" w:cs="Times New Roman"/>
          <w:szCs w:val="24"/>
          <w:lang w:eastAsia="en-US"/>
        </w:rPr>
        <w:t>.</w:t>
      </w:r>
      <w:r w:rsidR="009234BC">
        <w:rPr>
          <w:rFonts w:eastAsia="Times New Roman" w:cs="Times New Roman"/>
          <w:szCs w:val="24"/>
          <w:lang w:eastAsia="en-US"/>
        </w:rPr>
        <w:t xml:space="preserve"> This is discussed in greater detail in the </w:t>
      </w:r>
      <w:r w:rsidR="009234BC" w:rsidRPr="0009602B">
        <w:rPr>
          <w:rFonts w:eastAsia="Times New Roman" w:cs="Times New Roman"/>
          <w:i/>
          <w:szCs w:val="24"/>
          <w:lang w:eastAsia="en-US"/>
        </w:rPr>
        <w:t>Future Delivery System Models</w:t>
      </w:r>
      <w:r w:rsidR="009234BC">
        <w:rPr>
          <w:rFonts w:eastAsia="Times New Roman" w:cs="Times New Roman"/>
          <w:szCs w:val="24"/>
          <w:lang w:eastAsia="en-US"/>
        </w:rPr>
        <w:t xml:space="preserve"> section of this report.</w:t>
      </w:r>
    </w:p>
    <w:p w14:paraId="6A2C4376" w14:textId="77777777" w:rsidR="003E5372" w:rsidRPr="003A60C0" w:rsidRDefault="003E5372" w:rsidP="003E5372">
      <w:pPr>
        <w:widowControl w:val="0"/>
        <w:rPr>
          <w:rFonts w:eastAsia="Times New Roman" w:cs="Times New Roman"/>
          <w:szCs w:val="24"/>
          <w:lang w:eastAsia="en-US"/>
        </w:rPr>
      </w:pPr>
      <w:r w:rsidRPr="003A60C0">
        <w:rPr>
          <w:rFonts w:eastAsia="Times New Roman" w:cs="Times New Roman"/>
          <w:szCs w:val="24"/>
          <w:lang w:eastAsia="en-US"/>
        </w:rPr>
        <w:t xml:space="preserve">When looking at the minimum requirements for accomplishing the tasks necessary in responding to a residential house fire, it should be noted that Pasco Fire Department’s minimum daily staffing does not provide adequate personnel resources even when all on-duty units are available.  </w:t>
      </w:r>
      <w:r w:rsidRPr="004819D0">
        <w:rPr>
          <w:rFonts w:eastAsia="Times New Roman" w:cs="Times New Roman"/>
          <w:szCs w:val="24"/>
          <w:lang w:eastAsia="en-US"/>
        </w:rPr>
        <w:t xml:space="preserve">This is </w:t>
      </w:r>
      <w:r>
        <w:rPr>
          <w:rFonts w:eastAsia="Times New Roman" w:cs="Times New Roman"/>
          <w:szCs w:val="24"/>
          <w:lang w:eastAsia="en-US"/>
        </w:rPr>
        <w:t xml:space="preserve">due in part to the requirement that </w:t>
      </w:r>
      <w:r w:rsidRPr="004819D0">
        <w:rPr>
          <w:rFonts w:eastAsia="Times New Roman" w:cs="Times New Roman"/>
          <w:szCs w:val="24"/>
          <w:lang w:eastAsia="en-US"/>
        </w:rPr>
        <w:t>two firefighters remain at the airport at all times.</w:t>
      </w:r>
      <w:r>
        <w:rPr>
          <w:rFonts w:eastAsia="Times New Roman" w:cs="Times New Roman"/>
          <w:szCs w:val="24"/>
          <w:lang w:eastAsia="en-US"/>
        </w:rPr>
        <w:t xml:space="preserve"> </w:t>
      </w:r>
      <w:r w:rsidRPr="003A60C0">
        <w:rPr>
          <w:rFonts w:eastAsia="Times New Roman" w:cs="Times New Roman"/>
          <w:szCs w:val="24"/>
          <w:lang w:eastAsia="en-US"/>
        </w:rPr>
        <w:t>This deficit is addressed in several ways.  Off-duty firefighters are permitted to check out pagers from the department if they are available to return to work in the event of one larger incident or many smaller ones.  Also, PFD and its neighboring fire departments rely upon a system of mutual and automatic aid to assist one another in gathering adequate resources to mitigate any emergencies that are too large for one department to manage.</w:t>
      </w:r>
    </w:p>
    <w:p w14:paraId="48AE46B0" w14:textId="0CBE6210" w:rsidR="003A60C0" w:rsidRPr="003A60C0" w:rsidRDefault="003A60C0" w:rsidP="003A60C0">
      <w:pPr>
        <w:widowControl w:val="0"/>
        <w:rPr>
          <w:rFonts w:eastAsia="Times New Roman" w:cs="Times New Roman"/>
          <w:szCs w:val="24"/>
          <w:lang w:eastAsia="en-US"/>
        </w:rPr>
      </w:pPr>
      <w:r w:rsidRPr="003A60C0">
        <w:rPr>
          <w:rFonts w:eastAsia="Times New Roman" w:cs="Times New Roman"/>
          <w:szCs w:val="24"/>
          <w:lang w:eastAsia="en-US"/>
        </w:rPr>
        <w:t>Another means of comparison, also used on a national basis</w:t>
      </w:r>
      <w:r w:rsidR="0009602B">
        <w:rPr>
          <w:rFonts w:eastAsia="Times New Roman" w:cs="Times New Roman"/>
          <w:szCs w:val="24"/>
          <w:lang w:eastAsia="en-US"/>
        </w:rPr>
        <w:t>,</w:t>
      </w:r>
      <w:r w:rsidRPr="003A60C0">
        <w:rPr>
          <w:rFonts w:eastAsia="Times New Roman" w:cs="Times New Roman"/>
          <w:szCs w:val="24"/>
          <w:lang w:eastAsia="en-US"/>
        </w:rPr>
        <w:t xml:space="preserve"> is that of measuring the number of firefighters per 1,000 population of the service area.  </w:t>
      </w:r>
      <w:r w:rsidR="00DC5238">
        <w:rPr>
          <w:rFonts w:eastAsia="Times New Roman" w:cs="Times New Roman"/>
          <w:szCs w:val="24"/>
          <w:lang w:eastAsia="en-US"/>
        </w:rPr>
        <w:t xml:space="preserve">The </w:t>
      </w:r>
      <w:r w:rsidR="0009602B">
        <w:rPr>
          <w:rFonts w:eastAsia="Times New Roman" w:cs="Times New Roman"/>
          <w:szCs w:val="24"/>
          <w:lang w:eastAsia="en-US"/>
        </w:rPr>
        <w:t>following figure</w:t>
      </w:r>
      <w:r w:rsidRPr="003A60C0">
        <w:rPr>
          <w:rFonts w:eastAsia="Times New Roman" w:cs="Times New Roman"/>
          <w:szCs w:val="24"/>
          <w:lang w:eastAsia="en-US"/>
        </w:rPr>
        <w:t xml:space="preserve"> illustrates the current </w:t>
      </w:r>
      <w:r w:rsidRPr="003A60C0">
        <w:rPr>
          <w:rFonts w:eastAsia="Times New Roman" w:cs="Times New Roman"/>
          <w:szCs w:val="24"/>
          <w:lang w:eastAsia="en-US"/>
        </w:rPr>
        <w:lastRenderedPageBreak/>
        <w:t xml:space="preserve">comparison of PFD staffing with both national and regional </w:t>
      </w:r>
      <w:r w:rsidR="00DC5238">
        <w:rPr>
          <w:rFonts w:eastAsia="Times New Roman" w:cs="Times New Roman"/>
          <w:szCs w:val="24"/>
          <w:lang w:eastAsia="en-US"/>
        </w:rPr>
        <w:t>medians</w:t>
      </w:r>
      <w:r w:rsidRPr="003A60C0">
        <w:rPr>
          <w:rFonts w:eastAsia="Times New Roman" w:cs="Times New Roman"/>
          <w:szCs w:val="24"/>
          <w:lang w:eastAsia="en-US"/>
        </w:rPr>
        <w:t xml:space="preserve"> as reported by the National Fire</w:t>
      </w:r>
      <w:r w:rsidR="0009602B">
        <w:rPr>
          <w:rFonts w:eastAsia="Times New Roman" w:cs="Times New Roman"/>
          <w:szCs w:val="24"/>
          <w:lang w:eastAsia="en-US"/>
        </w:rPr>
        <w:t xml:space="preserve"> Protection Association.  Note </w:t>
      </w:r>
      <w:r w:rsidRPr="003A60C0">
        <w:rPr>
          <w:rFonts w:eastAsia="Times New Roman" w:cs="Times New Roman"/>
          <w:szCs w:val="24"/>
          <w:lang w:eastAsia="en-US"/>
        </w:rPr>
        <w:t>that this analysis does not take into account whether the fire departments in question provide ambulance transport to their communities.</w:t>
      </w:r>
    </w:p>
    <w:p w14:paraId="3EF05423" w14:textId="0A54E3B0" w:rsidR="003A60C0" w:rsidRDefault="00DC5238" w:rsidP="009F6573">
      <w:pPr>
        <w:pStyle w:val="Caption"/>
      </w:pPr>
      <w:bookmarkStart w:id="145" w:name="_Toc464323685"/>
      <w:r>
        <w:t xml:space="preserve">Figure </w:t>
      </w:r>
      <w:r w:rsidR="00432AD4">
        <w:fldChar w:fldCharType="begin"/>
      </w:r>
      <w:r w:rsidR="00432AD4">
        <w:instrText xml:space="preserve"> SEQ Figure \* ARABIC </w:instrText>
      </w:r>
      <w:r w:rsidR="00432AD4">
        <w:fldChar w:fldCharType="separate"/>
      </w:r>
      <w:r w:rsidR="008209A2">
        <w:rPr>
          <w:noProof/>
        </w:rPr>
        <w:t>43</w:t>
      </w:r>
      <w:r w:rsidR="00432AD4">
        <w:rPr>
          <w:noProof/>
        </w:rPr>
        <w:fldChar w:fldCharType="end"/>
      </w:r>
      <w:r w:rsidR="00574D69">
        <w:t xml:space="preserve">: </w:t>
      </w:r>
      <w:r>
        <w:t>Staffing Comparison</w:t>
      </w:r>
      <w:r w:rsidR="00D246C9">
        <w:t>, 2015</w:t>
      </w:r>
      <w:bookmarkEnd w:id="145"/>
    </w:p>
    <w:p w14:paraId="119C8B25" w14:textId="5DCBC417" w:rsidR="00544BF7" w:rsidRPr="006A575C" w:rsidRDefault="00544BF7" w:rsidP="004605B7">
      <w:pPr>
        <w:jc w:val="center"/>
        <w:rPr>
          <w:lang w:eastAsia="en-US"/>
        </w:rPr>
      </w:pPr>
      <w:r>
        <w:rPr>
          <w:noProof/>
          <w:lang w:eastAsia="en-US"/>
        </w:rPr>
        <w:drawing>
          <wp:inline distT="0" distB="0" distL="0" distR="0" wp14:anchorId="6D2E98C5" wp14:editId="4D81CA6B">
            <wp:extent cx="4825439" cy="3120091"/>
            <wp:effectExtent l="0" t="0" r="0" b="0"/>
            <wp:docPr id="63" name="Chart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24D8A77F" w14:textId="48C8C1D9" w:rsidR="003A60C0" w:rsidRPr="003A60C0" w:rsidRDefault="003A60C0" w:rsidP="006A575C">
      <w:pPr>
        <w:rPr>
          <w:rFonts w:eastAsia="Times New Roman" w:cs="Times New Roman"/>
          <w:szCs w:val="24"/>
          <w:lang w:eastAsia="en-US"/>
        </w:rPr>
      </w:pPr>
      <w:r w:rsidRPr="003A60C0">
        <w:rPr>
          <w:rFonts w:eastAsia="Times New Roman" w:cs="Times New Roman"/>
          <w:szCs w:val="24"/>
          <w:lang w:eastAsia="en-US"/>
        </w:rPr>
        <w:t xml:space="preserve">Using this comparison, PFD </w:t>
      </w:r>
      <w:r w:rsidR="006A575C">
        <w:rPr>
          <w:rFonts w:eastAsia="Times New Roman" w:cs="Times New Roman"/>
          <w:szCs w:val="24"/>
          <w:lang w:eastAsia="en-US"/>
        </w:rPr>
        <w:t>is</w:t>
      </w:r>
      <w:r w:rsidRPr="003A60C0">
        <w:rPr>
          <w:rFonts w:eastAsia="Times New Roman" w:cs="Times New Roman"/>
          <w:szCs w:val="24"/>
          <w:lang w:eastAsia="en-US"/>
        </w:rPr>
        <w:t xml:space="preserve"> </w:t>
      </w:r>
      <w:r w:rsidR="00E127CD">
        <w:rPr>
          <w:rFonts w:eastAsia="Times New Roman" w:cs="Times New Roman"/>
          <w:szCs w:val="24"/>
          <w:lang w:eastAsia="en-US"/>
        </w:rPr>
        <w:t>1</w:t>
      </w:r>
      <w:r w:rsidR="006A575C">
        <w:rPr>
          <w:rFonts w:eastAsia="Times New Roman" w:cs="Times New Roman"/>
          <w:szCs w:val="24"/>
          <w:lang w:eastAsia="en-US"/>
        </w:rPr>
        <w:t>6.67 percent</w:t>
      </w:r>
      <w:r w:rsidR="00DC5238">
        <w:rPr>
          <w:rFonts w:eastAsia="Times New Roman" w:cs="Times New Roman"/>
          <w:szCs w:val="24"/>
          <w:lang w:eastAsia="en-US"/>
        </w:rPr>
        <w:t xml:space="preserve"> below</w:t>
      </w:r>
      <w:r w:rsidRPr="003A60C0">
        <w:rPr>
          <w:rFonts w:eastAsia="Times New Roman" w:cs="Times New Roman"/>
          <w:szCs w:val="24"/>
          <w:lang w:eastAsia="en-US"/>
        </w:rPr>
        <w:t xml:space="preserve"> the regional median for career personnel and </w:t>
      </w:r>
      <w:r w:rsidR="00E127CD">
        <w:rPr>
          <w:rFonts w:eastAsia="Times New Roman" w:cs="Times New Roman"/>
          <w:szCs w:val="24"/>
          <w:lang w:eastAsia="en-US"/>
        </w:rPr>
        <w:t>5</w:t>
      </w:r>
      <w:r w:rsidR="00A51DDE">
        <w:rPr>
          <w:rFonts w:eastAsia="Times New Roman" w:cs="Times New Roman"/>
          <w:szCs w:val="24"/>
          <w:lang w:eastAsia="en-US"/>
        </w:rPr>
        <w:t>6.</w:t>
      </w:r>
      <w:r w:rsidR="00E127CD">
        <w:rPr>
          <w:rFonts w:eastAsia="Times New Roman" w:cs="Times New Roman"/>
          <w:szCs w:val="24"/>
          <w:lang w:eastAsia="en-US"/>
        </w:rPr>
        <w:t>4</w:t>
      </w:r>
      <w:r w:rsidR="00A51DDE">
        <w:rPr>
          <w:rFonts w:eastAsia="Times New Roman" w:cs="Times New Roman"/>
          <w:szCs w:val="24"/>
          <w:lang w:eastAsia="en-US"/>
        </w:rPr>
        <w:t>6</w:t>
      </w:r>
      <w:r w:rsidR="00E127CD">
        <w:rPr>
          <w:rFonts w:eastAsia="Times New Roman" w:cs="Times New Roman"/>
          <w:szCs w:val="24"/>
          <w:lang w:eastAsia="en-US"/>
        </w:rPr>
        <w:t xml:space="preserve"> </w:t>
      </w:r>
      <w:r w:rsidR="00DC5238">
        <w:rPr>
          <w:rFonts w:eastAsia="Times New Roman" w:cs="Times New Roman"/>
          <w:szCs w:val="24"/>
          <w:lang w:eastAsia="en-US"/>
        </w:rPr>
        <w:t>p</w:t>
      </w:r>
      <w:r w:rsidR="00A51DDE">
        <w:rPr>
          <w:rFonts w:eastAsia="Times New Roman" w:cs="Times New Roman"/>
          <w:szCs w:val="24"/>
          <w:lang w:eastAsia="en-US"/>
        </w:rPr>
        <w:t>ercent</w:t>
      </w:r>
      <w:r w:rsidR="00DC5238">
        <w:rPr>
          <w:rFonts w:eastAsia="Times New Roman" w:cs="Times New Roman"/>
          <w:szCs w:val="24"/>
          <w:lang w:eastAsia="en-US"/>
        </w:rPr>
        <w:t xml:space="preserve"> below </w:t>
      </w:r>
      <w:r w:rsidRPr="003A60C0">
        <w:rPr>
          <w:rFonts w:eastAsia="Times New Roman" w:cs="Times New Roman"/>
          <w:szCs w:val="24"/>
          <w:lang w:eastAsia="en-US"/>
        </w:rPr>
        <w:t xml:space="preserve">the national median.  </w:t>
      </w:r>
    </w:p>
    <w:p w14:paraId="269E7261" w14:textId="77777777" w:rsidR="003A60C0" w:rsidRPr="003A60C0" w:rsidRDefault="003A60C0" w:rsidP="003A60C0">
      <w:pPr>
        <w:pStyle w:val="Heading3"/>
        <w:rPr>
          <w:rFonts w:eastAsia="Times New Roman"/>
          <w:lang w:eastAsia="en-US"/>
        </w:rPr>
      </w:pPr>
      <w:bookmarkStart w:id="146" w:name="_Toc464323564"/>
      <w:r w:rsidRPr="003A60C0">
        <w:rPr>
          <w:rFonts w:eastAsia="Times New Roman"/>
          <w:lang w:eastAsia="en-US"/>
        </w:rPr>
        <w:t>Personnel Management</w:t>
      </w:r>
      <w:bookmarkEnd w:id="146"/>
    </w:p>
    <w:p w14:paraId="2796B268" w14:textId="77777777" w:rsidR="003A60C0" w:rsidRPr="003A60C0" w:rsidRDefault="003A60C0" w:rsidP="003A60C0">
      <w:pPr>
        <w:widowControl w:val="0"/>
        <w:rPr>
          <w:rFonts w:eastAsia="Times New Roman" w:cs="Times New Roman"/>
          <w:szCs w:val="24"/>
          <w:lang w:eastAsia="en-US"/>
        </w:rPr>
      </w:pPr>
      <w:r w:rsidRPr="003A60C0">
        <w:rPr>
          <w:rFonts w:eastAsia="Times New Roman" w:cs="Times New Roman"/>
          <w:szCs w:val="24"/>
          <w:lang w:eastAsia="en-US"/>
        </w:rPr>
        <w:t>The following review relates to the baseline personnel management components typically found in an appropriately administered organization.</w:t>
      </w:r>
    </w:p>
    <w:p w14:paraId="5B46F7FA" w14:textId="77777777" w:rsidR="003A60C0" w:rsidRPr="003A60C0" w:rsidRDefault="003A60C0" w:rsidP="003A60C0">
      <w:pPr>
        <w:widowControl w:val="0"/>
        <w:rPr>
          <w:rFonts w:eastAsia="Times New Roman" w:cs="Times New Roman"/>
          <w:szCs w:val="24"/>
          <w:lang w:eastAsia="en-US"/>
        </w:rPr>
      </w:pPr>
      <w:r w:rsidRPr="003A60C0">
        <w:rPr>
          <w:rFonts w:eastAsia="Times New Roman" w:cs="Times New Roman"/>
          <w:szCs w:val="24"/>
          <w:lang w:eastAsia="en-US"/>
        </w:rPr>
        <w:t>Pasco Fire Department uses officer level staff to perform tasks that could be more efficiently delivered through non-uniformed staff.  For example, the EMS Officer delivers supplies to each of the stations although such work could be performed by less expensive staff, freeing officer time for higher value-added activities.</w:t>
      </w:r>
    </w:p>
    <w:p w14:paraId="4CA41480" w14:textId="0A30F51B" w:rsidR="003A60C0" w:rsidRPr="003A60C0" w:rsidRDefault="003A60C0" w:rsidP="003A60C0">
      <w:pPr>
        <w:widowControl w:val="0"/>
        <w:rPr>
          <w:rFonts w:eastAsia="Times New Roman" w:cs="Times New Roman"/>
          <w:szCs w:val="24"/>
          <w:lang w:eastAsia="en-US"/>
        </w:rPr>
      </w:pPr>
      <w:r w:rsidRPr="003A60C0">
        <w:rPr>
          <w:rFonts w:eastAsia="Times New Roman" w:cs="Times New Roman"/>
          <w:szCs w:val="24"/>
          <w:lang w:eastAsia="en-US"/>
        </w:rPr>
        <w:t>Operations personnel in the fire service in Washington most commonly work 24-hour shifts.  Under federal labor regulations they can work up to 53 hours per week before their employers are obligated to pay them at an overtime rate, and those 53</w:t>
      </w:r>
      <w:r w:rsidR="0009602B">
        <w:rPr>
          <w:rFonts w:eastAsia="Times New Roman" w:cs="Times New Roman"/>
          <w:szCs w:val="24"/>
          <w:lang w:eastAsia="en-US"/>
        </w:rPr>
        <w:t>-</w:t>
      </w:r>
      <w:r w:rsidRPr="003A60C0">
        <w:rPr>
          <w:rFonts w:eastAsia="Times New Roman" w:cs="Times New Roman"/>
          <w:szCs w:val="24"/>
          <w:lang w:eastAsia="en-US"/>
        </w:rPr>
        <w:t xml:space="preserve">hour weeks can be averaged over a longer period than one week.  Each employer may adopt a period of time for averaging the employees’ work week from a maximum of 28 days to a minimum of 7 days.  In the fire service in the northwest, these time periods, known as “FLSA (Fair Labor Standards Act) cycles” tend to run from 24 to 28 days.  </w:t>
      </w:r>
      <w:r w:rsidR="0009602B">
        <w:rPr>
          <w:rFonts w:eastAsia="Times New Roman" w:cs="Times New Roman"/>
          <w:szCs w:val="24"/>
          <w:lang w:eastAsia="en-US"/>
        </w:rPr>
        <w:t>Twenty-four-</w:t>
      </w:r>
      <w:r w:rsidRPr="003A60C0">
        <w:rPr>
          <w:rFonts w:eastAsia="Times New Roman" w:cs="Times New Roman"/>
          <w:szCs w:val="24"/>
          <w:lang w:eastAsia="en-US"/>
        </w:rPr>
        <w:t xml:space="preserve">hour shifts are broken up by off-duty periods that can be regular or varied.  For example, a common schedule is one 24-hour shift on-duty followed by two 24-hour shifts off duty.  Another common variation is one shift on, one shift off, one shift on, one shift off, one shift on, four shifts off.  Both examples provide an </w:t>
      </w:r>
      <w:r w:rsidRPr="003A60C0">
        <w:rPr>
          <w:rFonts w:eastAsia="Times New Roman" w:cs="Times New Roman"/>
          <w:szCs w:val="24"/>
          <w:lang w:eastAsia="en-US"/>
        </w:rPr>
        <w:lastRenderedPageBreak/>
        <w:t xml:space="preserve">average of 48 hours off duty for every 24 hours on duty.  Both also result in a work week that averages 56 hours and therefore requires that the employer pay over time for the extra hours. </w:t>
      </w:r>
    </w:p>
    <w:p w14:paraId="4DB354CE" w14:textId="77777777" w:rsidR="003A60C0" w:rsidRPr="003A60C0" w:rsidRDefault="003A60C0" w:rsidP="0009602B">
      <w:pPr>
        <w:rPr>
          <w:rFonts w:eastAsia="Times New Roman" w:cs="Times New Roman"/>
          <w:szCs w:val="24"/>
          <w:lang w:eastAsia="en-US"/>
        </w:rPr>
      </w:pPr>
      <w:r w:rsidRPr="003A60C0">
        <w:rPr>
          <w:rFonts w:eastAsia="Times New Roman" w:cs="Times New Roman"/>
          <w:szCs w:val="24"/>
          <w:lang w:eastAsia="en-US"/>
        </w:rPr>
        <w:t xml:space="preserve">PFD, like many other fire departments in Washington, schedules additional off-duty shifts to bring the average work week below 56 hours.  Almost all firefighters in Pasco work the one shift on followed by two shifts off with one additional shift off in each 28-day FLSA cycle, resulting in an average work week of 50 hours.  The 50-hour work week is common throughout Washington State. </w:t>
      </w:r>
    </w:p>
    <w:p w14:paraId="73C948A9" w14:textId="3D639EE6" w:rsidR="003A60C0" w:rsidRPr="003A60C0" w:rsidRDefault="003A60C0" w:rsidP="003A60C0">
      <w:pPr>
        <w:widowControl w:val="0"/>
        <w:rPr>
          <w:rFonts w:eastAsia="Times New Roman" w:cs="Times New Roman"/>
          <w:szCs w:val="24"/>
          <w:lang w:eastAsia="en-US"/>
        </w:rPr>
      </w:pPr>
      <w:r w:rsidRPr="003A60C0">
        <w:rPr>
          <w:rFonts w:eastAsia="Times New Roman" w:cs="Times New Roman"/>
          <w:szCs w:val="24"/>
          <w:lang w:eastAsia="en-US"/>
        </w:rPr>
        <w:t xml:space="preserve">In addition, PFD currently employs two firefighters on a floating work schedule (called “D” shift) that is designed to give the </w:t>
      </w:r>
      <w:r w:rsidR="00AB6F3C" w:rsidRPr="003A60C0">
        <w:rPr>
          <w:rFonts w:eastAsia="Times New Roman" w:cs="Times New Roman"/>
          <w:szCs w:val="24"/>
          <w:lang w:eastAsia="en-US"/>
        </w:rPr>
        <w:t xml:space="preserve">Department </w:t>
      </w:r>
      <w:r w:rsidRPr="003A60C0">
        <w:rPr>
          <w:rFonts w:eastAsia="Times New Roman" w:cs="Times New Roman"/>
          <w:szCs w:val="24"/>
          <w:lang w:eastAsia="en-US"/>
        </w:rPr>
        <w:t>the flexibility to place these “extra” firefighters where they are needed to cover vacancies created by injuries, vacations, or other absences.  This new schedule is an example of the City’s and the Union’s willingness to look at creative ways to address a common emergency services issue—staffing for vacancies that occur in an unpredictable way.</w:t>
      </w:r>
    </w:p>
    <w:p w14:paraId="0BF575D5" w14:textId="76B97F01" w:rsidR="003A60C0" w:rsidRPr="003A60C0" w:rsidRDefault="003A60C0" w:rsidP="003A60C0">
      <w:pPr>
        <w:widowControl w:val="0"/>
        <w:rPr>
          <w:rFonts w:eastAsia="Times New Roman" w:cs="Times New Roman"/>
          <w:szCs w:val="24"/>
          <w:lang w:eastAsia="en-US"/>
        </w:rPr>
      </w:pPr>
      <w:r w:rsidRPr="003A60C0">
        <w:rPr>
          <w:rFonts w:eastAsia="Times New Roman" w:cs="Times New Roman"/>
          <w:szCs w:val="24"/>
          <w:lang w:eastAsia="en-US"/>
        </w:rPr>
        <w:t xml:space="preserve">A growing trend in the fire service has been the introduction of the 48-hour work shift; that is, 48 hours on duty followed by 96 hours off duty.  This schedule has developed in response to the greater distances that some fire service personnel are living from the communities which they serve.  This phenomenon is a product of the explosion in real estate values in some communities (making it impossible for public service employees to afford housing in the cities where they work) and the competitiveness of the fire service industry (leading candidates for employment to compete for jobs farther and farther from the places where their families already live).  Both of these instances result in longer and longer commutes.  They </w:t>
      </w:r>
      <w:r w:rsidR="00AB6F3C">
        <w:rPr>
          <w:rFonts w:eastAsia="Times New Roman" w:cs="Times New Roman"/>
          <w:szCs w:val="24"/>
          <w:lang w:eastAsia="en-US"/>
        </w:rPr>
        <w:t xml:space="preserve">can </w:t>
      </w:r>
      <w:r w:rsidRPr="003A60C0">
        <w:rPr>
          <w:rFonts w:eastAsia="Times New Roman" w:cs="Times New Roman"/>
          <w:szCs w:val="24"/>
          <w:lang w:eastAsia="en-US"/>
        </w:rPr>
        <w:t xml:space="preserve">also result in fewer firefighters living within a reasonable distance from their place of employment should emergency callback of off-duty workers be an issue. </w:t>
      </w:r>
    </w:p>
    <w:p w14:paraId="62B6185C" w14:textId="77777777" w:rsidR="003A60C0" w:rsidRPr="003A60C0" w:rsidRDefault="003A60C0" w:rsidP="003A60C0">
      <w:pPr>
        <w:widowControl w:val="0"/>
        <w:rPr>
          <w:rFonts w:eastAsia="Times New Roman" w:cs="Times New Roman"/>
          <w:szCs w:val="24"/>
          <w:lang w:eastAsia="en-US"/>
        </w:rPr>
      </w:pPr>
      <w:r w:rsidRPr="003A60C0">
        <w:rPr>
          <w:rFonts w:eastAsia="Times New Roman" w:cs="Times New Roman"/>
          <w:szCs w:val="24"/>
          <w:lang w:eastAsia="en-US"/>
        </w:rPr>
        <w:t>For busier fire departments, the issue of being able to work safely for this increased amount of on-duty time is being studied.  Anecdotally, the 48-hour shift has proven to be very popular with firefighters but less so with fire administrators.</w:t>
      </w:r>
    </w:p>
    <w:p w14:paraId="7ED17329" w14:textId="4AAD784D" w:rsidR="003A60C0" w:rsidRPr="003A60C0" w:rsidRDefault="003A60C0" w:rsidP="003A60C0">
      <w:pPr>
        <w:widowControl w:val="0"/>
        <w:rPr>
          <w:rFonts w:eastAsia="Times New Roman" w:cs="Times New Roman"/>
          <w:szCs w:val="24"/>
          <w:lang w:eastAsia="en-US"/>
        </w:rPr>
      </w:pPr>
      <w:r w:rsidRPr="003A60C0">
        <w:rPr>
          <w:rFonts w:eastAsia="Times New Roman" w:cs="Times New Roman"/>
          <w:szCs w:val="24"/>
          <w:lang w:eastAsia="en-US"/>
        </w:rPr>
        <w:t>PFD currently uses the 24-hour on-duty schedule with an average 50-hour work week.  Both are within</w:t>
      </w:r>
      <w:r w:rsidR="00E127CD">
        <w:rPr>
          <w:rFonts w:eastAsia="Times New Roman" w:cs="Times New Roman"/>
          <w:szCs w:val="24"/>
          <w:lang w:eastAsia="en-US"/>
        </w:rPr>
        <w:t xml:space="preserve"> </w:t>
      </w:r>
      <w:r w:rsidRPr="003A60C0">
        <w:rPr>
          <w:rFonts w:eastAsia="Times New Roman" w:cs="Times New Roman"/>
          <w:szCs w:val="24"/>
          <w:lang w:eastAsia="en-US"/>
        </w:rPr>
        <w:t xml:space="preserve">regional norms and make effective use of the currently available personnel.  Another approach to staffing that is not currently being used in Pasco is “Peak Activity Staffing.”  Peak Activity Units (PAUs) are staffed during those periods when fire department activity is predictably at its highest, according to a careful analysis of past response and activity data.  </w:t>
      </w:r>
    </w:p>
    <w:tbl>
      <w:tblPr>
        <w:tblW w:w="5011" w:type="pct"/>
        <w:jc w:val="center"/>
        <w:tblBorders>
          <w:top w:val="single" w:sz="8" w:space="0" w:color="365F91"/>
          <w:left w:val="single" w:sz="8" w:space="0" w:color="365F91"/>
          <w:bottom w:val="single" w:sz="8" w:space="0" w:color="365F91"/>
          <w:right w:val="single" w:sz="8" w:space="0" w:color="365F91"/>
        </w:tblBorders>
        <w:shd w:val="clear" w:color="auto" w:fill="F0F0F0"/>
        <w:tblLayout w:type="fixed"/>
        <w:tblCellMar>
          <w:top w:w="29" w:type="dxa"/>
          <w:left w:w="144" w:type="dxa"/>
          <w:bottom w:w="29" w:type="dxa"/>
          <w:right w:w="115" w:type="dxa"/>
        </w:tblCellMar>
        <w:tblLook w:val="04A0" w:firstRow="1" w:lastRow="0" w:firstColumn="1" w:lastColumn="0" w:noHBand="0" w:noVBand="1"/>
      </w:tblPr>
      <w:tblGrid>
        <w:gridCol w:w="9640"/>
      </w:tblGrid>
      <w:tr w:rsidR="003A60C0" w:rsidRPr="003A60C0" w14:paraId="48509EAD" w14:textId="77777777" w:rsidTr="00574D69">
        <w:trPr>
          <w:trHeight w:val="360"/>
          <w:jc w:val="center"/>
        </w:trPr>
        <w:tc>
          <w:tcPr>
            <w:tcW w:w="9360" w:type="dxa"/>
            <w:tcBorders>
              <w:top w:val="single" w:sz="8" w:space="0" w:color="365F91"/>
              <w:left w:val="single" w:sz="8" w:space="0" w:color="365F91"/>
              <w:bottom w:val="nil"/>
              <w:right w:val="single" w:sz="8" w:space="0" w:color="365F91"/>
            </w:tcBorders>
            <w:shd w:val="clear" w:color="auto" w:fill="F0F0F0"/>
            <w:vAlign w:val="center"/>
            <w:hideMark/>
          </w:tcPr>
          <w:p w14:paraId="443BE1C2" w14:textId="5F74E586" w:rsidR="003A60C0" w:rsidRPr="003A60C0" w:rsidRDefault="00A11AFA" w:rsidP="003A60C0">
            <w:pPr>
              <w:keepNext/>
              <w:keepLines/>
              <w:spacing w:after="0" w:line="240" w:lineRule="auto"/>
              <w:jc w:val="left"/>
              <w:rPr>
                <w:rFonts w:eastAsia="Calibri" w:cs="Times New Roman"/>
                <w:b/>
                <w:caps/>
                <w:lang w:eastAsia="en-US"/>
              </w:rPr>
            </w:pPr>
            <w:r w:rsidRPr="003A60C0">
              <w:rPr>
                <w:rFonts w:eastAsia="Calibri" w:cs="Times New Roman"/>
                <w:b/>
                <w:lang w:eastAsia="en-US"/>
              </w:rPr>
              <w:t>Recommendations</w:t>
            </w:r>
            <w:r w:rsidR="003A60C0" w:rsidRPr="003A60C0">
              <w:rPr>
                <w:rFonts w:eastAsia="Calibri" w:cs="Times New Roman"/>
                <w:b/>
                <w:caps/>
                <w:lang w:eastAsia="en-US"/>
              </w:rPr>
              <w:t>:</w:t>
            </w:r>
          </w:p>
        </w:tc>
      </w:tr>
      <w:tr w:rsidR="003A60C0" w:rsidRPr="003A60C0" w14:paraId="49765564" w14:textId="77777777" w:rsidTr="00574D69">
        <w:trPr>
          <w:jc w:val="center"/>
        </w:trPr>
        <w:tc>
          <w:tcPr>
            <w:tcW w:w="9360" w:type="dxa"/>
            <w:tcBorders>
              <w:top w:val="nil"/>
              <w:left w:val="single" w:sz="8" w:space="0" w:color="365F91"/>
              <w:bottom w:val="single" w:sz="8" w:space="0" w:color="365F91"/>
              <w:right w:val="single" w:sz="8" w:space="0" w:color="365F91"/>
            </w:tcBorders>
            <w:shd w:val="clear" w:color="auto" w:fill="F0F0F0"/>
            <w:tcMar>
              <w:top w:w="29" w:type="dxa"/>
              <w:left w:w="115" w:type="dxa"/>
              <w:bottom w:w="29" w:type="dxa"/>
              <w:right w:w="115" w:type="dxa"/>
            </w:tcMar>
            <w:vAlign w:val="center"/>
            <w:hideMark/>
          </w:tcPr>
          <w:p w14:paraId="57E42C76" w14:textId="73BA0931" w:rsidR="003A60C0" w:rsidRPr="006D194A" w:rsidRDefault="003A60C0" w:rsidP="006D194A">
            <w:pPr>
              <w:keepNext/>
              <w:keepLines/>
              <w:numPr>
                <w:ilvl w:val="0"/>
                <w:numId w:val="17"/>
              </w:numPr>
              <w:adjustRightInd w:val="0"/>
              <w:spacing w:after="120" w:line="240" w:lineRule="auto"/>
              <w:rPr>
                <w:rFonts w:eastAsia="Calibri" w:cs="Times New Roman"/>
                <w:color w:val="000000"/>
                <w:lang w:eastAsia="en-US"/>
              </w:rPr>
            </w:pPr>
            <w:r w:rsidRPr="006D194A">
              <w:rPr>
                <w:rFonts w:eastAsia="Calibri" w:cs="Times New Roman"/>
                <w:color w:val="000000"/>
                <w:lang w:eastAsia="en-US"/>
              </w:rPr>
              <w:t xml:space="preserve">Redesign </w:t>
            </w:r>
            <w:r w:rsidR="006D194A" w:rsidRPr="006D194A">
              <w:rPr>
                <w:rFonts w:eastAsia="Calibri" w:cs="Times New Roman"/>
                <w:color w:val="000000"/>
                <w:lang w:eastAsia="en-US"/>
              </w:rPr>
              <w:t xml:space="preserve">or relocate </w:t>
            </w:r>
            <w:r w:rsidRPr="006D194A">
              <w:rPr>
                <w:rFonts w:eastAsia="Calibri" w:cs="Times New Roman"/>
                <w:color w:val="000000"/>
                <w:lang w:eastAsia="en-US"/>
              </w:rPr>
              <w:t xml:space="preserve">the </w:t>
            </w:r>
            <w:r w:rsidR="00A11AFA" w:rsidRPr="006D194A">
              <w:rPr>
                <w:rFonts w:eastAsia="Calibri" w:cs="Times New Roman"/>
                <w:color w:val="000000"/>
                <w:lang w:eastAsia="en-US"/>
              </w:rPr>
              <w:t xml:space="preserve">administrative </w:t>
            </w:r>
            <w:r w:rsidRPr="006D194A">
              <w:rPr>
                <w:rFonts w:eastAsia="Calibri" w:cs="Times New Roman"/>
                <w:color w:val="000000"/>
                <w:lang w:eastAsia="en-US"/>
              </w:rPr>
              <w:t>offices so that they have adequate space and separation from the operations side of the facility</w:t>
            </w:r>
            <w:r w:rsidR="006D194A" w:rsidRPr="006D194A">
              <w:rPr>
                <w:rFonts w:eastAsia="Calibri" w:cs="Times New Roman"/>
                <w:color w:val="000000"/>
                <w:lang w:eastAsia="en-US"/>
              </w:rPr>
              <w:t>.</w:t>
            </w:r>
          </w:p>
          <w:p w14:paraId="678A8DFF" w14:textId="64F29D15" w:rsidR="003E5372" w:rsidRPr="00E127CD" w:rsidRDefault="003A60C0" w:rsidP="00E9523D">
            <w:pPr>
              <w:keepNext/>
              <w:keepLines/>
              <w:numPr>
                <w:ilvl w:val="0"/>
                <w:numId w:val="17"/>
              </w:numPr>
              <w:adjustRightInd w:val="0"/>
              <w:spacing w:after="120" w:line="240" w:lineRule="auto"/>
              <w:rPr>
                <w:rFonts w:eastAsia="Calibri" w:cs="Times New Roman"/>
                <w:color w:val="000000"/>
                <w:lang w:eastAsia="en-US"/>
              </w:rPr>
            </w:pPr>
            <w:r w:rsidRPr="003A60C0">
              <w:rPr>
                <w:rFonts w:eastAsia="Calibri" w:cs="Times New Roman"/>
                <w:color w:val="000000"/>
                <w:lang w:eastAsia="en-US"/>
              </w:rPr>
              <w:t xml:space="preserve">Develop a plan to assure that all administrative functions have a “back up” provider.  </w:t>
            </w:r>
          </w:p>
        </w:tc>
      </w:tr>
    </w:tbl>
    <w:p w14:paraId="5BB6AA6E" w14:textId="77777777" w:rsidR="003A60C0" w:rsidRPr="003A60C0" w:rsidRDefault="003A60C0" w:rsidP="003A60C0">
      <w:pPr>
        <w:spacing w:after="200"/>
        <w:rPr>
          <w:rFonts w:eastAsia="Cambria" w:cs="Calibri"/>
        </w:rPr>
      </w:pPr>
    </w:p>
    <w:p w14:paraId="18DA0C6F" w14:textId="77777777" w:rsidR="00817349" w:rsidRDefault="00817349">
      <w:pPr>
        <w:spacing w:after="200"/>
        <w:jc w:val="left"/>
        <w:rPr>
          <w:rFonts w:eastAsiaTheme="majorEastAsia" w:cs="Calibri"/>
          <w:bCs/>
          <w:caps/>
          <w:color w:val="808080" w:themeColor="background1" w:themeShade="80"/>
          <w:sz w:val="24"/>
          <w:szCs w:val="26"/>
        </w:rPr>
      </w:pPr>
      <w:r>
        <w:rPr>
          <w:rFonts w:cs="Calibri"/>
        </w:rPr>
        <w:br w:type="page"/>
      </w:r>
    </w:p>
    <w:p w14:paraId="001BC117" w14:textId="77777777" w:rsidR="00817349" w:rsidRPr="00817349" w:rsidRDefault="00817349" w:rsidP="00817349">
      <w:pPr>
        <w:pStyle w:val="Heading2"/>
        <w:pageBreakBefore/>
        <w:rPr>
          <w:rFonts w:cs="Calibri"/>
        </w:rPr>
      </w:pPr>
      <w:bookmarkStart w:id="147" w:name="_Toc464323565"/>
      <w:r>
        <w:rPr>
          <w:rFonts w:cs="Calibri"/>
        </w:rPr>
        <w:lastRenderedPageBreak/>
        <w:t>Emergency Medical Services</w:t>
      </w:r>
      <w:bookmarkEnd w:id="147"/>
    </w:p>
    <w:p w14:paraId="1CA5762A" w14:textId="77777777" w:rsidR="00FF7C99" w:rsidRDefault="00FF7C99" w:rsidP="00FF7C99">
      <w:pPr>
        <w:pStyle w:val="ESCiNormalParagraphChar"/>
      </w:pPr>
      <w:r>
        <w:t xml:space="preserve">An </w:t>
      </w:r>
      <w:r w:rsidRPr="006E1439">
        <w:t xml:space="preserve">EMS </w:t>
      </w:r>
      <w:r>
        <w:t xml:space="preserve">(emergency medical services) </w:t>
      </w:r>
      <w:r w:rsidRPr="006E1439">
        <w:t xml:space="preserve">system </w:t>
      </w:r>
      <w:r>
        <w:t xml:space="preserve">includes </w:t>
      </w:r>
      <w:r w:rsidRPr="006E1439">
        <w:t>personnel, facilities, and equipment for the effective and coordinated delivery of emergency medical services within a geographical area.  An effective EMS system involves many different agencies</w:t>
      </w:r>
      <w:r>
        <w:t>,</w:t>
      </w:r>
      <w:r w:rsidRPr="006E1439">
        <w:t xml:space="preserve"> organizations</w:t>
      </w:r>
      <w:r>
        <w:t>, and the public</w:t>
      </w:r>
      <w:r w:rsidRPr="006E1439">
        <w:t xml:space="preserve"> working together to provide rapid </w:t>
      </w:r>
      <w:r>
        <w:t xml:space="preserve">recognition, notification, </w:t>
      </w:r>
      <w:r w:rsidRPr="006E1439">
        <w:t>response, treatment</w:t>
      </w:r>
      <w:r>
        <w:t>,</w:t>
      </w:r>
      <w:r w:rsidRPr="006E1439">
        <w:t xml:space="preserve"> </w:t>
      </w:r>
      <w:r>
        <w:t xml:space="preserve">and </w:t>
      </w:r>
      <w:r w:rsidRPr="006E1439">
        <w:t>transport to those in need of immediate medical attention.  Generally, most EMS systems include at least system access and dispatch components, first response, ambulance transport, and definitive hospital care.</w:t>
      </w:r>
      <w:r>
        <w:t xml:space="preserve">  The addition of a trained public component has proven to improve patient outcomes.  </w:t>
      </w:r>
    </w:p>
    <w:p w14:paraId="12B2F769" w14:textId="30CE27A9" w:rsidR="00FF7C99" w:rsidRDefault="00FF7C99" w:rsidP="00FF7C99">
      <w:pPr>
        <w:pStyle w:val="ESCiNormalParagraphChar"/>
      </w:pPr>
      <w:r>
        <w:t>King County, Washington</w:t>
      </w:r>
      <w:r w:rsidR="00A11AFA">
        <w:t>,</w:t>
      </w:r>
      <w:r>
        <w:t xml:space="preserve"> is touted as the county where someone</w:t>
      </w:r>
      <w:r w:rsidRPr="0017385D">
        <w:t xml:space="preserve"> who has a cardiac arrest has a greater chance of survival than </w:t>
      </w:r>
      <w:r>
        <w:t>anywhere</w:t>
      </w:r>
      <w:r w:rsidRPr="0017385D">
        <w:t xml:space="preserve"> else in the world</w:t>
      </w:r>
      <w:r>
        <w:t>.</w:t>
      </w:r>
      <w:r>
        <w:rPr>
          <w:rStyle w:val="FootnoteReference"/>
        </w:rPr>
        <w:footnoteReference w:id="13"/>
      </w:r>
      <w:r>
        <w:t xml:space="preserve">  </w:t>
      </w:r>
      <w:r w:rsidRPr="0017385D">
        <w:t>The survival rate for cardiac arrest in King County hit an all-time high of 62 percent in 2013</w:t>
      </w:r>
      <w:r>
        <w:t>.  Incorporating the use of High Performance CPR (cardio pulmonary resuscitation), an ambitious goal for a 75</w:t>
      </w:r>
      <w:r w:rsidR="00A11AFA">
        <w:t xml:space="preserve"> percent</w:t>
      </w:r>
      <w:r>
        <w:t xml:space="preserve"> survival rate for witnessed cardiac arrest was set for Benton and Franklin Counties. In 2014, the survival rate for witnessed cardiac arrest in Benton and Franklin Counties climbed to 63</w:t>
      </w:r>
      <w:r w:rsidR="00A11AFA">
        <w:t xml:space="preserve"> percent</w:t>
      </w:r>
      <w:r>
        <w:t xml:space="preserve">.  </w:t>
      </w:r>
      <w:r w:rsidRPr="0017385D">
        <w:t>By comparison, the cardiac survival rates in New York City, Chicago, and other urban areas have been recorded in the single digits.</w:t>
      </w:r>
      <w:r>
        <w:rPr>
          <w:rStyle w:val="FootnoteReference"/>
        </w:rPr>
        <w:footnoteReference w:id="14"/>
      </w:r>
    </w:p>
    <w:tbl>
      <w:tblPr>
        <w:tblW w:w="0" w:type="auto"/>
        <w:jc w:val="center"/>
        <w:shd w:val="clear" w:color="auto" w:fill="E5B8B7" w:themeFill="accent2" w:themeFillTint="66"/>
        <w:tblLook w:val="00A0" w:firstRow="1" w:lastRow="0" w:firstColumn="1" w:lastColumn="0" w:noHBand="0" w:noVBand="0"/>
      </w:tblPr>
      <w:tblGrid>
        <w:gridCol w:w="9360"/>
      </w:tblGrid>
      <w:tr w:rsidR="00FF7C99" w:rsidRPr="00853614" w14:paraId="4531F388" w14:textId="77777777" w:rsidTr="003A60C0">
        <w:trPr>
          <w:jc w:val="center"/>
        </w:trPr>
        <w:tc>
          <w:tcPr>
            <w:tcW w:w="9360" w:type="dxa"/>
            <w:shd w:val="clear" w:color="auto" w:fill="E5B8B7" w:themeFill="accent2" w:themeFillTint="66"/>
          </w:tcPr>
          <w:p w14:paraId="76CA3BED" w14:textId="77777777" w:rsidR="00FF7C99" w:rsidRPr="00853614" w:rsidRDefault="00FF7C99" w:rsidP="003A60C0">
            <w:pPr>
              <w:keepNext/>
              <w:keepLines/>
              <w:spacing w:after="0" w:line="360" w:lineRule="auto"/>
              <w:rPr>
                <w:rFonts w:asciiTheme="majorHAnsi" w:eastAsia="Times New Roman" w:hAnsiTheme="majorHAnsi" w:cs="Calibri"/>
                <w:b/>
              </w:rPr>
            </w:pPr>
            <w:r w:rsidRPr="00853614">
              <w:rPr>
                <w:rFonts w:asciiTheme="majorHAnsi" w:eastAsia="Times New Roman" w:hAnsiTheme="majorHAnsi" w:cs="Calibri"/>
                <w:b/>
              </w:rPr>
              <w:t>Kudos:</w:t>
            </w:r>
          </w:p>
          <w:p w14:paraId="4769E98F" w14:textId="2044FBAF" w:rsidR="00FF7C99" w:rsidRPr="00853614" w:rsidRDefault="00FF7C99" w:rsidP="007705AA">
            <w:pPr>
              <w:numPr>
                <w:ilvl w:val="0"/>
                <w:numId w:val="25"/>
              </w:numPr>
              <w:spacing w:after="240" w:line="240" w:lineRule="auto"/>
              <w:jc w:val="left"/>
              <w:rPr>
                <w:rFonts w:asciiTheme="majorHAnsi" w:hAnsiTheme="majorHAnsi" w:cs="Arial"/>
              </w:rPr>
            </w:pPr>
            <w:r w:rsidRPr="00853614">
              <w:rPr>
                <w:rFonts w:asciiTheme="majorHAnsi" w:hAnsiTheme="majorHAnsi" w:cs="Calibri"/>
              </w:rPr>
              <w:t>To the Benton/Franklin Counties</w:t>
            </w:r>
            <w:r w:rsidR="00A11AFA">
              <w:rPr>
                <w:rFonts w:asciiTheme="majorHAnsi" w:hAnsiTheme="majorHAnsi" w:cs="Calibri"/>
              </w:rPr>
              <w:t>’</w:t>
            </w:r>
            <w:r w:rsidRPr="00853614">
              <w:rPr>
                <w:rFonts w:asciiTheme="majorHAnsi" w:hAnsiTheme="majorHAnsi" w:cs="Calibri"/>
              </w:rPr>
              <w:t xml:space="preserve"> EMS system for achieving a substantial increase in the survival rate from witnessed cardiac arrest.</w:t>
            </w:r>
          </w:p>
        </w:tc>
      </w:tr>
    </w:tbl>
    <w:p w14:paraId="2858876B" w14:textId="77777777" w:rsidR="00FF7C99" w:rsidRDefault="00FF7C99" w:rsidP="00FF7C99">
      <w:pPr>
        <w:pStyle w:val="ESCiNormalParagraphChar"/>
      </w:pPr>
    </w:p>
    <w:p w14:paraId="674FD3A2" w14:textId="77777777" w:rsidR="00FF7C99" w:rsidRDefault="00FF7C99" w:rsidP="00FF7C99">
      <w:pPr>
        <w:pStyle w:val="Heading3"/>
        <w:rPr>
          <w:rFonts w:eastAsia="Times New Roman"/>
          <w:lang w:eastAsia="en-US"/>
        </w:rPr>
      </w:pPr>
      <w:bookmarkStart w:id="148" w:name="_Toc451516681"/>
      <w:bookmarkStart w:id="149" w:name="_Toc464323566"/>
      <w:r>
        <w:rPr>
          <w:rFonts w:eastAsia="Times New Roman"/>
          <w:lang w:eastAsia="en-US"/>
        </w:rPr>
        <w:t>EMS Service Delivery S</w:t>
      </w:r>
      <w:r w:rsidRPr="00817349">
        <w:rPr>
          <w:rFonts w:eastAsia="Times New Roman"/>
          <w:lang w:eastAsia="en-US"/>
        </w:rPr>
        <w:t>yst</w:t>
      </w:r>
      <w:r>
        <w:rPr>
          <w:rFonts w:eastAsia="Times New Roman"/>
          <w:lang w:eastAsia="en-US"/>
        </w:rPr>
        <w:t>em and Logistical Support S</w:t>
      </w:r>
      <w:r w:rsidRPr="00817349">
        <w:rPr>
          <w:rFonts w:eastAsia="Times New Roman"/>
          <w:lang w:eastAsia="en-US"/>
        </w:rPr>
        <w:t>ervices</w:t>
      </w:r>
      <w:bookmarkEnd w:id="148"/>
      <w:bookmarkEnd w:id="149"/>
    </w:p>
    <w:p w14:paraId="7C76DDCB" w14:textId="4FF4B760" w:rsidR="00FF7C99" w:rsidRDefault="00FF7C99" w:rsidP="00A11AFA">
      <w:pPr>
        <w:pStyle w:val="ESCiNormalParagraphChar"/>
        <w:spacing w:after="0"/>
      </w:pPr>
      <w:r>
        <w:t xml:space="preserve">Besides PFD, </w:t>
      </w:r>
      <w:r w:rsidR="005C2D7B">
        <w:t xml:space="preserve">there are </w:t>
      </w:r>
      <w:r>
        <w:t xml:space="preserve">five other fire departments </w:t>
      </w:r>
      <w:r w:rsidR="005C2D7B">
        <w:t xml:space="preserve">which </w:t>
      </w:r>
      <w:r>
        <w:t xml:space="preserve">provide 9-1-1 </w:t>
      </w:r>
      <w:r w:rsidR="005C2D7B">
        <w:t>generated</w:t>
      </w:r>
      <w:r>
        <w:t xml:space="preserve"> ambulance transport service</w:t>
      </w:r>
      <w:r w:rsidR="005C2D7B">
        <w:t>s, with</w:t>
      </w:r>
      <w:r>
        <w:t xml:space="preserve"> one private </w:t>
      </w:r>
      <w:r w:rsidR="005C2D7B">
        <w:t>ambulance service providing</w:t>
      </w:r>
      <w:r>
        <w:t xml:space="preserve"> inter-facility and BLS (Basic Life Support) services.  </w:t>
      </w:r>
    </w:p>
    <w:p w14:paraId="77279CD2" w14:textId="77777777" w:rsidR="00FF7C99" w:rsidRDefault="00FF7C99" w:rsidP="007705AA">
      <w:pPr>
        <w:pStyle w:val="ESCiNormalParagraphChar"/>
        <w:numPr>
          <w:ilvl w:val="0"/>
          <w:numId w:val="25"/>
        </w:numPr>
        <w:spacing w:after="120" w:line="240" w:lineRule="auto"/>
      </w:pPr>
      <w:r>
        <w:t>Richland Fire Department</w:t>
      </w:r>
    </w:p>
    <w:p w14:paraId="45B809AB" w14:textId="77777777" w:rsidR="00FF7C99" w:rsidRDefault="00FF7C99" w:rsidP="007705AA">
      <w:pPr>
        <w:pStyle w:val="ESCiNormalParagraphChar"/>
        <w:numPr>
          <w:ilvl w:val="0"/>
          <w:numId w:val="25"/>
        </w:numPr>
        <w:spacing w:after="120" w:line="240" w:lineRule="auto"/>
      </w:pPr>
      <w:r>
        <w:t>Kennewick Fire Department</w:t>
      </w:r>
    </w:p>
    <w:p w14:paraId="4057B5D2" w14:textId="77777777" w:rsidR="00FF7C99" w:rsidRDefault="00FF7C99" w:rsidP="007705AA">
      <w:pPr>
        <w:pStyle w:val="ESCiNormalParagraphChar"/>
        <w:numPr>
          <w:ilvl w:val="0"/>
          <w:numId w:val="25"/>
        </w:numPr>
        <w:spacing w:after="120" w:line="240" w:lineRule="auto"/>
      </w:pPr>
      <w:r>
        <w:t>Walla Walla Fire District #5</w:t>
      </w:r>
    </w:p>
    <w:p w14:paraId="7FE704D0" w14:textId="77777777" w:rsidR="00FF7C99" w:rsidRDefault="00FF7C99" w:rsidP="007705AA">
      <w:pPr>
        <w:pStyle w:val="ESCiNormalParagraphChar"/>
        <w:numPr>
          <w:ilvl w:val="0"/>
          <w:numId w:val="25"/>
        </w:numPr>
        <w:spacing w:after="120" w:line="240" w:lineRule="auto"/>
      </w:pPr>
      <w:r>
        <w:t>Benton County Fire District #4</w:t>
      </w:r>
    </w:p>
    <w:p w14:paraId="5CB0A35C" w14:textId="77777777" w:rsidR="00FF7C99" w:rsidRDefault="00FF7C99" w:rsidP="007705AA">
      <w:pPr>
        <w:pStyle w:val="ESCiNormalParagraphChar"/>
        <w:numPr>
          <w:ilvl w:val="0"/>
          <w:numId w:val="25"/>
        </w:numPr>
        <w:spacing w:after="120" w:line="240" w:lineRule="auto"/>
      </w:pPr>
      <w:r>
        <w:t>Franklin County Fire District #3</w:t>
      </w:r>
    </w:p>
    <w:p w14:paraId="7F77EDBD" w14:textId="77777777" w:rsidR="00FF7C99" w:rsidRDefault="00FF7C99" w:rsidP="00A11AFA">
      <w:pPr>
        <w:pStyle w:val="ESCiNormalParagraphChar"/>
        <w:numPr>
          <w:ilvl w:val="0"/>
          <w:numId w:val="25"/>
        </w:numPr>
        <w:spacing w:after="240" w:line="240" w:lineRule="auto"/>
      </w:pPr>
      <w:r>
        <w:t>AMR (</w:t>
      </w:r>
      <w:r w:rsidRPr="00BE3375">
        <w:t>American Medical Response</w:t>
      </w:r>
      <w:r>
        <w:t>), BLS</w:t>
      </w:r>
    </w:p>
    <w:p w14:paraId="0D92EE34" w14:textId="1C9F6E47" w:rsidR="00FF7C99" w:rsidRDefault="00FF7C99" w:rsidP="00FF7C99">
      <w:pPr>
        <w:pStyle w:val="ESCiNormalParagraphChar"/>
      </w:pPr>
      <w:r w:rsidRPr="00174EA1">
        <w:t>Tri-Cit</w:t>
      </w:r>
      <w:r w:rsidR="00CF7BC2">
        <w:t>ies</w:t>
      </w:r>
      <w:r w:rsidRPr="00174EA1">
        <w:t xml:space="preserve"> fire departments currently operate very similar fire and EMS response services but not in a systematically planned and coordinated manner.  </w:t>
      </w:r>
      <w:r>
        <w:t>While c</w:t>
      </w:r>
      <w:r w:rsidRPr="00174EA1">
        <w:t>ertain efficiencies are realized in an ad hoc fashion through automatic aid</w:t>
      </w:r>
      <w:r>
        <w:t xml:space="preserve">, it </w:t>
      </w:r>
      <w:r w:rsidRPr="00174EA1">
        <w:t xml:space="preserve">is primarily </w:t>
      </w:r>
      <w:r w:rsidRPr="00853614">
        <w:t xml:space="preserve">based </w:t>
      </w:r>
      <w:r w:rsidRPr="00174EA1">
        <w:t xml:space="preserve">upon obvious </w:t>
      </w:r>
      <w:r>
        <w:t xml:space="preserve">service </w:t>
      </w:r>
      <w:r w:rsidRPr="00174EA1">
        <w:t xml:space="preserve">gaps in the system.  There has </w:t>
      </w:r>
      <w:r w:rsidRPr="00174EA1">
        <w:lastRenderedPageBreak/>
        <w:t>been no thorough risk assessment, data analysis</w:t>
      </w:r>
      <w:r w:rsidR="00A11AFA">
        <w:t>,</w:t>
      </w:r>
      <w:r w:rsidRPr="00174EA1">
        <w:t xml:space="preserve"> and response planning between the agencies </w:t>
      </w:r>
      <w:r>
        <w:t>to achieve</w:t>
      </w:r>
      <w:r w:rsidRPr="00174EA1">
        <w:t xml:space="preserve"> the </w:t>
      </w:r>
      <w:r>
        <w:t>optimum</w:t>
      </w:r>
      <w:r w:rsidRPr="00174EA1">
        <w:t xml:space="preserve"> use of combined resources.  </w:t>
      </w:r>
    </w:p>
    <w:p w14:paraId="58C90B5E" w14:textId="02D067A2" w:rsidR="00FF7C99" w:rsidRDefault="00FF7C99" w:rsidP="00A11AFA">
      <w:pPr>
        <w:pStyle w:val="ESCiNormalParagraphChar"/>
        <w:spacing w:after="0"/>
      </w:pPr>
      <w:r w:rsidRPr="00174EA1">
        <w:t>Fittingly</w:t>
      </w:r>
      <w:r>
        <w:t xml:space="preserve"> though</w:t>
      </w:r>
      <w:r w:rsidRPr="00174EA1">
        <w:t>, EMS is the single most uniformly operating section of the Tri-Cit</w:t>
      </w:r>
      <w:r w:rsidR="00CF7BC2">
        <w:t>ies</w:t>
      </w:r>
      <w:r w:rsidRPr="00174EA1">
        <w:t xml:space="preserve"> fire departments.</w:t>
      </w:r>
      <w:r>
        <w:t xml:space="preserve">  Joint protocols, a shared </w:t>
      </w:r>
      <w:r w:rsidRPr="00121573">
        <w:t>EMS Medical Program Director</w:t>
      </w:r>
      <w:r>
        <w:t>, and EMS training are all uniform to the fire departments in Franklin and Benton counties.  Mid-</w:t>
      </w:r>
      <w:r w:rsidRPr="00853614">
        <w:t xml:space="preserve">Columbia (Benton/Franklin) EMS </w:t>
      </w:r>
      <w:r>
        <w:t>and</w:t>
      </w:r>
      <w:r w:rsidRPr="00853614">
        <w:t xml:space="preserve"> Trauma Care Council</w:t>
      </w:r>
      <w:r>
        <w:t xml:space="preserve"> provides the focal point for coordinating emergency medical services.  The mission and vision of the Mid-Columbia Council is:</w:t>
      </w:r>
    </w:p>
    <w:p w14:paraId="33C6041E" w14:textId="00A83FC0" w:rsidR="00FF7C99" w:rsidRPr="00EB77EE" w:rsidRDefault="00FF7C99" w:rsidP="00FF7C99">
      <w:pPr>
        <w:pStyle w:val="NoSpacing"/>
        <w:rPr>
          <w:i/>
        </w:rPr>
      </w:pPr>
      <w:r w:rsidRPr="00EB77EE">
        <w:rPr>
          <w:i/>
        </w:rPr>
        <w:t>Mission: To advance the emergency medical service and trauma care system. Vision: Be the best Emergency Medical Service (EMS) and Trauma Care system (TCS) we can be through: providing a continuum of care from prevention to return to the community with the highest quality of life possible; collaborative coordination of all stakeholders; producing the highest level of efficiency and effectiveness; and being a model EMS and TCC in Washington State.</w:t>
      </w:r>
    </w:p>
    <w:p w14:paraId="4E98CD1D" w14:textId="77777777" w:rsidR="00FF7C99" w:rsidRPr="00227917" w:rsidRDefault="00FF7C99" w:rsidP="00FF7C99">
      <w:pPr>
        <w:pStyle w:val="ESCiNormalParagraphChar"/>
      </w:pPr>
      <w:r w:rsidRPr="00227917">
        <w:t>Organized as a private, non-profit organization</w:t>
      </w:r>
      <w:r>
        <w:t xml:space="preserve">, the Council works with </w:t>
      </w:r>
      <w:r w:rsidRPr="00227917">
        <w:t>the Washington State Department of Health, hospita</w:t>
      </w:r>
      <w:r>
        <w:t xml:space="preserve">ls, pre-hospital EMS providers, airborne medical transport, </w:t>
      </w:r>
      <w:r w:rsidRPr="00227917">
        <w:t xml:space="preserve">and other regional healthcare partners to develop and enhance </w:t>
      </w:r>
      <w:r>
        <w:t>the</w:t>
      </w:r>
      <w:r w:rsidRPr="00227917">
        <w:t xml:space="preserve"> EMS and trauma care system.</w:t>
      </w:r>
      <w:r>
        <w:t xml:space="preserve">  In ESCI’s experience, the Mid-Columbia Council functions at a level above other EMS organizations and is commendable.</w:t>
      </w:r>
    </w:p>
    <w:tbl>
      <w:tblPr>
        <w:tblW w:w="0" w:type="auto"/>
        <w:jc w:val="center"/>
        <w:shd w:val="clear" w:color="auto" w:fill="E5B8B7" w:themeFill="accent2" w:themeFillTint="66"/>
        <w:tblLook w:val="00A0" w:firstRow="1" w:lastRow="0" w:firstColumn="1" w:lastColumn="0" w:noHBand="0" w:noVBand="0"/>
      </w:tblPr>
      <w:tblGrid>
        <w:gridCol w:w="9360"/>
      </w:tblGrid>
      <w:tr w:rsidR="00FF7C99" w:rsidRPr="00444A03" w14:paraId="6B61744E" w14:textId="77777777" w:rsidTr="003A60C0">
        <w:trPr>
          <w:jc w:val="center"/>
        </w:trPr>
        <w:tc>
          <w:tcPr>
            <w:tcW w:w="9360" w:type="dxa"/>
            <w:shd w:val="clear" w:color="auto" w:fill="E5B8B7" w:themeFill="accent2" w:themeFillTint="66"/>
          </w:tcPr>
          <w:p w14:paraId="57019FAF" w14:textId="77777777" w:rsidR="00FF7C99" w:rsidRPr="00444A03" w:rsidRDefault="00FF7C99" w:rsidP="003A60C0">
            <w:pPr>
              <w:keepNext/>
              <w:keepLines/>
              <w:spacing w:after="0" w:line="360" w:lineRule="auto"/>
              <w:rPr>
                <w:rFonts w:asciiTheme="majorHAnsi" w:eastAsia="Times New Roman" w:hAnsiTheme="majorHAnsi" w:cs="Calibri"/>
                <w:b/>
              </w:rPr>
            </w:pPr>
            <w:r w:rsidRPr="00444A03">
              <w:rPr>
                <w:rFonts w:asciiTheme="majorHAnsi" w:eastAsia="Times New Roman" w:hAnsiTheme="majorHAnsi" w:cs="Calibri"/>
                <w:b/>
              </w:rPr>
              <w:t>Kudos:</w:t>
            </w:r>
          </w:p>
          <w:p w14:paraId="7457E7B8" w14:textId="77777777" w:rsidR="00FF7C99" w:rsidRPr="00444A03" w:rsidRDefault="00FF7C99" w:rsidP="007705AA">
            <w:pPr>
              <w:numPr>
                <w:ilvl w:val="0"/>
                <w:numId w:val="25"/>
              </w:numPr>
              <w:spacing w:after="240" w:line="240" w:lineRule="auto"/>
              <w:jc w:val="left"/>
              <w:rPr>
                <w:rFonts w:asciiTheme="majorHAnsi" w:hAnsiTheme="majorHAnsi" w:cs="Arial"/>
              </w:rPr>
            </w:pPr>
            <w:r w:rsidRPr="00444A03">
              <w:rPr>
                <w:rFonts w:asciiTheme="majorHAnsi" w:hAnsiTheme="majorHAnsi" w:cs="Calibri"/>
              </w:rPr>
              <w:t xml:space="preserve">To </w:t>
            </w:r>
            <w:r>
              <w:rPr>
                <w:rFonts w:asciiTheme="majorHAnsi" w:hAnsiTheme="majorHAnsi" w:cs="Calibri"/>
              </w:rPr>
              <w:t xml:space="preserve">PFD and the other member organizations of the </w:t>
            </w:r>
            <w:r w:rsidRPr="00F42141">
              <w:rPr>
                <w:rFonts w:asciiTheme="majorHAnsi" w:hAnsiTheme="majorHAnsi" w:cs="Calibri"/>
              </w:rPr>
              <w:t>Mid-Columbia (Benton/Franklin) EMS and Trauma Care Council</w:t>
            </w:r>
            <w:r>
              <w:rPr>
                <w:rFonts w:asciiTheme="majorHAnsi" w:hAnsiTheme="majorHAnsi" w:cs="Calibri"/>
              </w:rPr>
              <w:t xml:space="preserve"> for their leadership and dedication to pre-hospital medical care of the sick and injured.</w:t>
            </w:r>
          </w:p>
        </w:tc>
      </w:tr>
    </w:tbl>
    <w:p w14:paraId="14B7B4EC" w14:textId="77777777" w:rsidR="00FF7C99" w:rsidRDefault="00FF7C99" w:rsidP="00FF7C99">
      <w:pPr>
        <w:pStyle w:val="ESCiNormalParagraphChar"/>
      </w:pPr>
    </w:p>
    <w:p w14:paraId="66A47A74" w14:textId="61690CC1" w:rsidR="00FF7C99" w:rsidRDefault="00FF7C99" w:rsidP="00FF7C99">
      <w:pPr>
        <w:pStyle w:val="ESCiNormalParagraphChar"/>
      </w:pPr>
      <w:r>
        <w:t>EMS is the most frequent service provided by the Tri-Cit</w:t>
      </w:r>
      <w:r w:rsidR="00CF7BC2">
        <w:t>ies</w:t>
      </w:r>
      <w:r>
        <w:t xml:space="preserve"> fire departments.  During periods of high call volume, EMS resources are essentially depleted.  On one morning in April 2016, eight medic units were responding, transporting, or at the scene of a medical incident at the same time in the Tri-Cities.  This illustration points out the need for coordinating fire and EMS response.  One obstacle to establishing a seamless regional EMS response is the two PSAPs (Public </w:t>
      </w:r>
      <w:r w:rsidR="00913902">
        <w:t xml:space="preserve">Safety </w:t>
      </w:r>
      <w:r>
        <w:t>Answering Point</w:t>
      </w:r>
      <w:r w:rsidR="00913902">
        <w:t>s</w:t>
      </w:r>
      <w:r>
        <w:t>).  This was also a concern echoed by those interviewed by ESCI.</w:t>
      </w:r>
    </w:p>
    <w:tbl>
      <w:tblPr>
        <w:tblW w:w="0" w:type="auto"/>
        <w:jc w:val="center"/>
        <w:tblLook w:val="00A0" w:firstRow="1" w:lastRow="0" w:firstColumn="1" w:lastColumn="0" w:noHBand="0" w:noVBand="0"/>
      </w:tblPr>
      <w:tblGrid>
        <w:gridCol w:w="9360"/>
      </w:tblGrid>
      <w:tr w:rsidR="00FF7C99" w:rsidRPr="007E384B" w14:paraId="5D55A3D9" w14:textId="77777777" w:rsidTr="003A60C0">
        <w:trPr>
          <w:jc w:val="center"/>
        </w:trPr>
        <w:tc>
          <w:tcPr>
            <w:tcW w:w="9360" w:type="dxa"/>
            <w:shd w:val="clear" w:color="auto" w:fill="D9D9D9" w:themeFill="background1" w:themeFillShade="D9"/>
          </w:tcPr>
          <w:p w14:paraId="4EFAA13C" w14:textId="77777777" w:rsidR="00FF7C99" w:rsidRPr="007E384B" w:rsidRDefault="00FF7C99" w:rsidP="003A60C0">
            <w:pPr>
              <w:keepNext/>
              <w:keepLines/>
              <w:spacing w:after="0" w:line="360" w:lineRule="auto"/>
              <w:rPr>
                <w:rFonts w:asciiTheme="majorHAnsi" w:eastAsia="Times New Roman" w:hAnsiTheme="majorHAnsi" w:cs="Calibri"/>
                <w:b/>
              </w:rPr>
            </w:pPr>
            <w:r w:rsidRPr="007E384B">
              <w:rPr>
                <w:rFonts w:asciiTheme="majorHAnsi" w:eastAsia="Times New Roman" w:hAnsiTheme="majorHAnsi" w:cs="Calibri"/>
                <w:b/>
              </w:rPr>
              <w:t>Recommendation:</w:t>
            </w:r>
          </w:p>
          <w:p w14:paraId="0008669F" w14:textId="510DE32D" w:rsidR="00FF7C99" w:rsidRPr="007E384B" w:rsidRDefault="00FF7C99" w:rsidP="00E127CD">
            <w:pPr>
              <w:numPr>
                <w:ilvl w:val="0"/>
                <w:numId w:val="25"/>
              </w:numPr>
              <w:spacing w:after="0"/>
              <w:jc w:val="left"/>
              <w:rPr>
                <w:rFonts w:asciiTheme="majorHAnsi" w:hAnsiTheme="majorHAnsi" w:cs="Arial"/>
              </w:rPr>
            </w:pPr>
            <w:r w:rsidRPr="007E384B">
              <w:rPr>
                <w:rFonts w:asciiTheme="majorHAnsi" w:hAnsiTheme="majorHAnsi" w:cs="Calibri"/>
              </w:rPr>
              <w:t>Com</w:t>
            </w:r>
            <w:r w:rsidR="0043196D">
              <w:rPr>
                <w:rFonts w:asciiTheme="majorHAnsi" w:hAnsiTheme="majorHAnsi" w:cs="Calibri"/>
              </w:rPr>
              <w:t>plete the current efforts to com</w:t>
            </w:r>
            <w:r w:rsidRPr="007E384B">
              <w:rPr>
                <w:rFonts w:asciiTheme="majorHAnsi" w:hAnsiTheme="majorHAnsi" w:cs="Calibri"/>
              </w:rPr>
              <w:t>bine emergency communications for Franklin and Benton counties in a single PSAP.</w:t>
            </w:r>
          </w:p>
        </w:tc>
      </w:tr>
    </w:tbl>
    <w:p w14:paraId="397B9D9E" w14:textId="77777777" w:rsidR="00FF7C99" w:rsidRDefault="00FF7C99" w:rsidP="00FF7C99">
      <w:pPr>
        <w:pStyle w:val="ESCiNormalParagraphChar"/>
      </w:pPr>
    </w:p>
    <w:p w14:paraId="565A7915" w14:textId="716C913A" w:rsidR="00FF7C99" w:rsidRPr="00174EA1" w:rsidRDefault="00FF7C99" w:rsidP="00FF7C99">
      <w:pPr>
        <w:pStyle w:val="ESCiNormalParagraphChar"/>
      </w:pPr>
      <w:r w:rsidRPr="00B23198">
        <w:t xml:space="preserve">Traditional </w:t>
      </w:r>
      <w:r>
        <w:t xml:space="preserve">municipal </w:t>
      </w:r>
      <w:r w:rsidRPr="00B23198">
        <w:t xml:space="preserve">fire and medic companies are staffed and continuously available 24 hours per day to respond to emergencies.  </w:t>
      </w:r>
      <w:r>
        <w:t>As</w:t>
      </w:r>
      <w:r w:rsidRPr="00B23198">
        <w:t xml:space="preserve"> more powerful analytical tools have </w:t>
      </w:r>
      <w:r>
        <w:t xml:space="preserve">become available, </w:t>
      </w:r>
      <w:r w:rsidRPr="00B23198">
        <w:t xml:space="preserve">some fire departments </w:t>
      </w:r>
      <w:r>
        <w:t xml:space="preserve">are being more aggressive with move-ups, posting, and deployment </w:t>
      </w:r>
      <w:r w:rsidRPr="00B23198">
        <w:t>spawning such terms as “dynamic redeployment”</w:t>
      </w:r>
      <w:r>
        <w:t xml:space="preserve"> and</w:t>
      </w:r>
      <w:r w:rsidRPr="00B23198">
        <w:t xml:space="preserve"> “system status management”</w:t>
      </w:r>
      <w:r w:rsidR="00913902">
        <w:t>.</w:t>
      </w:r>
      <w:r w:rsidRPr="00B23198">
        <w:t xml:space="preserve">  </w:t>
      </w:r>
    </w:p>
    <w:p w14:paraId="67E40DCB" w14:textId="49538162" w:rsidR="00FF7C99" w:rsidRDefault="00FF7C99" w:rsidP="00FF7C99">
      <w:pPr>
        <w:pStyle w:val="ESCiNormalParagraphChar"/>
        <w:rPr>
          <w:lang w:eastAsia="en-US"/>
        </w:rPr>
      </w:pPr>
      <w:r w:rsidRPr="00BD70EA">
        <w:rPr>
          <w:lang w:eastAsia="en-US"/>
        </w:rPr>
        <w:t>EMS systems structured and based on traditional paradigms are changing.  Many people view EMS as simply ambulance transport</w:t>
      </w:r>
      <w:r>
        <w:rPr>
          <w:lang w:eastAsia="en-US"/>
        </w:rPr>
        <w:t>ation</w:t>
      </w:r>
      <w:r w:rsidRPr="00BD70EA">
        <w:rPr>
          <w:lang w:eastAsia="en-US"/>
        </w:rPr>
        <w:t xml:space="preserve"> or fire department response to medical events.  </w:t>
      </w:r>
      <w:r w:rsidR="00A841C7" w:rsidRPr="00BD70EA">
        <w:rPr>
          <w:lang w:eastAsia="en-US"/>
        </w:rPr>
        <w:t>However,</w:t>
      </w:r>
      <w:r w:rsidRPr="00BD70EA">
        <w:rPr>
          <w:lang w:eastAsia="en-US"/>
        </w:rPr>
        <w:t xml:space="preserve"> those views are being challenged as insurance companies</w:t>
      </w:r>
      <w:r>
        <w:rPr>
          <w:lang w:eastAsia="en-US"/>
        </w:rPr>
        <w:t>, including Medicare,</w:t>
      </w:r>
      <w:r w:rsidRPr="00BD70EA">
        <w:rPr>
          <w:lang w:eastAsia="en-US"/>
        </w:rPr>
        <w:t xml:space="preserve"> demand more accountability for ambulance transport and emergency treatment, and fire departments seek better use of resources to extend services to the communities they serve.</w:t>
      </w:r>
    </w:p>
    <w:p w14:paraId="32F2058E" w14:textId="5927E101" w:rsidR="00FF7C99" w:rsidRDefault="00FF7C99" w:rsidP="00FF7C99">
      <w:pPr>
        <w:pStyle w:val="ESCiNormalParagraphChar"/>
        <w:rPr>
          <w:lang w:eastAsia="en-US"/>
        </w:rPr>
      </w:pPr>
      <w:r w:rsidRPr="00B23198">
        <w:rPr>
          <w:lang w:eastAsia="en-US"/>
        </w:rPr>
        <w:t xml:space="preserve">One technique of managing costs is to staff emergency response units as needed, increasing apparatus and personnel resources during times that have and/or are forecast to have </w:t>
      </w:r>
      <w:r>
        <w:rPr>
          <w:lang w:eastAsia="en-US"/>
        </w:rPr>
        <w:t>greatest</w:t>
      </w:r>
      <w:r w:rsidRPr="00B23198">
        <w:rPr>
          <w:lang w:eastAsia="en-US"/>
        </w:rPr>
        <w:t xml:space="preserve"> service demand.  These </w:t>
      </w:r>
      <w:r>
        <w:rPr>
          <w:lang w:eastAsia="en-US"/>
        </w:rPr>
        <w:t xml:space="preserve">staffed </w:t>
      </w:r>
      <w:r w:rsidRPr="00B23198">
        <w:rPr>
          <w:lang w:eastAsia="en-US"/>
        </w:rPr>
        <w:t xml:space="preserve">units </w:t>
      </w:r>
      <w:r>
        <w:rPr>
          <w:lang w:eastAsia="en-US"/>
        </w:rPr>
        <w:t xml:space="preserve">are commonly </w:t>
      </w:r>
      <w:r w:rsidRPr="00B23198">
        <w:rPr>
          <w:lang w:eastAsia="en-US"/>
        </w:rPr>
        <w:t>referred to as Peak Activity Unit</w:t>
      </w:r>
      <w:r>
        <w:rPr>
          <w:lang w:eastAsia="en-US"/>
        </w:rPr>
        <w:t>s</w:t>
      </w:r>
      <w:r w:rsidRPr="00B23198">
        <w:rPr>
          <w:lang w:eastAsia="en-US"/>
        </w:rPr>
        <w:t xml:space="preserve"> (PAU).  PAU</w:t>
      </w:r>
      <w:r>
        <w:rPr>
          <w:lang w:eastAsia="en-US"/>
        </w:rPr>
        <w:t>s</w:t>
      </w:r>
      <w:r w:rsidRPr="00B23198">
        <w:rPr>
          <w:lang w:eastAsia="en-US"/>
        </w:rPr>
        <w:t xml:space="preserve"> (i.e., fire engine, medic</w:t>
      </w:r>
      <w:r>
        <w:rPr>
          <w:lang w:eastAsia="en-US"/>
        </w:rPr>
        <w:t>/</w:t>
      </w:r>
      <w:r w:rsidRPr="00B23198">
        <w:rPr>
          <w:lang w:eastAsia="en-US"/>
        </w:rPr>
        <w:t xml:space="preserve">ambulance) </w:t>
      </w:r>
      <w:r>
        <w:rPr>
          <w:lang w:eastAsia="en-US"/>
        </w:rPr>
        <w:t>staffing</w:t>
      </w:r>
      <w:r w:rsidRPr="00B23198">
        <w:rPr>
          <w:lang w:eastAsia="en-US"/>
        </w:rPr>
        <w:t xml:space="preserve"> </w:t>
      </w:r>
      <w:r>
        <w:rPr>
          <w:lang w:eastAsia="en-US"/>
        </w:rPr>
        <w:t>occurs for</w:t>
      </w:r>
      <w:r w:rsidRPr="00B23198">
        <w:rPr>
          <w:lang w:eastAsia="en-US"/>
        </w:rPr>
        <w:t xml:space="preserve"> scheduled event</w:t>
      </w:r>
      <w:r>
        <w:rPr>
          <w:lang w:eastAsia="en-US"/>
        </w:rPr>
        <w:t>s</w:t>
      </w:r>
      <w:r w:rsidRPr="00B23198">
        <w:rPr>
          <w:lang w:eastAsia="en-US"/>
        </w:rPr>
        <w:t xml:space="preserve">, for periods of peak </w:t>
      </w:r>
      <w:r>
        <w:rPr>
          <w:lang w:eastAsia="en-US"/>
        </w:rPr>
        <w:t xml:space="preserve">service </w:t>
      </w:r>
      <w:r w:rsidRPr="00B23198">
        <w:rPr>
          <w:lang w:eastAsia="en-US"/>
        </w:rPr>
        <w:t>demand, or to cover a response zone while fire personnel attend training.  Adding a PAU as an adjunct to current staffing patterns adds flexibility to fire department emergency operations.</w:t>
      </w:r>
      <w:r>
        <w:rPr>
          <w:lang w:eastAsia="en-US"/>
        </w:rPr>
        <w:t xml:space="preserve">  As with several other recommendations, a shared PAU between multiple Tri-Cit</w:t>
      </w:r>
      <w:r w:rsidR="00CF7BC2">
        <w:rPr>
          <w:lang w:eastAsia="en-US"/>
        </w:rPr>
        <w:t>ies</w:t>
      </w:r>
      <w:r>
        <w:rPr>
          <w:lang w:eastAsia="en-US"/>
        </w:rPr>
        <w:t xml:space="preserve"> fire departments would be the most efficient and cost effective operating model.</w:t>
      </w:r>
      <w:r w:rsidR="00EA310C">
        <w:rPr>
          <w:lang w:eastAsia="en-US"/>
        </w:rPr>
        <w:t xml:space="preserve"> This is further discussed in the </w:t>
      </w:r>
      <w:r w:rsidR="00931322" w:rsidRPr="00931322">
        <w:rPr>
          <w:i/>
          <w:lang w:eastAsia="en-US"/>
        </w:rPr>
        <w:t>Mid-Term Strategies</w:t>
      </w:r>
      <w:r w:rsidR="00EA310C">
        <w:rPr>
          <w:lang w:eastAsia="en-US"/>
        </w:rPr>
        <w:t xml:space="preserve"> section</w:t>
      </w:r>
      <w:r w:rsidR="00931322">
        <w:rPr>
          <w:lang w:eastAsia="en-US"/>
        </w:rPr>
        <w:t xml:space="preserve"> of this study</w:t>
      </w:r>
      <w:r w:rsidR="00EA310C">
        <w:rPr>
          <w:lang w:eastAsia="en-US"/>
        </w:rPr>
        <w:t>.</w:t>
      </w:r>
    </w:p>
    <w:tbl>
      <w:tblPr>
        <w:tblW w:w="0" w:type="auto"/>
        <w:jc w:val="center"/>
        <w:tblLook w:val="00A0" w:firstRow="1" w:lastRow="0" w:firstColumn="1" w:lastColumn="0" w:noHBand="0" w:noVBand="0"/>
      </w:tblPr>
      <w:tblGrid>
        <w:gridCol w:w="9360"/>
      </w:tblGrid>
      <w:tr w:rsidR="00FF7C99" w:rsidRPr="007E384B" w14:paraId="74278762" w14:textId="77777777" w:rsidTr="003A60C0">
        <w:trPr>
          <w:jc w:val="center"/>
        </w:trPr>
        <w:tc>
          <w:tcPr>
            <w:tcW w:w="9360" w:type="dxa"/>
            <w:shd w:val="clear" w:color="auto" w:fill="D9D9D9" w:themeFill="background1" w:themeFillShade="D9"/>
          </w:tcPr>
          <w:p w14:paraId="09CBE624" w14:textId="77777777" w:rsidR="00FF7C99" w:rsidRPr="007E384B" w:rsidRDefault="00FF7C99" w:rsidP="003A60C0">
            <w:pPr>
              <w:keepNext/>
              <w:keepLines/>
              <w:spacing w:after="0" w:line="360" w:lineRule="auto"/>
              <w:rPr>
                <w:rFonts w:asciiTheme="majorHAnsi" w:eastAsia="Times New Roman" w:hAnsiTheme="majorHAnsi" w:cs="Calibri"/>
                <w:b/>
              </w:rPr>
            </w:pPr>
            <w:r w:rsidRPr="007E384B">
              <w:rPr>
                <w:rFonts w:asciiTheme="majorHAnsi" w:eastAsia="Times New Roman" w:hAnsiTheme="majorHAnsi" w:cs="Calibri"/>
                <w:b/>
              </w:rPr>
              <w:t>Recommendation:</w:t>
            </w:r>
          </w:p>
          <w:p w14:paraId="6E48A67A" w14:textId="77777777" w:rsidR="00FF7C99" w:rsidRPr="007E384B" w:rsidRDefault="00FF7C99" w:rsidP="007705AA">
            <w:pPr>
              <w:numPr>
                <w:ilvl w:val="0"/>
                <w:numId w:val="25"/>
              </w:numPr>
              <w:spacing w:after="200" w:line="360" w:lineRule="auto"/>
              <w:jc w:val="left"/>
              <w:rPr>
                <w:rFonts w:asciiTheme="majorHAnsi" w:hAnsiTheme="majorHAnsi" w:cs="Arial"/>
              </w:rPr>
            </w:pPr>
            <w:r w:rsidRPr="007E384B">
              <w:rPr>
                <w:rFonts w:asciiTheme="majorHAnsi" w:hAnsiTheme="majorHAnsi" w:cs="Calibri"/>
              </w:rPr>
              <w:t>Deploy a shared agency staffed PAU during times of greatest EMS service demand.</w:t>
            </w:r>
          </w:p>
        </w:tc>
      </w:tr>
    </w:tbl>
    <w:p w14:paraId="2B81BE8D" w14:textId="77777777" w:rsidR="00FF7C99" w:rsidRDefault="00FF7C99" w:rsidP="00FF7C99">
      <w:pPr>
        <w:pStyle w:val="ESCiNormalParagraphChar"/>
        <w:rPr>
          <w:lang w:eastAsia="en-US"/>
        </w:rPr>
      </w:pPr>
    </w:p>
    <w:p w14:paraId="2B77FC1E" w14:textId="79091A50" w:rsidR="00FF7C99" w:rsidRPr="00BB1F4B" w:rsidRDefault="00FF7C99" w:rsidP="00FF7C99">
      <w:pPr>
        <w:pStyle w:val="ESCiNormalParagraphChar"/>
      </w:pPr>
      <w:r>
        <w:t xml:space="preserve">A variation on the PAU model is the use of </w:t>
      </w:r>
      <w:r w:rsidRPr="00BB1F4B">
        <w:t>Alternative Response Units (ARUs)</w:t>
      </w:r>
      <w:r>
        <w:t xml:space="preserve">.  While </w:t>
      </w:r>
      <w:r w:rsidR="00931322">
        <w:t xml:space="preserve">a </w:t>
      </w:r>
      <w:r>
        <w:t>PAU</w:t>
      </w:r>
      <w:r w:rsidR="00931322">
        <w:t>’</w:t>
      </w:r>
      <w:r>
        <w:t>s</w:t>
      </w:r>
      <w:r w:rsidRPr="00BB1F4B">
        <w:t xml:space="preserve"> primary mission is </w:t>
      </w:r>
      <w:r w:rsidR="0043196D">
        <w:t xml:space="preserve">to </w:t>
      </w:r>
      <w:r w:rsidRPr="00BB1F4B">
        <w:t>respon</w:t>
      </w:r>
      <w:r w:rsidR="0043196D">
        <w:t>d</w:t>
      </w:r>
      <w:r w:rsidRPr="00BB1F4B">
        <w:t xml:space="preserve"> flexibly to peak demand for emergency services</w:t>
      </w:r>
      <w:r>
        <w:t xml:space="preserve">, an ARU answers </w:t>
      </w:r>
      <w:r w:rsidRPr="00BB1F4B">
        <w:t>non-emergency</w:t>
      </w:r>
      <w:r>
        <w:t xml:space="preserve"> and</w:t>
      </w:r>
      <w:r w:rsidRPr="00BB1F4B">
        <w:t xml:space="preserve"> lower acuity emergency medical calls.  Its </w:t>
      </w:r>
      <w:r>
        <w:t>function</w:t>
      </w:r>
      <w:r w:rsidRPr="00BB1F4B">
        <w:t xml:space="preserve"> is to keep the primary fleet of emergency response vehicles and crews in service and available for true emergency calls.  Tualatin Valley Fire &amp; Rescue (TVF&amp;R) in Washington County, Oregon</w:t>
      </w:r>
      <w:r w:rsidR="00931322">
        <w:t>,</w:t>
      </w:r>
      <w:r w:rsidRPr="00BB1F4B">
        <w:t xml:space="preserve"> implemented a </w:t>
      </w:r>
      <w:r w:rsidR="00931322">
        <w:t>12</w:t>
      </w:r>
      <w:r w:rsidRPr="00BB1F4B">
        <w:t>-mont</w:t>
      </w:r>
      <w:r w:rsidR="00931322">
        <w:t>h pilot of this program in 2011;</w:t>
      </w:r>
      <w:r w:rsidRPr="00BB1F4B">
        <w:t xml:space="preserve"> Spokane Fire Department (SFD) implemented a six-month pilot of this program in 2013 and recently extended it an additional </w:t>
      </w:r>
      <w:r w:rsidR="00931322">
        <w:t>18</w:t>
      </w:r>
      <w:r w:rsidRPr="00BB1F4B">
        <w:t xml:space="preserve"> months.  Both agencies have experienced positive results, with TVF&amp;R permanently incorporating the units into its daily operation. </w:t>
      </w:r>
    </w:p>
    <w:p w14:paraId="350FDD05" w14:textId="46D3F91A" w:rsidR="00FF7C99" w:rsidRDefault="00FF7C99" w:rsidP="00FF7C99">
      <w:pPr>
        <w:pStyle w:val="ESCiNormalParagraphChar"/>
        <w:rPr>
          <w:lang w:eastAsia="en-US"/>
        </w:rPr>
      </w:pPr>
      <w:r w:rsidRPr="00256391">
        <w:rPr>
          <w:lang w:eastAsia="en-US"/>
        </w:rPr>
        <w:t xml:space="preserve">The premise behind </w:t>
      </w:r>
      <w:r>
        <w:rPr>
          <w:lang w:eastAsia="en-US"/>
        </w:rPr>
        <w:t>ARUs</w:t>
      </w:r>
      <w:r w:rsidRPr="00256391">
        <w:rPr>
          <w:lang w:eastAsia="en-US"/>
        </w:rPr>
        <w:t xml:space="preserve"> is to reduce the expensive staffing and vehicle response to likely non-life-threatening calls for service.  </w:t>
      </w:r>
      <w:r>
        <w:rPr>
          <w:lang w:eastAsia="en-US"/>
        </w:rPr>
        <w:t>ARUs</w:t>
      </w:r>
      <w:r w:rsidRPr="00256391">
        <w:rPr>
          <w:lang w:eastAsia="en-US"/>
        </w:rPr>
        <w:t xml:space="preserve"> are sport utility vehicles, staffed by one </w:t>
      </w:r>
      <w:r>
        <w:rPr>
          <w:lang w:eastAsia="en-US"/>
        </w:rPr>
        <w:t>f</w:t>
      </w:r>
      <w:r w:rsidRPr="00256391">
        <w:rPr>
          <w:lang w:eastAsia="en-US"/>
        </w:rPr>
        <w:t>iref</w:t>
      </w:r>
      <w:r>
        <w:rPr>
          <w:lang w:eastAsia="en-US"/>
        </w:rPr>
        <w:t>ighter/p</w:t>
      </w:r>
      <w:r w:rsidRPr="00256391">
        <w:rPr>
          <w:lang w:eastAsia="en-US"/>
        </w:rPr>
        <w:t xml:space="preserve">aramedic in Tualatin Valley’s model.  </w:t>
      </w:r>
      <w:r>
        <w:rPr>
          <w:lang w:eastAsia="en-US"/>
        </w:rPr>
        <w:t xml:space="preserve">Dispatching is </w:t>
      </w:r>
      <w:r w:rsidRPr="00256391">
        <w:rPr>
          <w:lang w:eastAsia="en-US"/>
        </w:rPr>
        <w:t xml:space="preserve">according to a protocol used by the dispatch centers, </w:t>
      </w:r>
      <w:r>
        <w:rPr>
          <w:lang w:eastAsia="en-US"/>
        </w:rPr>
        <w:t>medically triaging</w:t>
      </w:r>
      <w:r w:rsidRPr="00256391">
        <w:rPr>
          <w:lang w:eastAsia="en-US"/>
        </w:rPr>
        <w:t xml:space="preserve"> the calling party.  SFD’s Spokane Combined Communication Center</w:t>
      </w:r>
      <w:r>
        <w:rPr>
          <w:lang w:eastAsia="en-US"/>
        </w:rPr>
        <w:t xml:space="preserve"> </w:t>
      </w:r>
      <w:r w:rsidRPr="00256391">
        <w:rPr>
          <w:lang w:eastAsia="en-US"/>
        </w:rPr>
        <w:t xml:space="preserve">communication specialists are </w:t>
      </w:r>
      <w:r>
        <w:rPr>
          <w:lang w:eastAsia="en-US"/>
        </w:rPr>
        <w:t>certified</w:t>
      </w:r>
      <w:r w:rsidRPr="00256391">
        <w:rPr>
          <w:lang w:eastAsia="en-US"/>
        </w:rPr>
        <w:t xml:space="preserve"> Emergency Medical Technician/Emergency Medical Dispatch (EMT/EMD). </w:t>
      </w:r>
      <w:r>
        <w:rPr>
          <w:lang w:eastAsia="en-US"/>
        </w:rPr>
        <w:t xml:space="preserve"> </w:t>
      </w:r>
      <w:r w:rsidRPr="00256391">
        <w:rPr>
          <w:lang w:eastAsia="en-US"/>
        </w:rPr>
        <w:t xml:space="preserve">In TVF&amp;R’s case, communication specialists at Washington County Communications Center are not necessarily EMTs but </w:t>
      </w:r>
      <w:r w:rsidR="00931322">
        <w:rPr>
          <w:lang w:eastAsia="en-US"/>
        </w:rPr>
        <w:t xml:space="preserve">are </w:t>
      </w:r>
      <w:r w:rsidRPr="00256391">
        <w:rPr>
          <w:lang w:eastAsia="en-US"/>
        </w:rPr>
        <w:t>trained to the EMD certification</w:t>
      </w:r>
      <w:r>
        <w:rPr>
          <w:lang w:eastAsia="en-US"/>
        </w:rPr>
        <w:t xml:space="preserve"> level</w:t>
      </w:r>
      <w:r w:rsidRPr="00256391">
        <w:rPr>
          <w:lang w:eastAsia="en-US"/>
        </w:rPr>
        <w:t>.</w:t>
      </w:r>
    </w:p>
    <w:p w14:paraId="3C9EE5A7" w14:textId="09A71456" w:rsidR="00FF7C99" w:rsidRDefault="00FF7C99" w:rsidP="00FF7C99">
      <w:pPr>
        <w:pStyle w:val="ESCiNormalParagraphChar"/>
        <w:rPr>
          <w:lang w:eastAsia="en-US"/>
        </w:rPr>
      </w:pPr>
      <w:r w:rsidRPr="00BB5E3D">
        <w:rPr>
          <w:lang w:eastAsia="en-US"/>
        </w:rPr>
        <w:t xml:space="preserve">Spokane’s ARU pilot included three units deployed strategically </w:t>
      </w:r>
      <w:r>
        <w:rPr>
          <w:lang w:eastAsia="en-US"/>
        </w:rPr>
        <w:t>throughout</w:t>
      </w:r>
      <w:r w:rsidRPr="00BB5E3D">
        <w:rPr>
          <w:lang w:eastAsia="en-US"/>
        </w:rPr>
        <w:t xml:space="preserve"> the SFD service area. Initially, </w:t>
      </w:r>
      <w:r>
        <w:rPr>
          <w:lang w:eastAsia="en-US"/>
        </w:rPr>
        <w:t xml:space="preserve">SFD </w:t>
      </w:r>
      <w:r w:rsidRPr="00BB5E3D">
        <w:rPr>
          <w:lang w:eastAsia="en-US"/>
        </w:rPr>
        <w:t xml:space="preserve">deployed </w:t>
      </w:r>
      <w:r>
        <w:rPr>
          <w:lang w:eastAsia="en-US"/>
        </w:rPr>
        <w:t xml:space="preserve">ARUs </w:t>
      </w:r>
      <w:r w:rsidRPr="00BB5E3D">
        <w:rPr>
          <w:lang w:eastAsia="en-US"/>
        </w:rPr>
        <w:t>Tuesday through Friday from 8:00 a.m. to 6:00 p.m.</w:t>
      </w:r>
      <w:r>
        <w:rPr>
          <w:lang w:eastAsia="en-US"/>
        </w:rPr>
        <w:t>, times of</w:t>
      </w:r>
      <w:r w:rsidRPr="00BB5E3D">
        <w:rPr>
          <w:lang w:eastAsia="en-US"/>
        </w:rPr>
        <w:t xml:space="preserve"> peak activity.  In the </w:t>
      </w:r>
      <w:r w:rsidR="00E474E2" w:rsidRPr="00BB5E3D">
        <w:rPr>
          <w:lang w:eastAsia="en-US"/>
        </w:rPr>
        <w:t>six-month</w:t>
      </w:r>
      <w:r w:rsidRPr="00BB5E3D">
        <w:rPr>
          <w:lang w:eastAsia="en-US"/>
        </w:rPr>
        <w:t xml:space="preserve"> pilot, the units handled 1,193 incidents that would have been handled by an engine company, medic unit or ladder truck.</w:t>
      </w:r>
      <w:r>
        <w:rPr>
          <w:lang w:eastAsia="en-US"/>
        </w:rPr>
        <w:t xml:space="preserve">  </w:t>
      </w:r>
      <w:r w:rsidRPr="00A346EC">
        <w:rPr>
          <w:lang w:eastAsia="en-US"/>
        </w:rPr>
        <w:t xml:space="preserve">In TVF&amp;R, ARUs also respond to minor non-medical calls such as lockouts, smoke detector problems, and to investigate burning complaints.  The four TVF&amp;R ARUs responded to 2,134 incidents in </w:t>
      </w:r>
      <w:r w:rsidR="00931322">
        <w:rPr>
          <w:lang w:eastAsia="en-US"/>
        </w:rPr>
        <w:t>12</w:t>
      </w:r>
      <w:r w:rsidRPr="00A346EC">
        <w:rPr>
          <w:lang w:eastAsia="en-US"/>
        </w:rPr>
        <w:t xml:space="preserve"> months, which represents 7.2</w:t>
      </w:r>
      <w:r w:rsidR="00931322">
        <w:rPr>
          <w:lang w:eastAsia="en-US"/>
        </w:rPr>
        <w:t xml:space="preserve"> percent</w:t>
      </w:r>
      <w:r w:rsidRPr="00A346EC">
        <w:rPr>
          <w:lang w:eastAsia="en-US"/>
        </w:rPr>
        <w:t xml:space="preserve"> of the agency’s total call volume for that year.</w:t>
      </w:r>
    </w:p>
    <w:tbl>
      <w:tblPr>
        <w:tblW w:w="0" w:type="auto"/>
        <w:tblLook w:val="00A0" w:firstRow="1" w:lastRow="0" w:firstColumn="1" w:lastColumn="0" w:noHBand="0" w:noVBand="0"/>
      </w:tblPr>
      <w:tblGrid>
        <w:gridCol w:w="9360"/>
      </w:tblGrid>
      <w:tr w:rsidR="00FF7C99" w:rsidRPr="001149D7" w14:paraId="5ABF70FE" w14:textId="77777777" w:rsidTr="003A60C0">
        <w:tc>
          <w:tcPr>
            <w:tcW w:w="9360" w:type="dxa"/>
            <w:shd w:val="clear" w:color="auto" w:fill="D9D9D9" w:themeFill="background1" w:themeFillShade="D9"/>
          </w:tcPr>
          <w:p w14:paraId="36DD1388" w14:textId="77777777" w:rsidR="00FF7C99" w:rsidRPr="001149D7" w:rsidRDefault="00FF7C99" w:rsidP="003A60C0">
            <w:pPr>
              <w:keepNext/>
              <w:keepLines/>
              <w:spacing w:after="0" w:line="360" w:lineRule="auto"/>
              <w:rPr>
                <w:rFonts w:asciiTheme="majorHAnsi" w:eastAsia="Times New Roman" w:hAnsiTheme="majorHAnsi" w:cs="Calibri"/>
                <w:b/>
              </w:rPr>
            </w:pPr>
            <w:r w:rsidRPr="001149D7">
              <w:rPr>
                <w:rFonts w:asciiTheme="majorHAnsi" w:eastAsia="Times New Roman" w:hAnsiTheme="majorHAnsi" w:cs="Calibri"/>
                <w:b/>
              </w:rPr>
              <w:t>Recommendation:</w:t>
            </w:r>
          </w:p>
          <w:p w14:paraId="5A431668" w14:textId="77777777" w:rsidR="00FF7C99" w:rsidRPr="001149D7" w:rsidRDefault="00FF7C99" w:rsidP="007705AA">
            <w:pPr>
              <w:numPr>
                <w:ilvl w:val="0"/>
                <w:numId w:val="25"/>
              </w:numPr>
              <w:spacing w:after="200" w:line="240" w:lineRule="auto"/>
              <w:jc w:val="left"/>
              <w:rPr>
                <w:rFonts w:asciiTheme="majorHAnsi" w:hAnsiTheme="majorHAnsi" w:cs="Arial"/>
              </w:rPr>
            </w:pPr>
            <w:r w:rsidRPr="001149D7">
              <w:rPr>
                <w:rFonts w:asciiTheme="majorHAnsi" w:hAnsiTheme="majorHAnsi" w:cs="Calibri"/>
              </w:rPr>
              <w:t>Consider alternative deployment options as demands for service incr</w:t>
            </w:r>
            <w:r>
              <w:rPr>
                <w:rFonts w:asciiTheme="majorHAnsi" w:hAnsiTheme="majorHAnsi" w:cs="Calibri"/>
              </w:rPr>
              <w:t>ease, including a shared agency ARU.</w:t>
            </w:r>
          </w:p>
        </w:tc>
      </w:tr>
    </w:tbl>
    <w:p w14:paraId="7D5E989C" w14:textId="77777777" w:rsidR="00FF7C99" w:rsidRDefault="00FF7C99" w:rsidP="00FF7C99">
      <w:pPr>
        <w:pStyle w:val="ESCiNormalParagraphChar"/>
        <w:rPr>
          <w:lang w:eastAsia="en-US"/>
        </w:rPr>
      </w:pPr>
    </w:p>
    <w:p w14:paraId="31119ECB" w14:textId="1B7F2170" w:rsidR="00FF7C99" w:rsidRDefault="00FF7C99" w:rsidP="00FF7C99">
      <w:pPr>
        <w:pStyle w:val="ESCiNormalParagraphChar"/>
      </w:pPr>
      <w:r w:rsidRPr="00842A63">
        <w:t xml:space="preserve">At the heart of any fire department are the activities and functions that support the delivery of emergency services.  </w:t>
      </w:r>
      <w:r>
        <w:t>Logistics</w:t>
      </w:r>
      <w:r w:rsidRPr="00842A63">
        <w:t xml:space="preserve"> </w:t>
      </w:r>
      <w:r>
        <w:t>are actions that keep</w:t>
      </w:r>
      <w:r w:rsidRPr="00842A63">
        <w:t xml:space="preserve"> assets in operational readiness and ensure that enough supplies, tools, and equipment are available to mitigate emergenc</w:t>
      </w:r>
      <w:r>
        <w:t>ies</w:t>
      </w:r>
      <w:r w:rsidRPr="00842A63">
        <w:t xml:space="preserve">.  </w:t>
      </w:r>
      <w:r>
        <w:t>PFD personnel</w:t>
      </w:r>
      <w:r w:rsidRPr="00842A63">
        <w:t xml:space="preserve"> dedicate a certain level of daily effort in maintaining emergency apparatus</w:t>
      </w:r>
      <w:r>
        <w:t xml:space="preserve"> and</w:t>
      </w:r>
      <w:r w:rsidRPr="00842A63">
        <w:t xml:space="preserve"> equipment</w:t>
      </w:r>
      <w:r>
        <w:t xml:space="preserve"> and ordering and stocking firefighting and EMS supplies</w:t>
      </w:r>
      <w:r w:rsidRPr="00842A63">
        <w:t xml:space="preserve">. </w:t>
      </w:r>
    </w:p>
    <w:p w14:paraId="0C05B0FC" w14:textId="77777777" w:rsidR="00FF7C99" w:rsidRPr="00842A63" w:rsidRDefault="00FF7C99" w:rsidP="00FF7C99">
      <w:pPr>
        <w:pStyle w:val="ESCiNormalParagraphChar"/>
      </w:pPr>
      <w:r w:rsidRPr="00842A63">
        <w:t xml:space="preserve">Although </w:t>
      </w:r>
      <w:r>
        <w:t xml:space="preserve">PFD is an </w:t>
      </w:r>
      <w:r w:rsidRPr="00842A63">
        <w:t>emergency services p</w:t>
      </w:r>
      <w:r>
        <w:t>rovider</w:t>
      </w:r>
      <w:r w:rsidRPr="00842A63">
        <w:t xml:space="preserve">, </w:t>
      </w:r>
      <w:r>
        <w:t>it is also a business</w:t>
      </w:r>
      <w:r w:rsidRPr="00842A63">
        <w:t xml:space="preserve"> </w:t>
      </w:r>
      <w:r>
        <w:t>spending</w:t>
      </w:r>
      <w:r w:rsidRPr="00842A63">
        <w:t xml:space="preserve"> tens of thousands of dollars each year to ensure emergency mission readiness.  Like all businesses, fire departments need to be receptive to new practices to maximize the value of budget dollars.  Such practices may take the form of economies of scale, administrative efficiencies, paperwork reduction, technological advances, and innovative cost saving concepts.  </w:t>
      </w:r>
    </w:p>
    <w:p w14:paraId="516361DA" w14:textId="351EECED" w:rsidR="00FF7C99" w:rsidRDefault="00FF7C99" w:rsidP="00FF7C99">
      <w:pPr>
        <w:pStyle w:val="ESCiNormalParagraphChar"/>
      </w:pPr>
      <w:r>
        <w:t xml:space="preserve">Logistics and support services for EMS </w:t>
      </w:r>
      <w:r w:rsidR="00931322">
        <w:t>represent</w:t>
      </w:r>
      <w:r w:rsidRPr="004B2FFD">
        <w:t xml:space="preserve"> a labor-intensive process requiring good policies and attention to detail.  The procurement and distribution of </w:t>
      </w:r>
      <w:r>
        <w:t>EMS</w:t>
      </w:r>
      <w:r w:rsidRPr="004B2FFD">
        <w:t xml:space="preserve"> supplies is also an important behind-the-scenes practice that needs hands-on work and meticulous record keeping.  Filling the demand for logistical services is a constant necessity in any organization and vital to ensure the operational readiness of the agency.</w:t>
      </w:r>
      <w:r>
        <w:t xml:space="preserve">  A significant amount of the PFD EMS </w:t>
      </w:r>
      <w:r w:rsidR="00931322">
        <w:t>o</w:t>
      </w:r>
      <w:r>
        <w:t>fficers’ time is consumed with logistics duties.  A process repeated by EMS officers at each fire department in the Tri-Cit</w:t>
      </w:r>
      <w:r w:rsidR="00CF7BC2">
        <w:t>ies</w:t>
      </w:r>
      <w:r>
        <w:t xml:space="preserve"> area.</w:t>
      </w:r>
    </w:p>
    <w:p w14:paraId="6CADCBC6" w14:textId="0D44E240" w:rsidR="00FF7C99" w:rsidRDefault="00FF7C99" w:rsidP="00FF7C99">
      <w:pPr>
        <w:pStyle w:val="ESCiNormalParagraphChar"/>
      </w:pPr>
      <w:r w:rsidRPr="00D830C0">
        <w:t>The Tri-Cit</w:t>
      </w:r>
      <w:r w:rsidR="00CF7BC2">
        <w:t>ies</w:t>
      </w:r>
      <w:r w:rsidRPr="00D830C0">
        <w:t xml:space="preserve"> fire departments have on occasion cooperated on purchasing.  Collaborating for supply and logistics in an EMS system allows agencies to achieve “right-column” pricing on EMS supplies and equipment, reduce</w:t>
      </w:r>
      <w:r>
        <w:t>s</w:t>
      </w:r>
      <w:r w:rsidRPr="00D830C0">
        <w:t xml:space="preserve"> average transaction costs, and </w:t>
      </w:r>
      <w:r>
        <w:t>realizes</w:t>
      </w:r>
      <w:r w:rsidRPr="00D830C0">
        <w:t xml:space="preserve"> benefits of standardizing equipment.</w:t>
      </w:r>
      <w:r>
        <w:t xml:space="preserve">  Creating a joint purchasing and logistics program for EMS, and potentially other supplies</w:t>
      </w:r>
      <w:r w:rsidR="00931322">
        <w:t>,</w:t>
      </w:r>
      <w:r>
        <w:t xml:space="preserve"> offers the ability to</w:t>
      </w:r>
      <w:r w:rsidRPr="00D830C0">
        <w:t xml:space="preserve"> create joint bids for supplies and equipment and achieve additional benefits such as integrated inventory of supplies that can accommodate lag times in deliveries from manufacturers and suppliers.</w:t>
      </w:r>
    </w:p>
    <w:p w14:paraId="626F5421" w14:textId="77777777" w:rsidR="00FF7C99" w:rsidRDefault="00FF7C99" w:rsidP="00FF7C99">
      <w:pPr>
        <w:pStyle w:val="ESCiNormalParagraphChar"/>
      </w:pPr>
      <w:r w:rsidRPr="00566A8A">
        <w:t xml:space="preserve">A multi-agency purchasing program could improve the management of </w:t>
      </w:r>
      <w:r>
        <w:t>PFD’s and partner</w:t>
      </w:r>
      <w:r w:rsidRPr="00566A8A">
        <w:t xml:space="preserve"> agencies’ supply chains.  In theory, the agencies would collectively create or contract for a logistics center to manage the purchasing process</w:t>
      </w:r>
      <w:r>
        <w:t xml:space="preserve"> of EMS supplies</w:t>
      </w:r>
      <w:r w:rsidRPr="00566A8A">
        <w:t xml:space="preserve">.  </w:t>
      </w:r>
    </w:p>
    <w:tbl>
      <w:tblPr>
        <w:tblW w:w="0" w:type="auto"/>
        <w:tblLook w:val="00A0" w:firstRow="1" w:lastRow="0" w:firstColumn="1" w:lastColumn="0" w:noHBand="0" w:noVBand="0"/>
      </w:tblPr>
      <w:tblGrid>
        <w:gridCol w:w="9360"/>
      </w:tblGrid>
      <w:tr w:rsidR="00FF7C99" w:rsidRPr="001149D7" w14:paraId="3E8EB504" w14:textId="77777777" w:rsidTr="003A60C0">
        <w:tc>
          <w:tcPr>
            <w:tcW w:w="9360" w:type="dxa"/>
            <w:shd w:val="clear" w:color="auto" w:fill="D9D9D9" w:themeFill="background1" w:themeFillShade="D9"/>
          </w:tcPr>
          <w:p w14:paraId="63FB50B9" w14:textId="77777777" w:rsidR="00FF7C99" w:rsidRPr="001149D7" w:rsidRDefault="00FF7C99" w:rsidP="003A60C0">
            <w:pPr>
              <w:keepNext/>
              <w:keepLines/>
              <w:spacing w:after="0" w:line="360" w:lineRule="auto"/>
              <w:rPr>
                <w:rFonts w:asciiTheme="majorHAnsi" w:eastAsia="Times New Roman" w:hAnsiTheme="majorHAnsi" w:cs="Calibri"/>
                <w:b/>
              </w:rPr>
            </w:pPr>
            <w:r w:rsidRPr="001149D7">
              <w:rPr>
                <w:rFonts w:asciiTheme="majorHAnsi" w:eastAsia="Times New Roman" w:hAnsiTheme="majorHAnsi" w:cs="Calibri"/>
                <w:b/>
              </w:rPr>
              <w:t>Recommendation:</w:t>
            </w:r>
          </w:p>
          <w:p w14:paraId="3B54C823" w14:textId="77777777" w:rsidR="00FF7C99" w:rsidRPr="001149D7" w:rsidRDefault="00FF7C99" w:rsidP="007705AA">
            <w:pPr>
              <w:pStyle w:val="ListParagraph"/>
              <w:numPr>
                <w:ilvl w:val="0"/>
                <w:numId w:val="25"/>
              </w:numPr>
              <w:rPr>
                <w:rFonts w:asciiTheme="majorHAnsi" w:hAnsiTheme="majorHAnsi" w:cs="Arial"/>
              </w:rPr>
            </w:pPr>
            <w:r w:rsidRPr="00566A8A">
              <w:rPr>
                <w:rFonts w:asciiTheme="majorHAnsi" w:hAnsiTheme="majorHAnsi" w:cs="Calibri"/>
              </w:rPr>
              <w:t xml:space="preserve">Standardize </w:t>
            </w:r>
            <w:r>
              <w:rPr>
                <w:rFonts w:asciiTheme="majorHAnsi" w:hAnsiTheme="majorHAnsi" w:cs="Calibri"/>
              </w:rPr>
              <w:t xml:space="preserve">EMS equipment and </w:t>
            </w:r>
            <w:r w:rsidRPr="00566A8A">
              <w:rPr>
                <w:rFonts w:asciiTheme="majorHAnsi" w:hAnsiTheme="majorHAnsi" w:cs="Calibri"/>
              </w:rPr>
              <w:t xml:space="preserve">supply purchases through </w:t>
            </w:r>
            <w:r>
              <w:rPr>
                <w:rFonts w:asciiTheme="majorHAnsi" w:hAnsiTheme="majorHAnsi" w:cs="Calibri"/>
              </w:rPr>
              <w:t xml:space="preserve">a </w:t>
            </w:r>
            <w:r w:rsidRPr="00566A8A">
              <w:rPr>
                <w:rFonts w:asciiTheme="majorHAnsi" w:hAnsiTheme="majorHAnsi" w:cs="Calibri"/>
              </w:rPr>
              <w:t>group purchasing and distribution</w:t>
            </w:r>
            <w:r>
              <w:rPr>
                <w:rFonts w:asciiTheme="majorHAnsi" w:hAnsiTheme="majorHAnsi" w:cs="Calibri"/>
              </w:rPr>
              <w:t xml:space="preserve"> system</w:t>
            </w:r>
            <w:r w:rsidRPr="00566A8A">
              <w:rPr>
                <w:rFonts w:asciiTheme="majorHAnsi" w:hAnsiTheme="majorHAnsi" w:cs="Calibri"/>
              </w:rPr>
              <w:t>.</w:t>
            </w:r>
          </w:p>
        </w:tc>
      </w:tr>
    </w:tbl>
    <w:p w14:paraId="03C32D2E" w14:textId="77777777" w:rsidR="00FF7C99" w:rsidRDefault="00FF7C99" w:rsidP="00FF7C99">
      <w:pPr>
        <w:pStyle w:val="ESCiNormalParagraphChar"/>
      </w:pPr>
    </w:p>
    <w:p w14:paraId="71A8DF34" w14:textId="68257B30" w:rsidR="00FF7C99" w:rsidRDefault="00FF7C99" w:rsidP="00931322">
      <w:pPr>
        <w:pStyle w:val="ESCiNormalParagraphChar"/>
        <w:spacing w:after="0"/>
      </w:pPr>
      <w:r>
        <w:t>The RCW (Revised Code of Washington)</w:t>
      </w:r>
      <w:r>
        <w:rPr>
          <w:rStyle w:val="FootnoteReference"/>
        </w:rPr>
        <w:footnoteReference w:id="15"/>
      </w:r>
      <w:r>
        <w:t xml:space="preserve"> requires a cost of service study to identify the total cost necessary to regulate, operate, and maintain the ambulance utility.  </w:t>
      </w:r>
      <w:r w:rsidRPr="00D07B5C">
        <w:t xml:space="preserve">In 2015, the City of Pasco contracted with the FCS Group for an Ambulance Utility Cost of Service and Rate Study.  </w:t>
      </w:r>
      <w:r w:rsidR="00973F6D">
        <w:t>The r</w:t>
      </w:r>
      <w:r w:rsidR="00973F6D" w:rsidRPr="00973F6D">
        <w:t xml:space="preserve">ate </w:t>
      </w:r>
      <w:r w:rsidR="00973F6D">
        <w:t>s</w:t>
      </w:r>
      <w:r w:rsidR="00973F6D" w:rsidRPr="00973F6D">
        <w:t>tudy states that “with a net ambulance utility costs of $5,790,137 and 22,840 regular billing units, the ambulance rate per unit is $253.51 a year, or $21.13 a month.”   If adopted it would have represented a 173</w:t>
      </w:r>
      <w:r w:rsidR="00931322">
        <w:t xml:space="preserve"> percent</w:t>
      </w:r>
      <w:r w:rsidR="00973F6D" w:rsidRPr="00973F6D">
        <w:t xml:space="preserve"> increase over the previou</w:t>
      </w:r>
      <w:r w:rsidR="00931322">
        <w:t>s utility rate of $93.00 a year</w:t>
      </w:r>
      <w:r w:rsidR="00973F6D" w:rsidRPr="00973F6D">
        <w:t xml:space="preserve"> or $7.75 a month.  Understandably, an increase of that magnitude was not palatable for the Pasco community or City Council.  A more restrained ambulance utility rate increase approved in 2016 resulted in an annual charge of $151.80 or $12.65 a month.  Even with the rate change, the City had to continue making annual General Fund contributions, albeit smaller</w:t>
      </w:r>
      <w:r w:rsidR="00931322">
        <w:t xml:space="preserve"> ones</w:t>
      </w:r>
      <w:r w:rsidR="00973F6D" w:rsidRPr="00973F6D">
        <w:t xml:space="preserve">, to fully fund ambulance service.  </w:t>
      </w:r>
      <w:r>
        <w:t xml:space="preserve">Rate issues identified in the FCS study for the City of Pasco to consider </w:t>
      </w:r>
      <w:r w:rsidR="00931322">
        <w:t xml:space="preserve">in order </w:t>
      </w:r>
      <w:r>
        <w:t>to close the gap were:</w:t>
      </w:r>
    </w:p>
    <w:p w14:paraId="7687AF25" w14:textId="768B8840" w:rsidR="00FF7C99" w:rsidRDefault="00FF7C99" w:rsidP="007705AA">
      <w:pPr>
        <w:pStyle w:val="ESCiNormalParagraphChar"/>
        <w:numPr>
          <w:ilvl w:val="0"/>
          <w:numId w:val="25"/>
        </w:numPr>
        <w:spacing w:after="120" w:line="240" w:lineRule="auto"/>
      </w:pPr>
      <w:r>
        <w:t>An exemption of nursing homes from paying the monthly ambulance utility rate fee</w:t>
      </w:r>
      <w:r w:rsidR="00931322">
        <w:t>.</w:t>
      </w:r>
    </w:p>
    <w:p w14:paraId="4E5715F4" w14:textId="61F702AC" w:rsidR="00FF7C99" w:rsidRDefault="00FF7C99" w:rsidP="007705AA">
      <w:pPr>
        <w:pStyle w:val="ESCiNormalParagraphChar"/>
        <w:numPr>
          <w:ilvl w:val="0"/>
          <w:numId w:val="25"/>
        </w:numPr>
        <w:spacing w:after="120" w:line="240" w:lineRule="auto"/>
      </w:pPr>
      <w:r>
        <w:t>Commercial, industrial, and other businesses and properties pay a single monthly fee (the same rate as a single-family residence)</w:t>
      </w:r>
      <w:r w:rsidR="00931322">
        <w:t>.</w:t>
      </w:r>
    </w:p>
    <w:p w14:paraId="7DF200B0" w14:textId="5C2E7166" w:rsidR="00FF7C99" w:rsidRDefault="00FF7C99" w:rsidP="007705AA">
      <w:pPr>
        <w:pStyle w:val="ESCiNormalParagraphChar"/>
        <w:numPr>
          <w:ilvl w:val="0"/>
          <w:numId w:val="25"/>
        </w:numPr>
        <w:spacing w:after="240" w:line="240" w:lineRule="auto"/>
      </w:pPr>
      <w:r>
        <w:t>Hotels and motels pay a single monthly fee (the same rate as a single-family residence)</w:t>
      </w:r>
      <w:r w:rsidR="00931322">
        <w:t>.</w:t>
      </w:r>
    </w:p>
    <w:p w14:paraId="44098173" w14:textId="5B306D74" w:rsidR="002919B9" w:rsidRDefault="002919B9" w:rsidP="002919B9">
      <w:pPr>
        <w:pStyle w:val="ESCiNormalParagraphChar"/>
      </w:pPr>
      <w:r>
        <w:t xml:space="preserve">At the time of the rate increase, a determination was made to maintain the ordinance in its original form.  Nursing homes, hotels, motels, RV and mobile home parks, and commercial businesses were considered one billing unit, keeping them listed in their current billing category (the same rate as a single-family residence).  As a matter of equity and in proportion to </w:t>
      </w:r>
      <w:r w:rsidR="005C2D7B" w:rsidRPr="005C2D7B">
        <w:t xml:space="preserve">ambulance services </w:t>
      </w:r>
      <w:r>
        <w:t>usage</w:t>
      </w:r>
      <w:r w:rsidR="00391C35">
        <w:t>,</w:t>
      </w:r>
      <w:r>
        <w:t xml:space="preserve"> the ambulance utility charge is low.  Any change in how the City of Pasco addresses this issue could increase the number of billing units.  These changes primarily would affect rates paid by businesses.  As a result of increasing the number of units, the current utility rate can be maintained to increase revenue or lowered </w:t>
      </w:r>
      <w:r w:rsidR="00391C35">
        <w:t xml:space="preserve">as a result of spreading </w:t>
      </w:r>
      <w:r>
        <w:t xml:space="preserve">the costs across more billing units.    </w:t>
      </w:r>
    </w:p>
    <w:p w14:paraId="3BB80307" w14:textId="6218F25C" w:rsidR="002919B9" w:rsidRDefault="002919B9" w:rsidP="002919B9">
      <w:pPr>
        <w:pStyle w:val="ESCiNormalParagraphChar"/>
      </w:pPr>
      <w:r>
        <w:t>There is a demonstrated need for PFD to increase staffing in an effort to mirror increases in the area served, services provided, and service demand.  ESCI recommends increasing the number of billing units for businesses, lodging</w:t>
      </w:r>
      <w:r w:rsidR="00391C35">
        <w:t>,</w:t>
      </w:r>
      <w:r>
        <w:t xml:space="preserve"> and properties with multiple dwellings to accurately reflect ambulance service usage.  It would be appropriate at the same time to adopt an increase to more closely align revenue with the cost of operating the ambulance service. </w:t>
      </w:r>
    </w:p>
    <w:tbl>
      <w:tblPr>
        <w:tblW w:w="0" w:type="auto"/>
        <w:tblLook w:val="00A0" w:firstRow="1" w:lastRow="0" w:firstColumn="1" w:lastColumn="0" w:noHBand="0" w:noVBand="0"/>
      </w:tblPr>
      <w:tblGrid>
        <w:gridCol w:w="9360"/>
      </w:tblGrid>
      <w:tr w:rsidR="00FF7C99" w:rsidRPr="001149D7" w14:paraId="2C81D9C3" w14:textId="77777777" w:rsidTr="003A60C0">
        <w:tc>
          <w:tcPr>
            <w:tcW w:w="9360" w:type="dxa"/>
            <w:shd w:val="clear" w:color="auto" w:fill="D9D9D9" w:themeFill="background1" w:themeFillShade="D9"/>
          </w:tcPr>
          <w:p w14:paraId="5B82CF57" w14:textId="77777777" w:rsidR="00FF7C99" w:rsidRPr="001149D7" w:rsidRDefault="00FF7C99" w:rsidP="003A60C0">
            <w:pPr>
              <w:keepNext/>
              <w:keepLines/>
              <w:spacing w:after="0" w:line="360" w:lineRule="auto"/>
              <w:rPr>
                <w:rFonts w:asciiTheme="majorHAnsi" w:eastAsia="Times New Roman" w:hAnsiTheme="majorHAnsi" w:cs="Calibri"/>
                <w:b/>
              </w:rPr>
            </w:pPr>
            <w:r w:rsidRPr="001149D7">
              <w:rPr>
                <w:rFonts w:asciiTheme="majorHAnsi" w:eastAsia="Times New Roman" w:hAnsiTheme="majorHAnsi" w:cs="Calibri"/>
                <w:b/>
              </w:rPr>
              <w:t>Recommendation:</w:t>
            </w:r>
          </w:p>
          <w:p w14:paraId="2532D0E3" w14:textId="77777777" w:rsidR="00FF7C99" w:rsidRPr="0043196D" w:rsidRDefault="00FF7C99" w:rsidP="007705AA">
            <w:pPr>
              <w:pStyle w:val="ListParagraph"/>
              <w:numPr>
                <w:ilvl w:val="0"/>
                <w:numId w:val="25"/>
              </w:numPr>
              <w:rPr>
                <w:rFonts w:asciiTheme="majorHAnsi" w:hAnsiTheme="majorHAnsi" w:cs="Arial"/>
              </w:rPr>
            </w:pPr>
            <w:r>
              <w:rPr>
                <w:rFonts w:asciiTheme="majorHAnsi" w:hAnsiTheme="majorHAnsi" w:cs="Calibri"/>
              </w:rPr>
              <w:t>Revisit the practice of a flat rate utility fee structure of support for ambulance service.</w:t>
            </w:r>
          </w:p>
          <w:p w14:paraId="44592F8C" w14:textId="051BEEA7" w:rsidR="0043196D" w:rsidRPr="001149D7" w:rsidRDefault="0043196D" w:rsidP="0043196D">
            <w:pPr>
              <w:pStyle w:val="ListParagraph"/>
              <w:numPr>
                <w:ilvl w:val="0"/>
                <w:numId w:val="25"/>
              </w:numPr>
              <w:rPr>
                <w:rFonts w:asciiTheme="majorHAnsi" w:hAnsiTheme="majorHAnsi" w:cs="Arial"/>
              </w:rPr>
            </w:pPr>
            <w:r>
              <w:rPr>
                <w:rFonts w:asciiTheme="majorHAnsi" w:hAnsiTheme="majorHAnsi" w:cs="Calibri"/>
              </w:rPr>
              <w:t xml:space="preserve">Keep the </w:t>
            </w:r>
            <w:r w:rsidR="00E127CD">
              <w:rPr>
                <w:rFonts w:asciiTheme="majorHAnsi" w:hAnsiTheme="majorHAnsi" w:cs="Calibri"/>
              </w:rPr>
              <w:t xml:space="preserve">ambulance utility </w:t>
            </w:r>
            <w:r>
              <w:rPr>
                <w:rFonts w:asciiTheme="majorHAnsi" w:hAnsiTheme="majorHAnsi" w:cs="Calibri"/>
              </w:rPr>
              <w:t xml:space="preserve">cost analysis and cost of service updated regularly. </w:t>
            </w:r>
          </w:p>
        </w:tc>
      </w:tr>
    </w:tbl>
    <w:p w14:paraId="6E46AFC0" w14:textId="77777777" w:rsidR="00FF7C99" w:rsidRDefault="00FF7C99" w:rsidP="00FF7C99">
      <w:pPr>
        <w:pStyle w:val="Heading3"/>
        <w:rPr>
          <w:rFonts w:eastAsia="Times New Roman"/>
          <w:lang w:eastAsia="en-US"/>
        </w:rPr>
      </w:pPr>
      <w:bookmarkStart w:id="150" w:name="_Toc451516682"/>
      <w:bookmarkStart w:id="151" w:name="_Toc464323567"/>
      <w:r>
        <w:rPr>
          <w:rFonts w:eastAsia="Times New Roman"/>
          <w:lang w:eastAsia="en-US"/>
        </w:rPr>
        <w:t>Current Medical Control and O</w:t>
      </w:r>
      <w:r w:rsidRPr="00817349">
        <w:rPr>
          <w:rFonts w:eastAsia="Times New Roman"/>
          <w:lang w:eastAsia="en-US"/>
        </w:rPr>
        <w:t>versight</w:t>
      </w:r>
      <w:bookmarkEnd w:id="150"/>
      <w:bookmarkEnd w:id="151"/>
    </w:p>
    <w:p w14:paraId="28D15462" w14:textId="77777777" w:rsidR="00FF7C99" w:rsidRDefault="00FF7C99" w:rsidP="00FF7C99">
      <w:pPr>
        <w:pStyle w:val="ESCiNormalParagraphChar"/>
      </w:pPr>
      <w:r w:rsidRPr="00326D90">
        <w:t>The Medical Program Director (MPD) is responsible for providing medical oversight and guidance to Emergency Medical Services Technicians and Paramedics. The MPD must develop or adopt written prehospital patient care protocols to direct Emergency Medical Services personnel in patient care</w:t>
      </w:r>
      <w:r>
        <w:t>.</w:t>
      </w:r>
      <w:r>
        <w:rPr>
          <w:rStyle w:val="FootnoteReference"/>
        </w:rPr>
        <w:footnoteReference w:id="16"/>
      </w:r>
    </w:p>
    <w:p w14:paraId="019F025B" w14:textId="5F3578A3" w:rsidR="00FF7C99" w:rsidRDefault="00FF7C99" w:rsidP="00FF7C99">
      <w:pPr>
        <w:pStyle w:val="ESCiNormalParagraphChar"/>
      </w:pPr>
      <w:r w:rsidRPr="00A73191">
        <w:t>Medical control and oversight in Benton and Franklin Count</w:t>
      </w:r>
      <w:r w:rsidR="00391C35">
        <w:t>ies</w:t>
      </w:r>
      <w:r w:rsidRPr="00A73191">
        <w:t xml:space="preserve"> is directed by an ABEM (American Board of Emergency Medicine) board certified M.D. (Doctor of Medicine) and FACEP (Fellow of the American College of Emergency Physicians).  The current MPD</w:t>
      </w:r>
      <w:r>
        <w:t xml:space="preserve"> </w:t>
      </w:r>
      <w:r w:rsidRPr="00A73191">
        <w:t>is uniquely qualified for the position</w:t>
      </w:r>
      <w:r w:rsidR="00391C35">
        <w:t>,</w:t>
      </w:r>
      <w:r w:rsidRPr="00A73191">
        <w:t xml:space="preserve"> having been an EMT </w:t>
      </w:r>
      <w:r>
        <w:t xml:space="preserve">and </w:t>
      </w:r>
      <w:r w:rsidRPr="00A73191">
        <w:t>paramedic prior to his medical career.  The MPD’s passion for delivery of quality EMS in the Tri-Cit</w:t>
      </w:r>
      <w:r w:rsidR="00CF7BC2">
        <w:t>ies</w:t>
      </w:r>
      <w:r w:rsidRPr="00A73191">
        <w:t xml:space="preserve"> region is highly regarded by paramedics and f</w:t>
      </w:r>
      <w:r>
        <w:t xml:space="preserve">ire department leadership.  </w:t>
      </w:r>
      <w:r w:rsidRPr="00A73191">
        <w:t xml:space="preserve">Funded by the local council, a part-time administrative assistant </w:t>
      </w:r>
      <w:r w:rsidR="00391C35">
        <w:t>provides</w:t>
      </w:r>
      <w:r w:rsidRPr="00A73191">
        <w:t xml:space="preserve"> recordkeeping</w:t>
      </w:r>
      <w:r w:rsidR="00391C35">
        <w:t xml:space="preserve"> services</w:t>
      </w:r>
      <w:r w:rsidRPr="00A73191">
        <w:t xml:space="preserve">.  </w:t>
      </w:r>
    </w:p>
    <w:p w14:paraId="4C2A0CDD" w14:textId="0E14AE30" w:rsidR="00FF7C99" w:rsidRDefault="00FF7C99" w:rsidP="00FF7C99">
      <w:pPr>
        <w:pStyle w:val="ESCiNormalParagraphChar"/>
      </w:pPr>
      <w:r>
        <w:t>PFD’s paramedics, as well as those in the other local agencies, are well trained and held to a high standard of patient care by the MPD.  Contributing to the success of the EMS program and quality patient care is the low turnover rate of paramedics.  In our experience, many EMS providers struggle to retain experienced, well-trained paramedics.  One probable reason for the high retention rate is that PFD and other Tri-Cit</w:t>
      </w:r>
      <w:r w:rsidR="00CF7BC2">
        <w:t>ies</w:t>
      </w:r>
      <w:r>
        <w:t xml:space="preserve"> fire departments are desirable places of employment.  PFD paramedics have the option of involvement in other facets of emergency services.  </w:t>
      </w:r>
    </w:p>
    <w:p w14:paraId="043C4FC9" w14:textId="6A749823" w:rsidR="00FF7C99" w:rsidRDefault="00FF7C99" w:rsidP="00391C35">
      <w:pPr>
        <w:pStyle w:val="ESCiNormalParagraphChar"/>
        <w:spacing w:after="0"/>
        <w:rPr>
          <w:lang w:eastAsia="en-US"/>
        </w:rPr>
      </w:pPr>
      <w:r>
        <w:rPr>
          <w:lang w:eastAsia="en-US"/>
        </w:rPr>
        <w:t xml:space="preserve">There were concerns that </w:t>
      </w:r>
      <w:r w:rsidR="00391C35">
        <w:rPr>
          <w:lang w:eastAsia="en-US"/>
        </w:rPr>
        <w:t>must be addressed</w:t>
      </w:r>
      <w:r>
        <w:rPr>
          <w:lang w:eastAsia="en-US"/>
        </w:rPr>
        <w:t xml:space="preserve"> for the pre-hospital delivery system to continue the provision of quality care</w:t>
      </w:r>
      <w:r w:rsidRPr="00A73191">
        <w:rPr>
          <w:lang w:eastAsia="en-US"/>
        </w:rPr>
        <w:t xml:space="preserve"> </w:t>
      </w:r>
      <w:r>
        <w:rPr>
          <w:lang w:eastAsia="en-US"/>
        </w:rPr>
        <w:t>in Pasco and the two counties.  Separation of PFD from other fire departments is not realistic when discussing concerns as there is a symbiotic relationship connecting them together.  EMS concerns raised consist of:</w:t>
      </w:r>
    </w:p>
    <w:p w14:paraId="18CD7444" w14:textId="15FD6191" w:rsidR="00FF7C99" w:rsidRDefault="00FF7C99" w:rsidP="007705AA">
      <w:pPr>
        <w:pStyle w:val="ListParagraph"/>
        <w:numPr>
          <w:ilvl w:val="0"/>
          <w:numId w:val="25"/>
        </w:numPr>
        <w:spacing w:after="120" w:line="240" w:lineRule="auto"/>
        <w:contextualSpacing w:val="0"/>
        <w:rPr>
          <w:lang w:eastAsia="en-US"/>
        </w:rPr>
      </w:pPr>
      <w:r>
        <w:rPr>
          <w:lang w:eastAsia="en-US"/>
        </w:rPr>
        <w:t>Communication system incompatibility between the two counties, two dispatch centers</w:t>
      </w:r>
      <w:r w:rsidR="00391C35">
        <w:rPr>
          <w:lang w:eastAsia="en-US"/>
        </w:rPr>
        <w:t>.</w:t>
      </w:r>
    </w:p>
    <w:p w14:paraId="1CF2088E" w14:textId="08EB2D65" w:rsidR="00FF7C99" w:rsidRDefault="00FF7C99" w:rsidP="007705AA">
      <w:pPr>
        <w:pStyle w:val="ListParagraph"/>
        <w:numPr>
          <w:ilvl w:val="0"/>
          <w:numId w:val="25"/>
        </w:numPr>
        <w:spacing w:after="120" w:line="240" w:lineRule="auto"/>
        <w:contextualSpacing w:val="0"/>
        <w:rPr>
          <w:lang w:eastAsia="en-US"/>
        </w:rPr>
      </w:pPr>
      <w:r>
        <w:rPr>
          <w:lang w:eastAsia="en-US"/>
        </w:rPr>
        <w:t>Growth in Franklin County</w:t>
      </w:r>
      <w:r w:rsidR="00391C35">
        <w:rPr>
          <w:lang w:eastAsia="en-US"/>
        </w:rPr>
        <w:t xml:space="preserve"> and Benton County</w:t>
      </w:r>
      <w:r>
        <w:rPr>
          <w:lang w:eastAsia="en-US"/>
        </w:rPr>
        <w:t xml:space="preserve"> is not reflected in additional facilities, apparatus, and personnel</w:t>
      </w:r>
      <w:r w:rsidR="00391C35">
        <w:rPr>
          <w:lang w:eastAsia="en-US"/>
        </w:rPr>
        <w:t>.</w:t>
      </w:r>
    </w:p>
    <w:p w14:paraId="0C3EFDBD" w14:textId="4139243A" w:rsidR="00FF7C99" w:rsidRDefault="00FF7C99" w:rsidP="007705AA">
      <w:pPr>
        <w:pStyle w:val="ListParagraph"/>
        <w:numPr>
          <w:ilvl w:val="0"/>
          <w:numId w:val="25"/>
        </w:numPr>
        <w:spacing w:after="120" w:line="240" w:lineRule="auto"/>
        <w:contextualSpacing w:val="0"/>
        <w:rPr>
          <w:lang w:eastAsia="en-US"/>
        </w:rPr>
      </w:pPr>
      <w:r>
        <w:rPr>
          <w:lang w:eastAsia="en-US"/>
        </w:rPr>
        <w:t>PFD’s ASA (Ambulance Service Area) is larger than the City of Pasco</w:t>
      </w:r>
      <w:r w:rsidR="00391C35">
        <w:rPr>
          <w:lang w:eastAsia="en-US"/>
        </w:rPr>
        <w:t>.</w:t>
      </w:r>
    </w:p>
    <w:p w14:paraId="67990071" w14:textId="6FCA7A7F" w:rsidR="00FF7C99" w:rsidRDefault="00FF7C99" w:rsidP="00F6572C">
      <w:pPr>
        <w:pStyle w:val="ListParagraph"/>
        <w:numPr>
          <w:ilvl w:val="0"/>
          <w:numId w:val="25"/>
        </w:numPr>
        <w:spacing w:after="120" w:line="240" w:lineRule="auto"/>
        <w:contextualSpacing w:val="0"/>
        <w:rPr>
          <w:lang w:eastAsia="en-US"/>
        </w:rPr>
      </w:pPr>
      <w:r>
        <w:rPr>
          <w:lang w:eastAsia="en-US"/>
        </w:rPr>
        <w:t xml:space="preserve">A shortage of </w:t>
      </w:r>
      <w:r w:rsidR="00F6572C" w:rsidRPr="00F6572C">
        <w:rPr>
          <w:lang w:eastAsia="en-US"/>
        </w:rPr>
        <w:t>Senior EM</w:t>
      </w:r>
      <w:r w:rsidR="00F6572C">
        <w:rPr>
          <w:lang w:eastAsia="en-US"/>
        </w:rPr>
        <w:t>T</w:t>
      </w:r>
      <w:r w:rsidR="00F6572C" w:rsidRPr="00F6572C">
        <w:rPr>
          <w:lang w:eastAsia="en-US"/>
        </w:rPr>
        <w:t xml:space="preserve"> Instructor</w:t>
      </w:r>
      <w:r w:rsidR="00F6572C">
        <w:rPr>
          <w:lang w:eastAsia="en-US"/>
        </w:rPr>
        <w:t>s</w:t>
      </w:r>
      <w:r w:rsidR="00F6572C" w:rsidRPr="00F6572C">
        <w:rPr>
          <w:lang w:eastAsia="en-US"/>
        </w:rPr>
        <w:t xml:space="preserve"> </w:t>
      </w:r>
      <w:r w:rsidR="00F6572C">
        <w:rPr>
          <w:lang w:eastAsia="en-US"/>
        </w:rPr>
        <w:t>(</w:t>
      </w:r>
      <w:r>
        <w:rPr>
          <w:lang w:eastAsia="en-US"/>
        </w:rPr>
        <w:t>SEIs</w:t>
      </w:r>
      <w:r w:rsidR="00F6572C">
        <w:rPr>
          <w:lang w:eastAsia="en-US"/>
        </w:rPr>
        <w:t>)</w:t>
      </w:r>
      <w:r w:rsidR="00391C35">
        <w:rPr>
          <w:lang w:eastAsia="en-US"/>
        </w:rPr>
        <w:t>;</w:t>
      </w:r>
      <w:r>
        <w:rPr>
          <w:lang w:eastAsia="en-US"/>
        </w:rPr>
        <w:t xml:space="preserve"> </w:t>
      </w:r>
      <w:r w:rsidR="00F6572C">
        <w:rPr>
          <w:lang w:eastAsia="en-US"/>
        </w:rPr>
        <w:t xml:space="preserve">there are </w:t>
      </w:r>
      <w:r>
        <w:rPr>
          <w:lang w:eastAsia="en-US"/>
        </w:rPr>
        <w:t>only two in Northern Franklin County.  SEI certification and recertification requirements are an obstacle.</w:t>
      </w:r>
    </w:p>
    <w:p w14:paraId="73B2E582" w14:textId="68C887DA" w:rsidR="00FF7C99" w:rsidRDefault="00FF7C99" w:rsidP="007705AA">
      <w:pPr>
        <w:pStyle w:val="ListParagraph"/>
        <w:numPr>
          <w:ilvl w:val="0"/>
          <w:numId w:val="25"/>
        </w:numPr>
        <w:spacing w:after="120" w:line="240" w:lineRule="auto"/>
        <w:contextualSpacing w:val="0"/>
        <w:rPr>
          <w:lang w:eastAsia="en-US"/>
        </w:rPr>
      </w:pPr>
      <w:r>
        <w:rPr>
          <w:lang w:eastAsia="en-US"/>
        </w:rPr>
        <w:t>Paramedic burnout</w:t>
      </w:r>
      <w:r w:rsidR="00391C35">
        <w:rPr>
          <w:lang w:eastAsia="en-US"/>
        </w:rPr>
        <w:t>.</w:t>
      </w:r>
    </w:p>
    <w:p w14:paraId="311BB319" w14:textId="77777777" w:rsidR="00FF7C99" w:rsidRDefault="00FF7C99" w:rsidP="00FF7C99">
      <w:pPr>
        <w:pStyle w:val="Heading3"/>
        <w:rPr>
          <w:rFonts w:eastAsia="Times New Roman"/>
          <w:lang w:eastAsia="en-US"/>
        </w:rPr>
      </w:pPr>
      <w:bookmarkStart w:id="152" w:name="_Toc451516683"/>
      <w:bookmarkStart w:id="153" w:name="_Toc464323568"/>
      <w:r>
        <w:rPr>
          <w:rFonts w:eastAsia="Times New Roman"/>
          <w:lang w:eastAsia="en-US"/>
        </w:rPr>
        <w:t>Quality Assurance/Quality Improvement Mechanisms</w:t>
      </w:r>
      <w:bookmarkEnd w:id="152"/>
      <w:bookmarkEnd w:id="153"/>
    </w:p>
    <w:p w14:paraId="0EB29E20" w14:textId="79EBF647" w:rsidR="00FF7C99" w:rsidRDefault="00FF7C99" w:rsidP="00FF7C99">
      <w:pPr>
        <w:pStyle w:val="ESCiNormalParagraphChar"/>
      </w:pPr>
      <w:r w:rsidRPr="009919F4">
        <w:t xml:space="preserve">The goal of </w:t>
      </w:r>
      <w:r>
        <w:t>QA (Quality Assurance) and QI (Quality I</w:t>
      </w:r>
      <w:r w:rsidRPr="009919F4">
        <w:t>mprovement</w:t>
      </w:r>
      <w:r>
        <w:t>)</w:t>
      </w:r>
      <w:r w:rsidRPr="009919F4">
        <w:t xml:space="preserve"> in </w:t>
      </w:r>
      <w:r>
        <w:t>EMS</w:t>
      </w:r>
      <w:r w:rsidRPr="009919F4">
        <w:t xml:space="preserve"> is to ensure the provision of the highest level of paramedic</w:t>
      </w:r>
      <w:r>
        <w:t>ine</w:t>
      </w:r>
      <w:r w:rsidRPr="009919F4">
        <w:t xml:space="preserve">. </w:t>
      </w:r>
      <w:r>
        <w:t xml:space="preserve"> QA/QI</w:t>
      </w:r>
      <w:r w:rsidRPr="009919F4">
        <w:t xml:space="preserve"> activities are monitored by the </w:t>
      </w:r>
      <w:r>
        <w:t>MPD with support from individual agency EMS officers, including PFD</w:t>
      </w:r>
      <w:r w:rsidR="00391C35">
        <w:t>’</w:t>
      </w:r>
      <w:r>
        <w:t>s.  QA and QI is a quality management process that encourages all health care providers to continuously ask the questions, “How are we doing?” and “Can we do it better?”</w:t>
      </w:r>
      <w:r>
        <w:rPr>
          <w:rStyle w:val="FootnoteReference"/>
        </w:rPr>
        <w:footnoteReference w:id="17"/>
      </w:r>
      <w:r>
        <w:t xml:space="preserve">  QA m</w:t>
      </w:r>
      <w:r w:rsidRPr="00F907A1">
        <w:t>onitors, investigates, studies</w:t>
      </w:r>
      <w:r w:rsidR="00391C35">
        <w:t>,</w:t>
      </w:r>
      <w:r w:rsidRPr="00F907A1">
        <w:t xml:space="preserve"> and makes recommendations regarding the quality and level of health care provided by the EMS system</w:t>
      </w:r>
      <w:r>
        <w:t xml:space="preserve">.  Effective QA/QI is accomplished through education and </w:t>
      </w:r>
      <w:r w:rsidRPr="00F907A1">
        <w:t xml:space="preserve">the correction of inappropriate practices and </w:t>
      </w:r>
      <w:r>
        <w:t>conduct.</w:t>
      </w:r>
    </w:p>
    <w:p w14:paraId="7568F582" w14:textId="6AAAD02F" w:rsidR="00FF7C99" w:rsidRDefault="00FF7C99" w:rsidP="00FF7C99">
      <w:pPr>
        <w:pStyle w:val="ESCiNormalParagraphChar"/>
      </w:pPr>
      <w:r w:rsidRPr="005E1172">
        <w:t xml:space="preserve">Each PCR (Patient Care Report) </w:t>
      </w:r>
      <w:r>
        <w:t xml:space="preserve">prepared by PFD’s paramedics </w:t>
      </w:r>
      <w:r w:rsidRPr="005E1172">
        <w:t xml:space="preserve">is reviewed.  </w:t>
      </w:r>
      <w:r>
        <w:t>The o</w:t>
      </w:r>
      <w:r w:rsidRPr="005E1172">
        <w:t xml:space="preserve">ncoming shift reviews PCRs from previous shift and flags reports based on five criteria.  </w:t>
      </w:r>
      <w:r>
        <w:t>The c</w:t>
      </w:r>
      <w:r w:rsidRPr="005E1172">
        <w:t xml:space="preserve">riteria </w:t>
      </w:r>
      <w:r w:rsidR="00391C35">
        <w:t>are</w:t>
      </w:r>
      <w:r w:rsidRPr="005E1172">
        <w:t xml:space="preserve"> established </w:t>
      </w:r>
      <w:r>
        <w:t xml:space="preserve">and changed monthly </w:t>
      </w:r>
      <w:r w:rsidRPr="005E1172">
        <w:t xml:space="preserve">by </w:t>
      </w:r>
      <w:r>
        <w:t xml:space="preserve">the </w:t>
      </w:r>
      <w:r w:rsidRPr="005E1172">
        <w:t>MPD.  PFD</w:t>
      </w:r>
      <w:r>
        <w:t>’s</w:t>
      </w:r>
      <w:r w:rsidRPr="005E1172">
        <w:t xml:space="preserve"> Medical Officer reviews </w:t>
      </w:r>
      <w:r>
        <w:t xml:space="preserve">random PCRs, patient refusals, and those </w:t>
      </w:r>
      <w:r w:rsidRPr="005E1172">
        <w:t>with flagged criteria</w:t>
      </w:r>
      <w:r>
        <w:t xml:space="preserve">.  PCRs with flagged criteria are then </w:t>
      </w:r>
      <w:r w:rsidRPr="005E1172">
        <w:t>forward</w:t>
      </w:r>
      <w:r>
        <w:t xml:space="preserve">ed </w:t>
      </w:r>
      <w:r w:rsidRPr="005E1172">
        <w:t xml:space="preserve">to </w:t>
      </w:r>
      <w:r>
        <w:t xml:space="preserve">the </w:t>
      </w:r>
      <w:r w:rsidRPr="005E1172">
        <w:t>MPD.</w:t>
      </w:r>
      <w:r>
        <w:t xml:space="preserve">  PCRs selected by the MPD</w:t>
      </w:r>
      <w:r w:rsidR="00391C35">
        <w:t>,</w:t>
      </w:r>
      <w:r>
        <w:t xml:space="preserve"> along with the medical officer and QA </w:t>
      </w:r>
      <w:r w:rsidR="00391C35">
        <w:t>Committee,</w:t>
      </w:r>
      <w:r>
        <w:t xml:space="preserve"> are presented at monthly case review sessions.  Individual paramedics receive feedback on a routine basis.  </w:t>
      </w:r>
    </w:p>
    <w:tbl>
      <w:tblPr>
        <w:tblW w:w="0" w:type="auto"/>
        <w:jc w:val="center"/>
        <w:shd w:val="clear" w:color="auto" w:fill="E5B8B7" w:themeFill="accent2" w:themeFillTint="66"/>
        <w:tblLook w:val="00A0" w:firstRow="1" w:lastRow="0" w:firstColumn="1" w:lastColumn="0" w:noHBand="0" w:noVBand="0"/>
      </w:tblPr>
      <w:tblGrid>
        <w:gridCol w:w="9360"/>
      </w:tblGrid>
      <w:tr w:rsidR="00FF7C99" w:rsidRPr="00444A03" w14:paraId="72EF8162" w14:textId="77777777" w:rsidTr="003A60C0">
        <w:trPr>
          <w:jc w:val="center"/>
        </w:trPr>
        <w:tc>
          <w:tcPr>
            <w:tcW w:w="9360" w:type="dxa"/>
            <w:shd w:val="clear" w:color="auto" w:fill="E5B8B7" w:themeFill="accent2" w:themeFillTint="66"/>
          </w:tcPr>
          <w:p w14:paraId="569F6BCB" w14:textId="77777777" w:rsidR="00FF7C99" w:rsidRPr="00444A03" w:rsidRDefault="00FF7C99" w:rsidP="003A60C0">
            <w:pPr>
              <w:keepNext/>
              <w:keepLines/>
              <w:spacing w:after="0" w:line="360" w:lineRule="auto"/>
              <w:rPr>
                <w:rFonts w:asciiTheme="majorHAnsi" w:eastAsia="Times New Roman" w:hAnsiTheme="majorHAnsi" w:cs="Calibri"/>
                <w:b/>
              </w:rPr>
            </w:pPr>
            <w:r w:rsidRPr="00444A03">
              <w:rPr>
                <w:rFonts w:asciiTheme="majorHAnsi" w:eastAsia="Times New Roman" w:hAnsiTheme="majorHAnsi" w:cs="Calibri"/>
                <w:b/>
              </w:rPr>
              <w:t>Kudos:</w:t>
            </w:r>
          </w:p>
          <w:p w14:paraId="3CF7366B" w14:textId="77777777" w:rsidR="00FF7C99" w:rsidRPr="00444A03" w:rsidRDefault="00FF7C99" w:rsidP="007705AA">
            <w:pPr>
              <w:numPr>
                <w:ilvl w:val="0"/>
                <w:numId w:val="25"/>
              </w:numPr>
              <w:spacing w:after="240" w:line="240" w:lineRule="auto"/>
              <w:jc w:val="left"/>
              <w:rPr>
                <w:rFonts w:asciiTheme="majorHAnsi" w:hAnsiTheme="majorHAnsi" w:cs="Arial"/>
              </w:rPr>
            </w:pPr>
            <w:r>
              <w:rPr>
                <w:rFonts w:asciiTheme="majorHAnsi" w:hAnsiTheme="majorHAnsi" w:cs="Calibri"/>
              </w:rPr>
              <w:t xml:space="preserve">For a process that ensures the systematic review of </w:t>
            </w:r>
            <w:r w:rsidRPr="00B610B3">
              <w:rPr>
                <w:rFonts w:asciiTheme="majorHAnsi" w:hAnsiTheme="majorHAnsi" w:cs="Calibri"/>
                <w:i/>
                <w:u w:val="single"/>
              </w:rPr>
              <w:t>every</w:t>
            </w:r>
            <w:r>
              <w:rPr>
                <w:rFonts w:asciiTheme="majorHAnsi" w:hAnsiTheme="majorHAnsi" w:cs="Calibri"/>
              </w:rPr>
              <w:t xml:space="preserve"> PCR.</w:t>
            </w:r>
          </w:p>
        </w:tc>
      </w:tr>
    </w:tbl>
    <w:p w14:paraId="6943769F" w14:textId="77777777" w:rsidR="00FF7C99" w:rsidRDefault="00FF7C99" w:rsidP="00FF7C99">
      <w:pPr>
        <w:pStyle w:val="ESCiNormalParagraphChar"/>
      </w:pPr>
    </w:p>
    <w:p w14:paraId="5C2AB2DD" w14:textId="77777777" w:rsidR="00FF7C99" w:rsidRDefault="00FF7C99" w:rsidP="00FF7C99">
      <w:pPr>
        <w:pStyle w:val="Heading3"/>
        <w:rPr>
          <w:rFonts w:eastAsia="Times New Roman"/>
          <w:lang w:eastAsia="en-US"/>
        </w:rPr>
      </w:pPr>
      <w:bookmarkStart w:id="154" w:name="_Toc451516684"/>
      <w:bookmarkStart w:id="155" w:name="_Toc464323569"/>
      <w:r>
        <w:rPr>
          <w:rFonts w:eastAsia="Times New Roman"/>
          <w:lang w:eastAsia="en-US"/>
        </w:rPr>
        <w:t>EMS System I</w:t>
      </w:r>
      <w:r w:rsidRPr="00817349">
        <w:rPr>
          <w:rFonts w:eastAsia="Times New Roman"/>
          <w:lang w:eastAsia="en-US"/>
        </w:rPr>
        <w:t xml:space="preserve">ntegrity </w:t>
      </w:r>
      <w:r>
        <w:rPr>
          <w:rFonts w:eastAsia="Times New Roman"/>
          <w:lang w:eastAsia="en-US"/>
        </w:rPr>
        <w:t>and Required C</w:t>
      </w:r>
      <w:r w:rsidRPr="00817349">
        <w:rPr>
          <w:rFonts w:eastAsia="Times New Roman"/>
          <w:lang w:eastAsia="en-US"/>
        </w:rPr>
        <w:t>redentialing</w:t>
      </w:r>
      <w:bookmarkEnd w:id="154"/>
      <w:bookmarkEnd w:id="155"/>
    </w:p>
    <w:p w14:paraId="6D1CA0D9" w14:textId="64F59E6C" w:rsidR="00FF7C99" w:rsidRPr="00CB728C" w:rsidRDefault="00FF7C99" w:rsidP="00FF7C99">
      <w:pPr>
        <w:pStyle w:val="ESCiNormalParagraphChar"/>
      </w:pPr>
      <w:r w:rsidRPr="00CB728C">
        <w:t xml:space="preserve">Pasco FD is licensed by the WSDOH (Washington State Department of Health), Office of Community Health Systems to provide pre-hospital EMS ALS (Advanced Life Support).  Licensure of EMTs and paramedics lies with the WSDOH.  EMT and paramedic applicants applying for certification require the recommendation of the supervising MPD.  </w:t>
      </w:r>
      <w:r>
        <w:t xml:space="preserve">The MPD is accountable for ensuring that PFD’s EMS personnel meeting CE (continuing education) requirements and clinical skill maintenance.  PFD’s documentation for CE and recertification presented to the MPD </w:t>
      </w:r>
      <w:r w:rsidR="00B50696">
        <w:t>is</w:t>
      </w:r>
      <w:r>
        <w:t xml:space="preserve"> complete and accurate.  Recertification and CE documentation is maintained electronically.  </w:t>
      </w:r>
    </w:p>
    <w:p w14:paraId="7E53997E" w14:textId="77777777" w:rsidR="00FF7C99" w:rsidRDefault="00FF7C99" w:rsidP="00FF7C99">
      <w:pPr>
        <w:pStyle w:val="ESCiNormalParagraphChar"/>
      </w:pPr>
      <w:r w:rsidRPr="00C40F74">
        <w:rPr>
          <w:lang w:eastAsia="en-US"/>
        </w:rPr>
        <w:t xml:space="preserve">Medical protocols are developed to standardize the emergency patient care that EMS providers deliver at the scene of illness or injury and while transporting the patient to the closest appropriate facility for definitive care.  </w:t>
      </w:r>
      <w:r w:rsidRPr="007157D7">
        <w:rPr>
          <w:lang w:eastAsia="en-US"/>
        </w:rPr>
        <w:t>Protocols are a form of “standing orders” for emergency patient care intervention in a patient who has a life-threatening illness or injury.</w:t>
      </w:r>
      <w:r>
        <w:rPr>
          <w:lang w:eastAsia="en-US"/>
        </w:rPr>
        <w:t xml:space="preserve">  PFD’s EMTs and paramedics operate under </w:t>
      </w:r>
      <w:r w:rsidRPr="001D1574">
        <w:t>patient care protocols</w:t>
      </w:r>
      <w:r>
        <w:t xml:space="preserve"> adopted in 2014.  Protocols are updated</w:t>
      </w:r>
      <w:r w:rsidRPr="001D1574">
        <w:t xml:space="preserve"> bi-annually</w:t>
      </w:r>
      <w:r>
        <w:t xml:space="preserve"> with an updated version scheduled for July 2016 release. </w:t>
      </w:r>
    </w:p>
    <w:p w14:paraId="68346FEE" w14:textId="7CAE72C2" w:rsidR="00FF7C99" w:rsidRDefault="00FF7C99" w:rsidP="00B50696">
      <w:pPr>
        <w:pStyle w:val="ESCiNormalParagraphChar"/>
        <w:spacing w:after="0"/>
        <w:rPr>
          <w:lang w:eastAsia="en-US"/>
        </w:rPr>
      </w:pPr>
      <w:r>
        <w:rPr>
          <w:lang w:eastAsia="en-US"/>
        </w:rPr>
        <w:t>Three hospitals in the Tri-Cit</w:t>
      </w:r>
      <w:r w:rsidR="00CF7BC2">
        <w:rPr>
          <w:lang w:eastAsia="en-US"/>
        </w:rPr>
        <w:t>ies</w:t>
      </w:r>
      <w:r>
        <w:rPr>
          <w:lang w:eastAsia="en-US"/>
        </w:rPr>
        <w:t xml:space="preserve"> area operate four EDs (</w:t>
      </w:r>
      <w:r w:rsidR="00B50696">
        <w:rPr>
          <w:lang w:eastAsia="en-US"/>
        </w:rPr>
        <w:t>emergency departments</w:t>
      </w:r>
      <w:r>
        <w:rPr>
          <w:lang w:eastAsia="en-US"/>
        </w:rPr>
        <w:t>):</w:t>
      </w:r>
    </w:p>
    <w:p w14:paraId="3EB6F2B9" w14:textId="77777777" w:rsidR="00FF7C99" w:rsidRDefault="00FF7C99" w:rsidP="007705AA">
      <w:pPr>
        <w:pStyle w:val="ESCiNormalParagraphChar"/>
        <w:numPr>
          <w:ilvl w:val="0"/>
          <w:numId w:val="25"/>
        </w:numPr>
        <w:spacing w:after="120" w:line="240" w:lineRule="auto"/>
        <w:rPr>
          <w:lang w:eastAsia="en-US"/>
        </w:rPr>
      </w:pPr>
      <w:r>
        <w:rPr>
          <w:lang w:eastAsia="en-US"/>
        </w:rPr>
        <w:t>Lourdes Medical Center</w:t>
      </w:r>
    </w:p>
    <w:p w14:paraId="0B8A8751" w14:textId="77777777" w:rsidR="00FF7C99" w:rsidRDefault="00FF7C99" w:rsidP="007705AA">
      <w:pPr>
        <w:pStyle w:val="ESCiNormalParagraphChar"/>
        <w:numPr>
          <w:ilvl w:val="0"/>
          <w:numId w:val="25"/>
        </w:numPr>
        <w:spacing w:after="120" w:line="240" w:lineRule="auto"/>
        <w:rPr>
          <w:lang w:eastAsia="en-US"/>
        </w:rPr>
      </w:pPr>
      <w:r>
        <w:rPr>
          <w:lang w:eastAsia="en-US"/>
        </w:rPr>
        <w:t>Kadlec Regional Medical Center</w:t>
      </w:r>
    </w:p>
    <w:p w14:paraId="5C75D550" w14:textId="77777777" w:rsidR="00FF7C99" w:rsidRDefault="00FF7C99" w:rsidP="007705AA">
      <w:pPr>
        <w:pStyle w:val="ESCiNormalParagraphChar"/>
        <w:numPr>
          <w:ilvl w:val="0"/>
          <w:numId w:val="25"/>
        </w:numPr>
        <w:spacing w:after="120" w:line="240" w:lineRule="auto"/>
        <w:rPr>
          <w:lang w:eastAsia="en-US"/>
        </w:rPr>
      </w:pPr>
      <w:r w:rsidRPr="00622AEC">
        <w:rPr>
          <w:lang w:eastAsia="en-US"/>
        </w:rPr>
        <w:t>Trios Southridge Hospital</w:t>
      </w:r>
    </w:p>
    <w:p w14:paraId="2F854251" w14:textId="77777777" w:rsidR="00FF7C99" w:rsidRDefault="00FF7C99" w:rsidP="007705AA">
      <w:pPr>
        <w:pStyle w:val="ESCiNormalParagraphChar"/>
        <w:numPr>
          <w:ilvl w:val="0"/>
          <w:numId w:val="25"/>
        </w:numPr>
        <w:spacing w:after="120" w:line="240" w:lineRule="auto"/>
        <w:rPr>
          <w:lang w:eastAsia="en-US"/>
        </w:rPr>
      </w:pPr>
      <w:r w:rsidRPr="00622AEC">
        <w:rPr>
          <w:lang w:eastAsia="en-US"/>
        </w:rPr>
        <w:t>Kadlec E</w:t>
      </w:r>
      <w:r>
        <w:rPr>
          <w:lang w:eastAsia="en-US"/>
        </w:rPr>
        <w:t xml:space="preserve">mergency </w:t>
      </w:r>
      <w:r w:rsidRPr="00622AEC">
        <w:rPr>
          <w:lang w:eastAsia="en-US"/>
        </w:rPr>
        <w:t>R</w:t>
      </w:r>
      <w:r>
        <w:rPr>
          <w:lang w:eastAsia="en-US"/>
        </w:rPr>
        <w:t>oom,</w:t>
      </w:r>
      <w:r w:rsidRPr="00622AEC">
        <w:rPr>
          <w:lang w:eastAsia="en-US"/>
        </w:rPr>
        <w:t xml:space="preserve"> Kennewick</w:t>
      </w:r>
    </w:p>
    <w:p w14:paraId="264DF89E" w14:textId="77777777" w:rsidR="00FF7C99" w:rsidRDefault="00FF7C99" w:rsidP="00FF7C99">
      <w:pPr>
        <w:pStyle w:val="ESCiNormalParagraphChar"/>
        <w:spacing w:after="120" w:line="240" w:lineRule="auto"/>
        <w:ind w:left="720"/>
        <w:rPr>
          <w:lang w:eastAsia="en-US"/>
        </w:rPr>
      </w:pPr>
    </w:p>
    <w:p w14:paraId="18477B0D" w14:textId="2BA800E5" w:rsidR="00FF7C99" w:rsidRDefault="00FF7C99" w:rsidP="00FF7C99">
      <w:pPr>
        <w:pStyle w:val="ESCiNormalParagraphChar"/>
        <w:rPr>
          <w:lang w:eastAsia="en-US"/>
        </w:rPr>
      </w:pPr>
      <w:r>
        <w:rPr>
          <w:lang w:eastAsia="en-US"/>
        </w:rPr>
        <w:t xml:space="preserve">Two of the receiving EDs are designated trauma centers.  </w:t>
      </w:r>
      <w:r w:rsidRPr="00405B0E">
        <w:rPr>
          <w:lang w:eastAsia="en-US"/>
        </w:rPr>
        <w:t xml:space="preserve">Kadlec Regional Medical Center </w:t>
      </w:r>
      <w:r>
        <w:rPr>
          <w:lang w:eastAsia="en-US"/>
        </w:rPr>
        <w:t xml:space="preserve">is a </w:t>
      </w:r>
      <w:r w:rsidRPr="00405B0E">
        <w:rPr>
          <w:lang w:eastAsia="en-US"/>
        </w:rPr>
        <w:t>Level 3</w:t>
      </w:r>
      <w:r>
        <w:rPr>
          <w:lang w:eastAsia="en-US"/>
        </w:rPr>
        <w:t xml:space="preserve"> trauma center and </w:t>
      </w:r>
      <w:r w:rsidRPr="00405B0E">
        <w:rPr>
          <w:lang w:eastAsia="en-US"/>
        </w:rPr>
        <w:t xml:space="preserve">Trios Southridge Hospital </w:t>
      </w:r>
      <w:r>
        <w:rPr>
          <w:lang w:eastAsia="en-US"/>
        </w:rPr>
        <w:t xml:space="preserve">is </w:t>
      </w:r>
      <w:r w:rsidRPr="00405B0E">
        <w:rPr>
          <w:lang w:eastAsia="en-US"/>
        </w:rPr>
        <w:t>Level 3</w:t>
      </w:r>
      <w:r>
        <w:rPr>
          <w:lang w:eastAsia="en-US"/>
        </w:rPr>
        <w:t xml:space="preserve"> and Pediatric</w:t>
      </w:r>
      <w:r w:rsidRPr="00405B0E">
        <w:rPr>
          <w:lang w:eastAsia="en-US"/>
        </w:rPr>
        <w:t xml:space="preserve"> Level 3</w:t>
      </w:r>
      <w:r>
        <w:rPr>
          <w:lang w:eastAsia="en-US"/>
        </w:rPr>
        <w:t>.  The three d</w:t>
      </w:r>
      <w:r w:rsidRPr="00D573C8">
        <w:rPr>
          <w:lang w:eastAsia="en-US"/>
        </w:rPr>
        <w:t>esignated stroke centers</w:t>
      </w:r>
      <w:r>
        <w:rPr>
          <w:lang w:eastAsia="en-US"/>
        </w:rPr>
        <w:t xml:space="preserve"> are </w:t>
      </w:r>
      <w:r w:rsidRPr="00D573C8">
        <w:rPr>
          <w:lang w:eastAsia="en-US"/>
        </w:rPr>
        <w:t>Lourdes Medical Center</w:t>
      </w:r>
      <w:r w:rsidR="00653926">
        <w:rPr>
          <w:lang w:eastAsia="en-US"/>
        </w:rPr>
        <w:t>,</w:t>
      </w:r>
      <w:r w:rsidRPr="00D573C8">
        <w:rPr>
          <w:lang w:eastAsia="en-US"/>
        </w:rPr>
        <w:t xml:space="preserve"> Level 2</w:t>
      </w:r>
      <w:r w:rsidR="00653926">
        <w:rPr>
          <w:lang w:eastAsia="en-US"/>
        </w:rPr>
        <w:t>;</w:t>
      </w:r>
      <w:r w:rsidRPr="00D573C8">
        <w:rPr>
          <w:lang w:eastAsia="en-US"/>
        </w:rPr>
        <w:t xml:space="preserve"> Trios </w:t>
      </w:r>
      <w:r w:rsidRPr="00C0741F">
        <w:rPr>
          <w:lang w:eastAsia="en-US"/>
        </w:rPr>
        <w:t>Southridge Hospital</w:t>
      </w:r>
      <w:r w:rsidR="00653926">
        <w:rPr>
          <w:lang w:eastAsia="en-US"/>
        </w:rPr>
        <w:t>,</w:t>
      </w:r>
      <w:r w:rsidRPr="00C0741F">
        <w:rPr>
          <w:lang w:eastAsia="en-US"/>
        </w:rPr>
        <w:t xml:space="preserve"> </w:t>
      </w:r>
      <w:r w:rsidR="00653926" w:rsidRPr="00D573C8">
        <w:rPr>
          <w:lang w:eastAsia="en-US"/>
        </w:rPr>
        <w:t>L</w:t>
      </w:r>
      <w:r w:rsidRPr="00D573C8">
        <w:rPr>
          <w:lang w:eastAsia="en-US"/>
        </w:rPr>
        <w:t>evel 2</w:t>
      </w:r>
      <w:r w:rsidR="00653926">
        <w:rPr>
          <w:lang w:eastAsia="en-US"/>
        </w:rPr>
        <w:t>; and</w:t>
      </w:r>
      <w:r w:rsidRPr="00D573C8">
        <w:rPr>
          <w:lang w:eastAsia="en-US"/>
        </w:rPr>
        <w:t xml:space="preserve"> Kadlec </w:t>
      </w:r>
      <w:r w:rsidRPr="00C0741F">
        <w:rPr>
          <w:lang w:eastAsia="en-US"/>
        </w:rPr>
        <w:t>Regional Medical Center</w:t>
      </w:r>
      <w:r w:rsidR="00653926">
        <w:rPr>
          <w:lang w:eastAsia="en-US"/>
        </w:rPr>
        <w:t>,</w:t>
      </w:r>
      <w:r w:rsidRPr="00C0741F">
        <w:rPr>
          <w:lang w:eastAsia="en-US"/>
        </w:rPr>
        <w:t xml:space="preserve"> </w:t>
      </w:r>
      <w:r w:rsidR="00653926" w:rsidRPr="00D573C8">
        <w:rPr>
          <w:lang w:eastAsia="en-US"/>
        </w:rPr>
        <w:t xml:space="preserve">Level </w:t>
      </w:r>
      <w:r w:rsidRPr="00D573C8">
        <w:rPr>
          <w:lang w:eastAsia="en-US"/>
        </w:rPr>
        <w:t>2</w:t>
      </w:r>
      <w:r>
        <w:rPr>
          <w:lang w:eastAsia="en-US"/>
        </w:rPr>
        <w:t xml:space="preserve">.  Transporting EMS </w:t>
      </w:r>
      <w:r w:rsidR="00653926">
        <w:rPr>
          <w:lang w:eastAsia="en-US"/>
        </w:rPr>
        <w:t xml:space="preserve">medic </w:t>
      </w:r>
      <w:r>
        <w:rPr>
          <w:lang w:eastAsia="en-US"/>
        </w:rPr>
        <w:t>units receive o</w:t>
      </w:r>
      <w:r w:rsidRPr="00E50986">
        <w:rPr>
          <w:lang w:eastAsia="en-US"/>
        </w:rPr>
        <w:t xml:space="preserve">n-line medical control </w:t>
      </w:r>
      <w:r w:rsidR="00653926">
        <w:rPr>
          <w:lang w:eastAsia="en-US"/>
        </w:rPr>
        <w:t>from</w:t>
      </w:r>
      <w:r>
        <w:rPr>
          <w:lang w:eastAsia="en-US"/>
        </w:rPr>
        <w:t xml:space="preserve"> the receiving hospital.  Paramedics can consult with receiving hospitals via cellular phone,</w:t>
      </w:r>
      <w:r w:rsidRPr="00D573C8">
        <w:rPr>
          <w:lang w:eastAsia="en-US"/>
        </w:rPr>
        <w:t xml:space="preserve"> </w:t>
      </w:r>
      <w:r w:rsidR="00653926">
        <w:rPr>
          <w:lang w:eastAsia="en-US"/>
        </w:rPr>
        <w:t xml:space="preserve">the </w:t>
      </w:r>
      <w:r w:rsidRPr="00D573C8">
        <w:rPr>
          <w:lang w:eastAsia="en-US"/>
        </w:rPr>
        <w:t>radio HEAR (Hospital Emergency Administrative Radio)</w:t>
      </w:r>
      <w:r>
        <w:rPr>
          <w:lang w:eastAsia="en-US"/>
        </w:rPr>
        <w:t xml:space="preserve"> system</w:t>
      </w:r>
      <w:r w:rsidRPr="00D573C8">
        <w:rPr>
          <w:lang w:eastAsia="en-US"/>
        </w:rPr>
        <w:t xml:space="preserve">, </w:t>
      </w:r>
      <w:r>
        <w:rPr>
          <w:lang w:eastAsia="en-US"/>
        </w:rPr>
        <w:t>and with 12</w:t>
      </w:r>
      <w:r w:rsidR="00653926">
        <w:rPr>
          <w:lang w:eastAsia="en-US"/>
        </w:rPr>
        <w:t>-</w:t>
      </w:r>
      <w:r>
        <w:rPr>
          <w:lang w:eastAsia="en-US"/>
        </w:rPr>
        <w:t>lead</w:t>
      </w:r>
      <w:r w:rsidRPr="00D573C8">
        <w:rPr>
          <w:lang w:eastAsia="en-US"/>
        </w:rPr>
        <w:t xml:space="preserve"> telemetry to K</w:t>
      </w:r>
      <w:r>
        <w:rPr>
          <w:lang w:eastAsia="en-US"/>
        </w:rPr>
        <w:t xml:space="preserve">adlec </w:t>
      </w:r>
      <w:r w:rsidR="00653926">
        <w:rPr>
          <w:lang w:eastAsia="en-US"/>
        </w:rPr>
        <w:t xml:space="preserve">Regional </w:t>
      </w:r>
      <w:r>
        <w:rPr>
          <w:lang w:eastAsia="en-US"/>
        </w:rPr>
        <w:t xml:space="preserve">and Lourdes </w:t>
      </w:r>
      <w:r w:rsidR="00653926">
        <w:rPr>
          <w:lang w:eastAsia="en-US"/>
        </w:rPr>
        <w:t>Medical Cen</w:t>
      </w:r>
      <w:r>
        <w:rPr>
          <w:lang w:eastAsia="en-US"/>
        </w:rPr>
        <w:t>ters.</w:t>
      </w:r>
    </w:p>
    <w:p w14:paraId="0948574D" w14:textId="2EF37ECC" w:rsidR="00FF7C99" w:rsidRDefault="00FF7C99" w:rsidP="00FF7C99">
      <w:pPr>
        <w:rPr>
          <w:lang w:eastAsia="en-US"/>
        </w:rPr>
      </w:pPr>
      <w:r>
        <w:rPr>
          <w:lang w:eastAsia="en-US"/>
        </w:rPr>
        <w:t xml:space="preserve">Innovation, advancement, and the evolution of EMS continue to accelerate.  In the past, training and certification of the public in CPR (Cardio-Pulmonary Resuscitation) and first aid were the only expected EMS outreach services.  Contemporary outreach programs in EMS may involve fall and injury prevention, the treatment and release of patients, follow-up of patients released from the hospital, inoculation clinics, and community health programs.  </w:t>
      </w:r>
      <w:r w:rsidR="00F6572C">
        <w:rPr>
          <w:lang w:eastAsia="en-US"/>
        </w:rPr>
        <w:t>Within the region</w:t>
      </w:r>
      <w:r>
        <w:rPr>
          <w:lang w:eastAsia="en-US"/>
        </w:rPr>
        <w:t xml:space="preserve">, Prosser Medical Center’s ambulance service provides home visits to patients who have been in the hospital.  </w:t>
      </w:r>
      <w:r w:rsidRPr="008402AA">
        <w:rPr>
          <w:lang w:eastAsia="en-US"/>
        </w:rPr>
        <w:t>The purpose of the program is to keep patients from being readmitted to a hospital</w:t>
      </w:r>
      <w:r>
        <w:rPr>
          <w:lang w:eastAsia="en-US"/>
        </w:rPr>
        <w:t>.</w:t>
      </w:r>
    </w:p>
    <w:p w14:paraId="3749D394" w14:textId="59174B01" w:rsidR="00FF7C99" w:rsidRDefault="00FF7C99" w:rsidP="00FF7C99">
      <w:pPr>
        <w:rPr>
          <w:lang w:eastAsia="en-US"/>
        </w:rPr>
      </w:pPr>
      <w:r>
        <w:rPr>
          <w:lang w:eastAsia="en-US"/>
        </w:rPr>
        <w:t>Improvements in technology have made it possible for once cost prohibitive equipment to be available to the public.  It is now common to have relatively inexpensive AEDs (Automated External D</w:t>
      </w:r>
      <w:r w:rsidRPr="009E7042">
        <w:rPr>
          <w:lang w:eastAsia="en-US"/>
        </w:rPr>
        <w:t>efibrillators</w:t>
      </w:r>
      <w:r>
        <w:rPr>
          <w:lang w:eastAsia="en-US"/>
        </w:rPr>
        <w:t xml:space="preserve">) deployed in businesses and places of public assembly.  To increase the chance for survival requires a person trained in the use of an AED and/or CPR.  </w:t>
      </w:r>
      <w:r w:rsidRPr="00E84E1E">
        <w:rPr>
          <w:lang w:eastAsia="en-US"/>
        </w:rPr>
        <w:t xml:space="preserve">Scientific studies demonstrate when CPR </w:t>
      </w:r>
      <w:r w:rsidR="00653926">
        <w:rPr>
          <w:lang w:eastAsia="en-US"/>
        </w:rPr>
        <w:t xml:space="preserve">is </w:t>
      </w:r>
      <w:r w:rsidRPr="00E84E1E">
        <w:rPr>
          <w:lang w:eastAsia="en-US"/>
        </w:rPr>
        <w:t xml:space="preserve">performed according to guidelines, the chances of successful resuscitation increase substantially.  Minimal breaks in compressions, full chest recoil, adequate compression depth, and adequate compression rate are all components of CPR that can increase survival from cardiac arrest.  </w:t>
      </w:r>
    </w:p>
    <w:p w14:paraId="2646ADDB" w14:textId="74A19D2B" w:rsidR="00FF7C99" w:rsidRPr="00F92898" w:rsidRDefault="00FF7C99" w:rsidP="00FF7C99">
      <w:pPr>
        <w:rPr>
          <w:lang w:eastAsia="en-US"/>
        </w:rPr>
      </w:pPr>
      <w:r>
        <w:rPr>
          <w:lang w:eastAsia="en-US"/>
        </w:rPr>
        <w:t>SCA (Sudden Cardiac Arrest)</w:t>
      </w:r>
      <w:r w:rsidRPr="00F92898">
        <w:rPr>
          <w:lang w:eastAsia="en-US"/>
        </w:rPr>
        <w:t xml:space="preserve"> can happen to anyone, at any time</w:t>
      </w:r>
      <w:r w:rsidR="00653926">
        <w:rPr>
          <w:lang w:eastAsia="en-US"/>
        </w:rPr>
        <w:t>;</w:t>
      </w:r>
      <w:r w:rsidRPr="00F92898">
        <w:rPr>
          <w:lang w:eastAsia="en-US"/>
        </w:rPr>
        <w:t xml:space="preserve"> CPR-trained citizens </w:t>
      </w:r>
      <w:r>
        <w:rPr>
          <w:lang w:eastAsia="en-US"/>
        </w:rPr>
        <w:t xml:space="preserve">have been improving </w:t>
      </w:r>
      <w:r w:rsidRPr="00F92898">
        <w:rPr>
          <w:lang w:eastAsia="en-US"/>
        </w:rPr>
        <w:t xml:space="preserve">patient outcomes and </w:t>
      </w:r>
      <w:r>
        <w:rPr>
          <w:lang w:eastAsia="en-US"/>
        </w:rPr>
        <w:t xml:space="preserve">saved many </w:t>
      </w:r>
      <w:r w:rsidRPr="00F92898">
        <w:rPr>
          <w:lang w:eastAsia="en-US"/>
        </w:rPr>
        <w:t>lives by reducing collapse-to-CPR and collapse-to-deﬁbrillation times.</w:t>
      </w:r>
      <w:r>
        <w:rPr>
          <w:lang w:eastAsia="en-US"/>
        </w:rPr>
        <w:t xml:space="preserve">  S</w:t>
      </w:r>
      <w:r w:rsidRPr="00F92898">
        <w:rPr>
          <w:lang w:eastAsia="en-US"/>
        </w:rPr>
        <w:t xml:space="preserve">martphone </w:t>
      </w:r>
      <w:r>
        <w:rPr>
          <w:lang w:eastAsia="en-US"/>
        </w:rPr>
        <w:t>applications are available that alert CPR-trained bystanders to someone having a</w:t>
      </w:r>
      <w:r w:rsidR="00653926">
        <w:rPr>
          <w:lang w:eastAsia="en-US"/>
        </w:rPr>
        <w:t>n</w:t>
      </w:r>
      <w:r>
        <w:rPr>
          <w:lang w:eastAsia="en-US"/>
        </w:rPr>
        <w:t xml:space="preserve"> SCA that may require CPR.</w:t>
      </w:r>
      <w:r w:rsidRPr="00F92898">
        <w:rPr>
          <w:lang w:eastAsia="en-US"/>
        </w:rPr>
        <w:t xml:space="preserve"> </w:t>
      </w:r>
      <w:r>
        <w:rPr>
          <w:lang w:eastAsia="en-US"/>
        </w:rPr>
        <w:t xml:space="preserve"> Activation by the public safety communication center occurs simultaneous with </w:t>
      </w:r>
      <w:r w:rsidRPr="00F92898">
        <w:rPr>
          <w:lang w:eastAsia="en-US"/>
        </w:rPr>
        <w:t>the dispatch of EMS resources.</w:t>
      </w:r>
      <w:r>
        <w:rPr>
          <w:lang w:eastAsia="en-US"/>
        </w:rPr>
        <w:t xml:space="preserve">  Notification includes the locations of AED (automatic external defibrillators) with real-time mapping of nearby devices.  Activation of the app </w:t>
      </w:r>
      <w:r w:rsidR="00653926">
        <w:rPr>
          <w:lang w:eastAsia="en-US"/>
        </w:rPr>
        <w:t>happens</w:t>
      </w:r>
      <w:r>
        <w:rPr>
          <w:lang w:eastAsia="en-US"/>
        </w:rPr>
        <w:t xml:space="preserve"> only if the event is occurring in a public place (the application is not activated for residential addresses).</w:t>
      </w:r>
    </w:p>
    <w:tbl>
      <w:tblPr>
        <w:tblW w:w="0" w:type="auto"/>
        <w:tblLook w:val="00A0" w:firstRow="1" w:lastRow="0" w:firstColumn="1" w:lastColumn="0" w:noHBand="0" w:noVBand="0"/>
      </w:tblPr>
      <w:tblGrid>
        <w:gridCol w:w="9360"/>
      </w:tblGrid>
      <w:tr w:rsidR="00FF7C99" w:rsidRPr="009919F4" w14:paraId="5ABD9A9A" w14:textId="77777777" w:rsidTr="003A60C0">
        <w:tc>
          <w:tcPr>
            <w:tcW w:w="9360" w:type="dxa"/>
            <w:shd w:val="clear" w:color="auto" w:fill="D9D9D9" w:themeFill="background1" w:themeFillShade="D9"/>
          </w:tcPr>
          <w:p w14:paraId="00888347" w14:textId="77777777" w:rsidR="00FF7C99" w:rsidRPr="009919F4" w:rsidRDefault="00FF7C99" w:rsidP="003A60C0">
            <w:pPr>
              <w:keepNext/>
              <w:keepLines/>
              <w:spacing w:after="0" w:line="360" w:lineRule="auto"/>
              <w:rPr>
                <w:rFonts w:asciiTheme="majorHAnsi" w:eastAsia="Times New Roman" w:hAnsiTheme="majorHAnsi" w:cs="Calibri"/>
                <w:b/>
              </w:rPr>
            </w:pPr>
            <w:r w:rsidRPr="009919F4">
              <w:rPr>
                <w:rFonts w:asciiTheme="majorHAnsi" w:eastAsia="Times New Roman" w:hAnsiTheme="majorHAnsi" w:cs="Calibri"/>
                <w:b/>
              </w:rPr>
              <w:t>Recommendation:</w:t>
            </w:r>
          </w:p>
          <w:p w14:paraId="1020F0AB" w14:textId="77177B58" w:rsidR="00FF7C99" w:rsidRPr="009919F4" w:rsidRDefault="00FF7C99" w:rsidP="007705AA">
            <w:pPr>
              <w:numPr>
                <w:ilvl w:val="0"/>
                <w:numId w:val="25"/>
              </w:numPr>
              <w:spacing w:after="200" w:line="360" w:lineRule="auto"/>
              <w:jc w:val="left"/>
              <w:rPr>
                <w:rFonts w:asciiTheme="majorHAnsi" w:hAnsiTheme="majorHAnsi" w:cs="Arial"/>
              </w:rPr>
            </w:pPr>
            <w:r w:rsidRPr="009919F4">
              <w:rPr>
                <w:rFonts w:asciiTheme="majorHAnsi" w:hAnsiTheme="majorHAnsi" w:cs="Calibri"/>
              </w:rPr>
              <w:t>Deploy a Smartphone app to notify CPR-trained citizens of a S</w:t>
            </w:r>
            <w:r w:rsidR="00B77FCC">
              <w:rPr>
                <w:rFonts w:asciiTheme="majorHAnsi" w:hAnsiTheme="majorHAnsi" w:cs="Calibri"/>
              </w:rPr>
              <w:t xml:space="preserve">udden </w:t>
            </w:r>
            <w:r w:rsidRPr="009919F4">
              <w:rPr>
                <w:rFonts w:asciiTheme="majorHAnsi" w:hAnsiTheme="majorHAnsi" w:cs="Calibri"/>
              </w:rPr>
              <w:t>C</w:t>
            </w:r>
            <w:r w:rsidR="00B77FCC">
              <w:rPr>
                <w:rFonts w:asciiTheme="majorHAnsi" w:hAnsiTheme="majorHAnsi" w:cs="Calibri"/>
              </w:rPr>
              <w:t xml:space="preserve">ardiac </w:t>
            </w:r>
            <w:r w:rsidRPr="009919F4">
              <w:rPr>
                <w:rFonts w:asciiTheme="majorHAnsi" w:hAnsiTheme="majorHAnsi" w:cs="Calibri"/>
              </w:rPr>
              <w:t>A</w:t>
            </w:r>
            <w:r w:rsidR="00B77FCC">
              <w:rPr>
                <w:rFonts w:asciiTheme="majorHAnsi" w:hAnsiTheme="majorHAnsi" w:cs="Calibri"/>
              </w:rPr>
              <w:t>rrest</w:t>
            </w:r>
            <w:r w:rsidR="00653926">
              <w:rPr>
                <w:rFonts w:asciiTheme="majorHAnsi" w:hAnsiTheme="majorHAnsi" w:cs="Calibri"/>
              </w:rPr>
              <w:t xml:space="preserve"> incident</w:t>
            </w:r>
            <w:r w:rsidRPr="009919F4">
              <w:rPr>
                <w:rFonts w:asciiTheme="majorHAnsi" w:hAnsiTheme="majorHAnsi" w:cs="Calibri"/>
              </w:rPr>
              <w:t>.</w:t>
            </w:r>
          </w:p>
        </w:tc>
      </w:tr>
    </w:tbl>
    <w:p w14:paraId="36E0DA0E" w14:textId="77777777" w:rsidR="00FF7C99" w:rsidRDefault="00FF7C99" w:rsidP="00FF7C99">
      <w:pPr>
        <w:pStyle w:val="ESCiNormalParagraphChar"/>
        <w:rPr>
          <w:lang w:eastAsia="en-US"/>
        </w:rPr>
      </w:pPr>
    </w:p>
    <w:p w14:paraId="196416C4" w14:textId="77777777" w:rsidR="00817349" w:rsidRDefault="00817349">
      <w:pPr>
        <w:spacing w:after="200"/>
        <w:jc w:val="left"/>
        <w:rPr>
          <w:rFonts w:eastAsiaTheme="majorEastAsia" w:cs="Calibri"/>
          <w:bCs/>
          <w:caps/>
          <w:color w:val="808080" w:themeColor="background1" w:themeShade="80"/>
          <w:sz w:val="24"/>
          <w:szCs w:val="26"/>
        </w:rPr>
      </w:pPr>
      <w:r>
        <w:rPr>
          <w:rFonts w:cs="Calibri"/>
        </w:rPr>
        <w:br w:type="page"/>
      </w:r>
    </w:p>
    <w:p w14:paraId="3F3C615A" w14:textId="77777777" w:rsidR="00555176" w:rsidRPr="00555176" w:rsidRDefault="00555176" w:rsidP="00E474E2">
      <w:pPr>
        <w:pStyle w:val="Heading2"/>
        <w:rPr>
          <w:rFonts w:eastAsia="Times New Roman"/>
        </w:rPr>
      </w:pPr>
      <w:bookmarkStart w:id="156" w:name="_Toc447483936"/>
      <w:bookmarkStart w:id="157" w:name="_Toc464323570"/>
      <w:r w:rsidRPr="00555176">
        <w:rPr>
          <w:rFonts w:eastAsia="Times New Roman"/>
        </w:rPr>
        <w:t>Hazardous Materials</w:t>
      </w:r>
      <w:bookmarkEnd w:id="156"/>
      <w:bookmarkEnd w:id="157"/>
    </w:p>
    <w:p w14:paraId="0A6F8E71" w14:textId="240EB1FB" w:rsidR="00555176" w:rsidRPr="00555176" w:rsidRDefault="00555176" w:rsidP="00555176">
      <w:pPr>
        <w:rPr>
          <w:rFonts w:eastAsia="Calibri" w:cs="Times New Roman"/>
        </w:rPr>
      </w:pPr>
      <w:r w:rsidRPr="00555176">
        <w:rPr>
          <w:rFonts w:eastAsia="Calibri" w:cs="Times New Roman"/>
        </w:rPr>
        <w:t xml:space="preserve">Hazardous materials response capability had, for many years, been a military mission commonly called nuclear, biological, and chemical (NBC) defense.  With the increased use of chemicals and chemical processes in communities and their shipment throughout the United States, municipal fire departments began adapting this military mission, coining the term “hazardous materials” and adding this capability to the list of services provided to primarily large urban cities in the 1980’s. </w:t>
      </w:r>
    </w:p>
    <w:p w14:paraId="74B8493C" w14:textId="37257BED" w:rsidR="00555176" w:rsidRDefault="00555176" w:rsidP="00555176">
      <w:pPr>
        <w:rPr>
          <w:rFonts w:eastAsia="Calibri" w:cs="Times New Roman"/>
        </w:rPr>
      </w:pPr>
      <w:r w:rsidRPr="00555176">
        <w:rPr>
          <w:rFonts w:eastAsia="Calibri" w:cs="Times New Roman"/>
        </w:rPr>
        <w:t>Since 9-11, the possibility of intentional hazardous materials releases caused many fire departments to add this capability regardless of the size of the community served, mostly in concert with other regional partners.  In turn, the terminology changed, with weapons of mass destruction (WMD) the threat of chemical hazards being expanded to include Chemical, Biological, Radiological and Nuclear (CBRN), which replace</w:t>
      </w:r>
      <w:r w:rsidR="000200D5">
        <w:rPr>
          <w:rFonts w:eastAsia="Calibri" w:cs="Times New Roman"/>
        </w:rPr>
        <w:t>d</w:t>
      </w:r>
      <w:r w:rsidRPr="00555176">
        <w:rPr>
          <w:rFonts w:eastAsia="Calibri" w:cs="Times New Roman"/>
        </w:rPr>
        <w:t xml:space="preserve"> the former acronym NBC</w:t>
      </w:r>
      <w:r w:rsidR="000200D5">
        <w:rPr>
          <w:rFonts w:eastAsia="Calibri" w:cs="Times New Roman"/>
        </w:rPr>
        <w:t xml:space="preserve"> (nuclear, biological, chemical)</w:t>
      </w:r>
      <w:r w:rsidRPr="00555176">
        <w:rPr>
          <w:rFonts w:eastAsia="Calibri" w:cs="Times New Roman"/>
        </w:rPr>
        <w:t xml:space="preserve">. In the military, </w:t>
      </w:r>
      <w:r w:rsidR="000200D5">
        <w:rPr>
          <w:rFonts w:eastAsia="Calibri" w:cs="Times New Roman"/>
        </w:rPr>
        <w:t xml:space="preserve">an “e” was added for </w:t>
      </w:r>
      <w:r w:rsidRPr="00555176">
        <w:rPr>
          <w:rFonts w:eastAsia="Calibri" w:cs="Times New Roman"/>
        </w:rPr>
        <w:t>explosive devices</w:t>
      </w:r>
      <w:r w:rsidR="00C02DBA">
        <w:rPr>
          <w:rFonts w:eastAsia="Calibri" w:cs="Times New Roman"/>
        </w:rPr>
        <w:t>;</w:t>
      </w:r>
      <w:r w:rsidRPr="00555176">
        <w:rPr>
          <w:rFonts w:eastAsia="Calibri" w:cs="Times New Roman"/>
        </w:rPr>
        <w:t xml:space="preserve"> for standardization, the fire service has also expanded to include the “e”. Informally, hazardous materials and CBRNE are essentially one in the same, with CBRNE typically used to describe possible acts of terror and hazardous materials used to describe accidental exposure to civilian populations.</w:t>
      </w:r>
    </w:p>
    <w:p w14:paraId="0F5ACDBD" w14:textId="03CF9CBD" w:rsidR="00F6572C" w:rsidRPr="00555176" w:rsidRDefault="00F6572C" w:rsidP="00555176">
      <w:pPr>
        <w:rPr>
          <w:rFonts w:eastAsia="Calibri" w:cs="Times New Roman"/>
        </w:rPr>
      </w:pPr>
      <w:r>
        <w:rPr>
          <w:rFonts w:eastAsia="Calibri" w:cs="Times New Roman"/>
        </w:rPr>
        <w:t xml:space="preserve">In 2007 and 2008, the Washington Fire Chief’s Association attempted to establish </w:t>
      </w:r>
      <w:r w:rsidR="000200D5" w:rsidRPr="000200D5">
        <w:rPr>
          <w:rFonts w:eastAsia="Calibri" w:cs="Times New Roman"/>
        </w:rPr>
        <w:t>nine regional CBRNE teams dispersed throughout Washington State</w:t>
      </w:r>
      <w:r w:rsidR="000200D5">
        <w:rPr>
          <w:rFonts w:eastAsia="Calibri" w:cs="Times New Roman"/>
        </w:rPr>
        <w:t>, along with</w:t>
      </w:r>
      <w:r w:rsidR="000200D5" w:rsidRPr="000200D5">
        <w:rPr>
          <w:rFonts w:eastAsia="Calibri" w:cs="Times New Roman"/>
        </w:rPr>
        <w:t xml:space="preserve"> </w:t>
      </w:r>
      <w:r>
        <w:rPr>
          <w:rFonts w:eastAsia="Calibri" w:cs="Times New Roman"/>
        </w:rPr>
        <w:t>a funding mechanism to e</w:t>
      </w:r>
      <w:r w:rsidR="000200D5">
        <w:rPr>
          <w:rFonts w:eastAsia="Calibri" w:cs="Times New Roman"/>
        </w:rPr>
        <w:t>nsure sustainability</w:t>
      </w:r>
      <w:r>
        <w:rPr>
          <w:rFonts w:eastAsia="Calibri" w:cs="Times New Roman"/>
        </w:rPr>
        <w:t xml:space="preserve">.  The intent was to provide a regional </w:t>
      </w:r>
      <w:r w:rsidR="000200D5">
        <w:rPr>
          <w:rFonts w:eastAsia="Calibri" w:cs="Times New Roman"/>
        </w:rPr>
        <w:t xml:space="preserve">response team with technical expertise and equipment.  The teams were to be selected from among applicant fire departments that were well positioned for response within their region, and had already demonstrated some level of expertise or the commitment to achieve that level of expertise. Multiple funding mechanisms were identified to provide for these teams, but proposed legislation was held up in committee.  The economic downturn also hobbled the effort as funds dried up nationally. </w:t>
      </w:r>
    </w:p>
    <w:p w14:paraId="5CDE67E0" w14:textId="563656BB" w:rsidR="00555176" w:rsidRPr="00555176" w:rsidRDefault="00555176" w:rsidP="00555176">
      <w:pPr>
        <w:rPr>
          <w:rFonts w:eastAsia="Times New Roman" w:cs="Times New Roman"/>
          <w:szCs w:val="24"/>
          <w:lang w:eastAsia="en-US"/>
        </w:rPr>
      </w:pPr>
      <w:r w:rsidRPr="00555176">
        <w:rPr>
          <w:rFonts w:eastAsia="Calibri" w:cs="Times New Roman"/>
        </w:rPr>
        <w:t xml:space="preserve">Virtually all fire departments in the United States have received hazardous materials–operations level training, but this does not constitute a hazardous materials team.  A true </w:t>
      </w:r>
      <w:r w:rsidR="00C02DBA">
        <w:rPr>
          <w:rFonts w:eastAsia="Calibri" w:cs="Times New Roman"/>
        </w:rPr>
        <w:t xml:space="preserve">hazardous materials or </w:t>
      </w:r>
      <w:r w:rsidRPr="00555176">
        <w:rPr>
          <w:rFonts w:eastAsia="Calibri" w:cs="Times New Roman"/>
        </w:rPr>
        <w:t xml:space="preserve">haz-mat team is capable of offensive actions once a substance is identified and a proper course of action determined.  Hazardous materials teams are made up of technicians certified in these various risk factors. The most advanced civilian hazardous materials team offensive capability is referred to as </w:t>
      </w:r>
      <w:r w:rsidR="00C02DBA" w:rsidRPr="00555176">
        <w:rPr>
          <w:rFonts w:eastAsia="Calibri" w:cs="Times New Roman"/>
        </w:rPr>
        <w:t xml:space="preserve">Level </w:t>
      </w:r>
      <w:r w:rsidRPr="00555176">
        <w:rPr>
          <w:rFonts w:eastAsia="Calibri" w:cs="Times New Roman"/>
        </w:rPr>
        <w:t>A.</w:t>
      </w:r>
    </w:p>
    <w:p w14:paraId="30F84E77" w14:textId="2332635C" w:rsidR="00E474E2" w:rsidRDefault="00E474E2" w:rsidP="00E474E2">
      <w:pPr>
        <w:pStyle w:val="Heading3"/>
        <w:rPr>
          <w:rFonts w:eastAsia="Times New Roman"/>
          <w:lang w:eastAsia="en-US"/>
        </w:rPr>
      </w:pPr>
      <w:bookmarkStart w:id="158" w:name="_Toc464323571"/>
      <w:r>
        <w:rPr>
          <w:rFonts w:eastAsia="Times New Roman"/>
          <w:lang w:eastAsia="en-US"/>
        </w:rPr>
        <w:t>PFD Infrastructure</w:t>
      </w:r>
      <w:bookmarkEnd w:id="158"/>
    </w:p>
    <w:p w14:paraId="5B43D790" w14:textId="098EACA1" w:rsidR="00555176" w:rsidRPr="00555176" w:rsidRDefault="00555176" w:rsidP="00555176">
      <w:pPr>
        <w:widowControl w:val="0"/>
        <w:rPr>
          <w:rFonts w:eastAsia="Times New Roman" w:cs="Times New Roman"/>
          <w:szCs w:val="24"/>
          <w:lang w:eastAsia="en-US"/>
        </w:rPr>
      </w:pPr>
      <w:r w:rsidRPr="00555176">
        <w:rPr>
          <w:rFonts w:eastAsia="Times New Roman" w:cs="Times New Roman"/>
          <w:szCs w:val="24"/>
          <w:lang w:eastAsia="en-US"/>
        </w:rPr>
        <w:t xml:space="preserve">All firefighters in Pasco are trained to at least the </w:t>
      </w:r>
      <w:r w:rsidR="00C02DBA" w:rsidRPr="00555176">
        <w:rPr>
          <w:rFonts w:eastAsia="Times New Roman" w:cs="Times New Roman"/>
          <w:szCs w:val="24"/>
          <w:lang w:eastAsia="en-US"/>
        </w:rPr>
        <w:t xml:space="preserve">operations </w:t>
      </w:r>
      <w:r w:rsidRPr="00555176">
        <w:rPr>
          <w:rFonts w:eastAsia="Times New Roman" w:cs="Times New Roman"/>
          <w:szCs w:val="24"/>
          <w:lang w:eastAsia="en-US"/>
        </w:rPr>
        <w:t xml:space="preserve">level, but Pasco Fire maintains only minimal resources for decontamination.  Chief </w:t>
      </w:r>
      <w:r w:rsidR="00C02DBA" w:rsidRPr="00555176">
        <w:rPr>
          <w:rFonts w:eastAsia="Times New Roman" w:cs="Times New Roman"/>
          <w:szCs w:val="24"/>
          <w:lang w:eastAsia="en-US"/>
        </w:rPr>
        <w:t xml:space="preserve">officers </w:t>
      </w:r>
      <w:r w:rsidRPr="00555176">
        <w:rPr>
          <w:rFonts w:eastAsia="Times New Roman" w:cs="Times New Roman"/>
          <w:szCs w:val="24"/>
          <w:lang w:eastAsia="en-US"/>
        </w:rPr>
        <w:t>and some company officers are trained to the Haz-Mat Incident Commander and Haz-Mat Safety Officer</w:t>
      </w:r>
      <w:r w:rsidRPr="00555176">
        <w:rPr>
          <w:rFonts w:eastAsia="Calibri" w:cs="Times New Roman"/>
        </w:rPr>
        <w:t xml:space="preserve"> </w:t>
      </w:r>
      <w:r w:rsidRPr="00555176">
        <w:rPr>
          <w:rFonts w:eastAsia="Times New Roman" w:cs="Times New Roman"/>
          <w:szCs w:val="24"/>
          <w:lang w:eastAsia="en-US"/>
        </w:rPr>
        <w:t xml:space="preserve">level. </w:t>
      </w:r>
    </w:p>
    <w:p w14:paraId="54B18B53" w14:textId="4181525D" w:rsidR="00555176" w:rsidRPr="00555176" w:rsidRDefault="00555176" w:rsidP="00555176">
      <w:pPr>
        <w:widowControl w:val="0"/>
        <w:rPr>
          <w:rFonts w:eastAsia="Times New Roman" w:cs="Times New Roman"/>
          <w:szCs w:val="24"/>
          <w:lang w:eastAsia="en-US"/>
        </w:rPr>
      </w:pPr>
      <w:r w:rsidRPr="00555176">
        <w:rPr>
          <w:rFonts w:eastAsia="Times New Roman" w:cs="Times New Roman"/>
          <w:szCs w:val="24"/>
          <w:lang w:eastAsia="en-US"/>
        </w:rPr>
        <w:t xml:space="preserve">Equipment for “plume modeling,” that is, using a computer program to predict, given current weather conditions and the characteristics of the leaking chemical, the spread of a hazardous spill (CAMEO/ALOHA) is maintained by the Franklin County Emergency Manager (FCEM).  A gas monitor is kept on each of Pasco Fire’s Type 1 engines. </w:t>
      </w:r>
    </w:p>
    <w:p w14:paraId="239DD0E8" w14:textId="779B62AB" w:rsidR="00E474E2" w:rsidRDefault="00E474E2" w:rsidP="00E474E2">
      <w:pPr>
        <w:pStyle w:val="Heading3"/>
        <w:rPr>
          <w:rFonts w:eastAsia="Times New Roman"/>
          <w:lang w:eastAsia="en-US"/>
        </w:rPr>
      </w:pPr>
      <w:bookmarkStart w:id="159" w:name="_Toc464323572"/>
      <w:r>
        <w:rPr>
          <w:rFonts w:eastAsia="Times New Roman"/>
          <w:lang w:eastAsia="en-US"/>
        </w:rPr>
        <w:t>Regional Team Make-up</w:t>
      </w:r>
      <w:bookmarkEnd w:id="159"/>
    </w:p>
    <w:p w14:paraId="3A3ACB17" w14:textId="117857FC" w:rsidR="00555176" w:rsidRPr="00555176" w:rsidRDefault="00555176" w:rsidP="00555176">
      <w:pPr>
        <w:widowControl w:val="0"/>
        <w:rPr>
          <w:rFonts w:eastAsia="Times New Roman" w:cs="Times New Roman"/>
          <w:szCs w:val="24"/>
          <w:lang w:eastAsia="en-US"/>
        </w:rPr>
      </w:pPr>
      <w:r w:rsidRPr="00555176">
        <w:rPr>
          <w:rFonts w:eastAsia="Times New Roman" w:cs="Times New Roman"/>
          <w:szCs w:val="24"/>
          <w:lang w:eastAsia="en-US"/>
        </w:rPr>
        <w:t>Pasco Fire is a member of the Tri-County Regional Hazardous Materials Team.  Its major partners are the cities of Kennewick and Richland, locally, and the cities of Yakima and Walla Walla</w:t>
      </w:r>
      <w:r w:rsidR="00C02DBA">
        <w:rPr>
          <w:rFonts w:eastAsia="Times New Roman" w:cs="Times New Roman"/>
          <w:szCs w:val="24"/>
          <w:lang w:eastAsia="en-US"/>
        </w:rPr>
        <w:t>,</w:t>
      </w:r>
      <w:r w:rsidRPr="00555176">
        <w:rPr>
          <w:rFonts w:eastAsia="Times New Roman" w:cs="Times New Roman"/>
          <w:szCs w:val="24"/>
          <w:lang w:eastAsia="en-US"/>
        </w:rPr>
        <w:t xml:space="preserve"> regionally.  Equipment for Levels A and B entries and for </w:t>
      </w:r>
      <w:r w:rsidR="00C02DBA" w:rsidRPr="00555176">
        <w:rPr>
          <w:rFonts w:eastAsia="Times New Roman" w:cs="Times New Roman"/>
          <w:szCs w:val="24"/>
          <w:lang w:eastAsia="en-US"/>
        </w:rPr>
        <w:t xml:space="preserve">decontamination </w:t>
      </w:r>
      <w:r w:rsidRPr="00555176">
        <w:rPr>
          <w:rFonts w:eastAsia="Times New Roman" w:cs="Times New Roman"/>
          <w:szCs w:val="24"/>
          <w:lang w:eastAsia="en-US"/>
        </w:rPr>
        <w:t>are stored in a central trailer on Highway 395 near Kennewick.  PFD maintains six personnel trained to the “Technician” level and tries to assure that at least one of them is on duty every day.  The target for assembling a te</w:t>
      </w:r>
      <w:r w:rsidR="00C02DBA">
        <w:rPr>
          <w:rFonts w:eastAsia="Times New Roman" w:cs="Times New Roman"/>
          <w:szCs w:val="24"/>
          <w:lang w:eastAsia="en-US"/>
        </w:rPr>
        <w:t>am and being prepared to make a Level</w:t>
      </w:r>
      <w:r w:rsidRPr="00555176">
        <w:rPr>
          <w:rFonts w:eastAsia="Times New Roman" w:cs="Times New Roman"/>
          <w:szCs w:val="24"/>
          <w:lang w:eastAsia="en-US"/>
        </w:rPr>
        <w:t xml:space="preserve"> A entry is one hour.</w:t>
      </w:r>
    </w:p>
    <w:p w14:paraId="7C8E0652" w14:textId="584CEEF2" w:rsidR="00555176" w:rsidRPr="00555176" w:rsidRDefault="000200D5" w:rsidP="00555176">
      <w:pPr>
        <w:widowControl w:val="0"/>
        <w:rPr>
          <w:rFonts w:eastAsia="Times New Roman" w:cs="Times New Roman"/>
          <w:szCs w:val="24"/>
          <w:lang w:eastAsia="en-US"/>
        </w:rPr>
      </w:pPr>
      <w:r w:rsidRPr="000200D5">
        <w:rPr>
          <w:rFonts w:eastAsia="Times New Roman" w:cs="Times New Roman"/>
          <w:szCs w:val="24"/>
          <w:lang w:eastAsia="en-US"/>
        </w:rPr>
        <w:t>Because of the presence of a significant Burlington Northern Rail terminal in the area, PFD’s participation in a regional haz-mat team is vital to the community it serves.</w:t>
      </w:r>
      <w:r w:rsidR="00555176" w:rsidRPr="00555176">
        <w:rPr>
          <w:rFonts w:eastAsia="Times New Roman" w:cs="Times New Roman"/>
          <w:szCs w:val="24"/>
          <w:lang w:eastAsia="en-US"/>
        </w:rPr>
        <w:t xml:space="preserve">  Much of the region’s hazardous material</w:t>
      </w:r>
      <w:r w:rsidR="00C02DBA">
        <w:rPr>
          <w:rFonts w:eastAsia="Times New Roman" w:cs="Times New Roman"/>
          <w:szCs w:val="24"/>
          <w:lang w:eastAsia="en-US"/>
        </w:rPr>
        <w:t>s cargo is transported by train</w:t>
      </w:r>
      <w:r w:rsidR="00555176" w:rsidRPr="00555176">
        <w:rPr>
          <w:rFonts w:eastAsia="Times New Roman" w:cs="Times New Roman"/>
          <w:szCs w:val="24"/>
          <w:lang w:eastAsia="en-US"/>
        </w:rPr>
        <w:t xml:space="preserve"> or, alternately, by commercial trucking over the region’s highway system.  Even so, activations of the regional team are estimated to be about once per year.  At that level of activity, no meaningful statistics regarding performance can be developed.</w:t>
      </w:r>
      <w:r w:rsidR="003E5372">
        <w:rPr>
          <w:rFonts w:eastAsia="Times New Roman" w:cs="Times New Roman"/>
          <w:szCs w:val="24"/>
          <w:lang w:eastAsia="en-US"/>
        </w:rPr>
        <w:t xml:space="preserve">  </w:t>
      </w:r>
      <w:r w:rsidR="003E5372" w:rsidRPr="003E5372">
        <w:rPr>
          <w:rFonts w:eastAsia="Times New Roman" w:cs="Times New Roman"/>
          <w:szCs w:val="24"/>
          <w:lang w:eastAsia="en-US"/>
        </w:rPr>
        <w:t>As part of the pre-planning process for a possible hazardous materials incident, many communities perform a “Commodity Flow Study” with the purpose of identifying the kinds and amounts of hazardous products that typically pass through the region.  To</w:t>
      </w:r>
      <w:r w:rsidR="00C02DBA">
        <w:rPr>
          <w:rFonts w:eastAsia="Times New Roman" w:cs="Times New Roman"/>
          <w:szCs w:val="24"/>
          <w:lang w:eastAsia="en-US"/>
        </w:rPr>
        <w:t xml:space="preserve"> ESCI’s</w:t>
      </w:r>
      <w:r w:rsidR="003E5372" w:rsidRPr="003E5372">
        <w:rPr>
          <w:rFonts w:eastAsia="Times New Roman" w:cs="Times New Roman"/>
          <w:szCs w:val="24"/>
          <w:lang w:eastAsia="en-US"/>
        </w:rPr>
        <w:t xml:space="preserve"> knowledge such a study has not been </w:t>
      </w:r>
      <w:r w:rsidR="00C02DBA">
        <w:rPr>
          <w:rFonts w:eastAsia="Times New Roman" w:cs="Times New Roman"/>
          <w:szCs w:val="24"/>
          <w:lang w:eastAsia="en-US"/>
        </w:rPr>
        <w:t>conducted</w:t>
      </w:r>
      <w:r w:rsidR="003E5372" w:rsidRPr="003E5372">
        <w:rPr>
          <w:rFonts w:eastAsia="Times New Roman" w:cs="Times New Roman"/>
          <w:szCs w:val="24"/>
          <w:lang w:eastAsia="en-US"/>
        </w:rPr>
        <w:t>.  PFD and the other regional haz</w:t>
      </w:r>
      <w:r w:rsidR="00C02DBA">
        <w:rPr>
          <w:rFonts w:eastAsia="Times New Roman" w:cs="Times New Roman"/>
          <w:szCs w:val="24"/>
          <w:lang w:eastAsia="en-US"/>
        </w:rPr>
        <w:t>-</w:t>
      </w:r>
      <w:r w:rsidR="003E5372" w:rsidRPr="003E5372">
        <w:rPr>
          <w:rFonts w:eastAsia="Times New Roman" w:cs="Times New Roman"/>
          <w:szCs w:val="24"/>
          <w:lang w:eastAsia="en-US"/>
        </w:rPr>
        <w:t xml:space="preserve">mat team partners should ask the Franklin County Emergency Management </w:t>
      </w:r>
      <w:r w:rsidR="00C02DBA" w:rsidRPr="003E5372">
        <w:rPr>
          <w:rFonts w:eastAsia="Times New Roman" w:cs="Times New Roman"/>
          <w:szCs w:val="24"/>
          <w:lang w:eastAsia="en-US"/>
        </w:rPr>
        <w:t xml:space="preserve">Division </w:t>
      </w:r>
      <w:r w:rsidR="003E5372" w:rsidRPr="003E5372">
        <w:rPr>
          <w:rFonts w:eastAsia="Times New Roman" w:cs="Times New Roman"/>
          <w:szCs w:val="24"/>
          <w:lang w:eastAsia="en-US"/>
        </w:rPr>
        <w:t>to coordinate such a study.</w:t>
      </w:r>
    </w:p>
    <w:p w14:paraId="6F95773D" w14:textId="502A659D" w:rsidR="00555176" w:rsidRPr="00555176" w:rsidRDefault="00555176" w:rsidP="00555176">
      <w:pPr>
        <w:widowControl w:val="0"/>
        <w:rPr>
          <w:rFonts w:eastAsia="Times New Roman" w:cs="Times New Roman"/>
          <w:szCs w:val="24"/>
          <w:lang w:eastAsia="en-US"/>
        </w:rPr>
      </w:pPr>
      <w:r w:rsidRPr="00555176">
        <w:rPr>
          <w:rFonts w:eastAsia="Times New Roman" w:cs="Times New Roman"/>
          <w:szCs w:val="24"/>
          <w:lang w:eastAsia="en-US"/>
        </w:rPr>
        <w:t xml:space="preserve">The team participates in a training schedule that meets or exceeds the </w:t>
      </w:r>
      <w:r w:rsidR="00C02DBA" w:rsidRPr="00555176">
        <w:rPr>
          <w:rFonts w:eastAsia="Times New Roman" w:cs="Times New Roman"/>
          <w:szCs w:val="24"/>
          <w:lang w:eastAsia="en-US"/>
        </w:rPr>
        <w:t xml:space="preserve">state’s </w:t>
      </w:r>
      <w:r w:rsidRPr="00555176">
        <w:rPr>
          <w:rFonts w:eastAsia="Times New Roman" w:cs="Times New Roman"/>
          <w:szCs w:val="24"/>
          <w:lang w:eastAsia="en-US"/>
        </w:rPr>
        <w:t>annual maintenance minimums.  Because each of the Tri-</w:t>
      </w:r>
      <w:r w:rsidR="00C02DBA" w:rsidRPr="00555176">
        <w:rPr>
          <w:rFonts w:eastAsia="Times New Roman" w:cs="Times New Roman"/>
          <w:szCs w:val="24"/>
          <w:lang w:eastAsia="en-US"/>
        </w:rPr>
        <w:t xml:space="preserve">Cities </w:t>
      </w:r>
      <w:r w:rsidR="00C02DBA">
        <w:rPr>
          <w:rFonts w:eastAsia="Times New Roman" w:cs="Times New Roman"/>
          <w:szCs w:val="24"/>
          <w:lang w:eastAsia="en-US"/>
        </w:rPr>
        <w:t>is</w:t>
      </w:r>
      <w:r w:rsidRPr="00555176">
        <w:rPr>
          <w:rFonts w:eastAsia="Times New Roman" w:cs="Times New Roman"/>
          <w:szCs w:val="24"/>
          <w:lang w:eastAsia="en-US"/>
        </w:rPr>
        <w:t xml:space="preserve"> actively involved, each department takes the lead in planning and providing a monthly Haz-Mat training drill on a rotating basis.  Because each of the departments provides a monthly drill, a team member fr</w:t>
      </w:r>
      <w:r w:rsidR="00CA5826">
        <w:rPr>
          <w:rFonts w:eastAsia="Times New Roman" w:cs="Times New Roman"/>
          <w:szCs w:val="24"/>
          <w:lang w:eastAsia="en-US"/>
        </w:rPr>
        <w:t>om Pasco who misses the Pasco drill</w:t>
      </w:r>
      <w:r w:rsidRPr="00555176">
        <w:rPr>
          <w:rFonts w:eastAsia="Times New Roman" w:cs="Times New Roman"/>
          <w:szCs w:val="24"/>
          <w:lang w:eastAsia="en-US"/>
        </w:rPr>
        <w:t xml:space="preserve"> can “make up” th</w:t>
      </w:r>
      <w:r w:rsidR="00CA5826">
        <w:rPr>
          <w:rFonts w:eastAsia="Times New Roman" w:cs="Times New Roman"/>
          <w:szCs w:val="24"/>
          <w:lang w:eastAsia="en-US"/>
        </w:rPr>
        <w:t>e training with one of the</w:t>
      </w:r>
      <w:r w:rsidRPr="00555176">
        <w:rPr>
          <w:rFonts w:eastAsia="Times New Roman" w:cs="Times New Roman"/>
          <w:szCs w:val="24"/>
          <w:lang w:eastAsia="en-US"/>
        </w:rPr>
        <w:t xml:space="preserve"> partner</w:t>
      </w:r>
      <w:r w:rsidR="00CA5826">
        <w:rPr>
          <w:rFonts w:eastAsia="Times New Roman" w:cs="Times New Roman"/>
          <w:szCs w:val="24"/>
          <w:lang w:eastAsia="en-US"/>
        </w:rPr>
        <w:t xml:space="preserve"> agencie</w:t>
      </w:r>
      <w:r w:rsidRPr="00555176">
        <w:rPr>
          <w:rFonts w:eastAsia="Times New Roman" w:cs="Times New Roman"/>
          <w:szCs w:val="24"/>
          <w:lang w:eastAsia="en-US"/>
        </w:rPr>
        <w:t xml:space="preserve">s.   </w:t>
      </w:r>
    </w:p>
    <w:p w14:paraId="540C5E50" w14:textId="77777777" w:rsidR="00555176" w:rsidRPr="00555176" w:rsidRDefault="00555176" w:rsidP="00555176">
      <w:pPr>
        <w:widowControl w:val="0"/>
        <w:spacing w:after="0" w:line="240" w:lineRule="auto"/>
        <w:jc w:val="left"/>
        <w:rPr>
          <w:rFonts w:eastAsia="Times New Roman" w:cs="Times New Roman"/>
          <w:szCs w:val="24"/>
          <w:lang w:eastAsia="en-US"/>
        </w:rPr>
      </w:pPr>
    </w:p>
    <w:tbl>
      <w:tblPr>
        <w:tblW w:w="5000" w:type="pct"/>
        <w:jc w:val="center"/>
        <w:tblBorders>
          <w:top w:val="single" w:sz="8" w:space="0" w:color="365F91"/>
          <w:left w:val="single" w:sz="8" w:space="0" w:color="365F91"/>
          <w:bottom w:val="single" w:sz="8" w:space="0" w:color="365F91"/>
          <w:right w:val="single" w:sz="8" w:space="0" w:color="365F91"/>
        </w:tblBorders>
        <w:shd w:val="clear" w:color="auto" w:fill="F0F0F0"/>
        <w:tblLayout w:type="fixed"/>
        <w:tblCellMar>
          <w:top w:w="29" w:type="dxa"/>
          <w:left w:w="144" w:type="dxa"/>
          <w:bottom w:w="29" w:type="dxa"/>
          <w:right w:w="115" w:type="dxa"/>
        </w:tblCellMar>
        <w:tblLook w:val="04A0" w:firstRow="1" w:lastRow="0" w:firstColumn="1" w:lastColumn="0" w:noHBand="0" w:noVBand="1"/>
      </w:tblPr>
      <w:tblGrid>
        <w:gridCol w:w="9619"/>
      </w:tblGrid>
      <w:tr w:rsidR="00555176" w:rsidRPr="00555176" w14:paraId="657F2B4B" w14:textId="77777777" w:rsidTr="00251303">
        <w:trPr>
          <w:trHeight w:val="360"/>
          <w:jc w:val="center"/>
        </w:trPr>
        <w:tc>
          <w:tcPr>
            <w:tcW w:w="9360" w:type="dxa"/>
            <w:tcBorders>
              <w:top w:val="single" w:sz="8" w:space="0" w:color="365F91"/>
              <w:left w:val="single" w:sz="8" w:space="0" w:color="365F91"/>
              <w:bottom w:val="nil"/>
              <w:right w:val="single" w:sz="8" w:space="0" w:color="365F91"/>
            </w:tcBorders>
            <w:shd w:val="clear" w:color="auto" w:fill="F0F0F0"/>
            <w:vAlign w:val="center"/>
            <w:hideMark/>
          </w:tcPr>
          <w:p w14:paraId="798B0657" w14:textId="2F4DF252" w:rsidR="00555176" w:rsidRPr="006331CD" w:rsidRDefault="00251303" w:rsidP="00555176">
            <w:pPr>
              <w:keepNext/>
              <w:keepLines/>
              <w:spacing w:after="0" w:line="240" w:lineRule="auto"/>
              <w:jc w:val="left"/>
              <w:rPr>
                <w:rFonts w:eastAsia="Calibri" w:cs="Times New Roman"/>
                <w:b/>
                <w:caps/>
                <w:lang w:eastAsia="en-US"/>
              </w:rPr>
            </w:pPr>
            <w:r w:rsidRPr="006331CD">
              <w:rPr>
                <w:rFonts w:eastAsia="Calibri" w:cs="Times New Roman"/>
                <w:b/>
                <w:lang w:eastAsia="en-US"/>
              </w:rPr>
              <w:t>Recommendations</w:t>
            </w:r>
            <w:r w:rsidR="00555176" w:rsidRPr="006331CD">
              <w:rPr>
                <w:rFonts w:eastAsia="Calibri" w:cs="Times New Roman"/>
                <w:b/>
                <w:caps/>
                <w:lang w:eastAsia="en-US"/>
              </w:rPr>
              <w:t>:</w:t>
            </w:r>
          </w:p>
        </w:tc>
      </w:tr>
      <w:tr w:rsidR="00555176" w:rsidRPr="00555176" w14:paraId="2318A913" w14:textId="77777777" w:rsidTr="00251303">
        <w:trPr>
          <w:jc w:val="center"/>
        </w:trPr>
        <w:tc>
          <w:tcPr>
            <w:tcW w:w="9360" w:type="dxa"/>
            <w:tcBorders>
              <w:top w:val="nil"/>
              <w:left w:val="single" w:sz="8" w:space="0" w:color="365F91"/>
              <w:bottom w:val="single" w:sz="8" w:space="0" w:color="365F91"/>
              <w:right w:val="single" w:sz="8" w:space="0" w:color="365F91"/>
            </w:tcBorders>
            <w:shd w:val="clear" w:color="auto" w:fill="F0F0F0"/>
            <w:tcMar>
              <w:top w:w="29" w:type="dxa"/>
              <w:left w:w="115" w:type="dxa"/>
              <w:bottom w:w="29" w:type="dxa"/>
              <w:right w:w="115" w:type="dxa"/>
            </w:tcMar>
            <w:vAlign w:val="center"/>
            <w:hideMark/>
          </w:tcPr>
          <w:p w14:paraId="5AACC778" w14:textId="48D8AA2D" w:rsidR="00555176" w:rsidRPr="006331CD" w:rsidRDefault="00555176" w:rsidP="00D93539">
            <w:pPr>
              <w:keepNext/>
              <w:keepLines/>
              <w:numPr>
                <w:ilvl w:val="0"/>
                <w:numId w:val="17"/>
              </w:numPr>
              <w:spacing w:after="120" w:line="240" w:lineRule="auto"/>
              <w:contextualSpacing/>
              <w:jc w:val="left"/>
              <w:rPr>
                <w:rFonts w:eastAsia="Calibri" w:cs="Times New Roman"/>
                <w:color w:val="000000"/>
                <w:lang w:eastAsia="en-US"/>
              </w:rPr>
            </w:pPr>
            <w:r w:rsidRPr="006331CD">
              <w:rPr>
                <w:rFonts w:eastAsia="Calibri" w:cs="Times New Roman"/>
                <w:color w:val="000000"/>
                <w:lang w:eastAsia="en-US"/>
              </w:rPr>
              <w:t>Maintain a</w:t>
            </w:r>
            <w:r w:rsidR="00EE4DC4" w:rsidRPr="006331CD">
              <w:rPr>
                <w:rFonts w:eastAsia="Calibri" w:cs="Times New Roman"/>
                <w:color w:val="000000"/>
                <w:lang w:eastAsia="en-US"/>
              </w:rPr>
              <w:t xml:space="preserve"> hazardous materials equipment</w:t>
            </w:r>
            <w:r w:rsidRPr="006331CD">
              <w:rPr>
                <w:rFonts w:eastAsia="Calibri" w:cs="Times New Roman"/>
                <w:color w:val="000000"/>
                <w:lang w:eastAsia="en-US"/>
              </w:rPr>
              <w:t xml:space="preserve"> inventory that includes useful life of all equipment for which Pasco Fire is responsible so that replacement, repair, an</w:t>
            </w:r>
            <w:r w:rsidR="00251303" w:rsidRPr="006331CD">
              <w:rPr>
                <w:rFonts w:eastAsia="Calibri" w:cs="Times New Roman"/>
                <w:color w:val="000000"/>
                <w:lang w:eastAsia="en-US"/>
              </w:rPr>
              <w:t>d maintenance can be planned</w:t>
            </w:r>
            <w:r w:rsidR="00CA5826" w:rsidRPr="006331CD">
              <w:rPr>
                <w:rFonts w:eastAsia="Calibri" w:cs="Times New Roman"/>
                <w:color w:val="000000"/>
                <w:lang w:eastAsia="en-US"/>
              </w:rPr>
              <w:t xml:space="preserve"> for</w:t>
            </w:r>
            <w:r w:rsidRPr="006331CD">
              <w:rPr>
                <w:rFonts w:eastAsia="Calibri" w:cs="Times New Roman"/>
                <w:color w:val="000000"/>
                <w:lang w:eastAsia="en-US"/>
              </w:rPr>
              <w:t>.</w:t>
            </w:r>
          </w:p>
          <w:p w14:paraId="316D1DA9" w14:textId="53936717" w:rsidR="00555176" w:rsidRPr="006331CD" w:rsidRDefault="00555176" w:rsidP="00D93539">
            <w:pPr>
              <w:keepNext/>
              <w:keepLines/>
              <w:numPr>
                <w:ilvl w:val="0"/>
                <w:numId w:val="17"/>
              </w:numPr>
              <w:spacing w:after="120" w:line="240" w:lineRule="auto"/>
              <w:contextualSpacing/>
              <w:jc w:val="left"/>
              <w:rPr>
                <w:rFonts w:eastAsia="Calibri" w:cs="Times New Roman"/>
                <w:color w:val="000000"/>
                <w:lang w:eastAsia="en-US"/>
              </w:rPr>
            </w:pPr>
            <w:r w:rsidRPr="006331CD">
              <w:rPr>
                <w:rFonts w:eastAsia="Calibri" w:cs="Times New Roman"/>
                <w:color w:val="000000"/>
                <w:lang w:eastAsia="en-US"/>
              </w:rPr>
              <w:t>Establish and maintain a minimum staffing requirement</w:t>
            </w:r>
            <w:r w:rsidR="00EE4DC4" w:rsidRPr="006331CD">
              <w:rPr>
                <w:rFonts w:eastAsia="Calibri" w:cs="Times New Roman"/>
                <w:color w:val="000000"/>
                <w:lang w:eastAsia="en-US"/>
              </w:rPr>
              <w:t xml:space="preserve"> for the haz-mat technicians</w:t>
            </w:r>
            <w:r w:rsidRPr="006331CD">
              <w:rPr>
                <w:rFonts w:eastAsia="Calibri" w:cs="Times New Roman"/>
                <w:color w:val="000000"/>
                <w:lang w:eastAsia="en-US"/>
              </w:rPr>
              <w:t>.</w:t>
            </w:r>
          </w:p>
          <w:p w14:paraId="06F439AF" w14:textId="2B744B30" w:rsidR="00555176" w:rsidRPr="006331CD" w:rsidRDefault="00555176" w:rsidP="00D93539">
            <w:pPr>
              <w:keepNext/>
              <w:keepLines/>
              <w:numPr>
                <w:ilvl w:val="0"/>
                <w:numId w:val="17"/>
              </w:numPr>
              <w:spacing w:after="120" w:line="240" w:lineRule="auto"/>
              <w:contextualSpacing/>
              <w:jc w:val="left"/>
              <w:rPr>
                <w:rFonts w:eastAsia="Calibri" w:cs="Times New Roman"/>
                <w:color w:val="000000"/>
                <w:lang w:eastAsia="en-US"/>
              </w:rPr>
            </w:pPr>
            <w:r w:rsidRPr="006331CD">
              <w:rPr>
                <w:rFonts w:eastAsia="Calibri" w:cs="Times New Roman"/>
                <w:color w:val="000000"/>
                <w:lang w:eastAsia="en-US"/>
              </w:rPr>
              <w:t xml:space="preserve">Periodically review Pasco’s financial ability to maintain its participation in the regional </w:t>
            </w:r>
            <w:r w:rsidR="00EE4DC4" w:rsidRPr="006331CD">
              <w:rPr>
                <w:rFonts w:eastAsia="Calibri" w:cs="Times New Roman"/>
                <w:color w:val="000000"/>
                <w:lang w:eastAsia="en-US"/>
              </w:rPr>
              <w:t xml:space="preserve">haz-mat </w:t>
            </w:r>
            <w:r w:rsidRPr="006331CD">
              <w:rPr>
                <w:rFonts w:eastAsia="Calibri" w:cs="Times New Roman"/>
                <w:color w:val="000000"/>
                <w:lang w:eastAsia="en-US"/>
              </w:rPr>
              <w:t>team, assessing the cost-benefit ratio.</w:t>
            </w:r>
          </w:p>
          <w:p w14:paraId="4217B8C8" w14:textId="57F19BA0" w:rsidR="003E5372" w:rsidRPr="006331CD" w:rsidRDefault="003E5372" w:rsidP="003E5372">
            <w:pPr>
              <w:keepNext/>
              <w:keepLines/>
              <w:numPr>
                <w:ilvl w:val="0"/>
                <w:numId w:val="17"/>
              </w:numPr>
              <w:spacing w:after="120" w:line="240" w:lineRule="auto"/>
              <w:contextualSpacing/>
              <w:jc w:val="left"/>
              <w:rPr>
                <w:rFonts w:eastAsia="Calibri" w:cs="Times New Roman"/>
                <w:color w:val="000000"/>
                <w:lang w:eastAsia="en-US"/>
              </w:rPr>
            </w:pPr>
            <w:r w:rsidRPr="006331CD">
              <w:rPr>
                <w:rFonts w:eastAsia="Calibri" w:cs="Times New Roman"/>
                <w:color w:val="000000"/>
                <w:lang w:eastAsia="en-US"/>
              </w:rPr>
              <w:t xml:space="preserve">Request that the county emergency manager coordinate a Commodity Flow </w:t>
            </w:r>
            <w:r w:rsidR="00CA5826" w:rsidRPr="006331CD">
              <w:rPr>
                <w:rFonts w:eastAsia="Calibri" w:cs="Times New Roman"/>
                <w:color w:val="000000"/>
                <w:lang w:eastAsia="en-US"/>
              </w:rPr>
              <w:t xml:space="preserve">Study </w:t>
            </w:r>
            <w:r w:rsidRPr="006331CD">
              <w:rPr>
                <w:rFonts w:eastAsia="Calibri" w:cs="Times New Roman"/>
                <w:color w:val="000000"/>
                <w:lang w:eastAsia="en-US"/>
              </w:rPr>
              <w:t>for Pasco and its surrounding neighbors.</w:t>
            </w:r>
          </w:p>
        </w:tc>
      </w:tr>
    </w:tbl>
    <w:p w14:paraId="041AFE45" w14:textId="77777777" w:rsidR="00555176" w:rsidRPr="00555176" w:rsidRDefault="00555176" w:rsidP="00555176">
      <w:pPr>
        <w:widowControl w:val="0"/>
        <w:spacing w:after="0" w:line="240" w:lineRule="auto"/>
        <w:jc w:val="left"/>
        <w:rPr>
          <w:rFonts w:eastAsia="Times New Roman" w:cs="Times New Roman"/>
          <w:szCs w:val="24"/>
          <w:lang w:eastAsia="en-US"/>
        </w:rPr>
      </w:pPr>
    </w:p>
    <w:p w14:paraId="5A6047E5" w14:textId="77777777" w:rsidR="00817349" w:rsidRDefault="00817349">
      <w:pPr>
        <w:spacing w:after="200"/>
        <w:jc w:val="left"/>
        <w:rPr>
          <w:rFonts w:eastAsiaTheme="majorEastAsia" w:cs="Calibri"/>
          <w:bCs/>
          <w:caps/>
          <w:color w:val="808080" w:themeColor="background1" w:themeShade="80"/>
          <w:sz w:val="24"/>
          <w:szCs w:val="26"/>
        </w:rPr>
      </w:pPr>
      <w:r>
        <w:rPr>
          <w:rFonts w:cs="Calibri"/>
        </w:rPr>
        <w:br w:type="page"/>
      </w:r>
    </w:p>
    <w:p w14:paraId="3AB2FE20" w14:textId="77777777" w:rsidR="00817349" w:rsidRPr="00817349" w:rsidRDefault="00817349" w:rsidP="00817349">
      <w:pPr>
        <w:pStyle w:val="Heading2"/>
        <w:pageBreakBefore/>
        <w:rPr>
          <w:rFonts w:cs="Calibri"/>
        </w:rPr>
      </w:pPr>
      <w:bookmarkStart w:id="160" w:name="_Toc464323573"/>
      <w:r>
        <w:rPr>
          <w:rFonts w:cs="Calibri"/>
        </w:rPr>
        <w:t>Technical Rescue</w:t>
      </w:r>
      <w:bookmarkEnd w:id="160"/>
    </w:p>
    <w:p w14:paraId="5C7A2C12" w14:textId="77777777" w:rsidR="00D246C9" w:rsidRDefault="00555176" w:rsidP="00555176">
      <w:pPr>
        <w:rPr>
          <w:rFonts w:eastAsia="Calibri" w:cs="Arial"/>
        </w:rPr>
      </w:pPr>
      <w:r w:rsidRPr="00555176">
        <w:rPr>
          <w:rFonts w:eastAsia="Calibri" w:cs="Arial"/>
        </w:rPr>
        <w:t xml:space="preserve">Technical rescue is the term applied collectively to several rescue disciplines that require training and certifications in excess of those generally held by most firefighters. </w:t>
      </w:r>
    </w:p>
    <w:p w14:paraId="09C187B8" w14:textId="522894B6" w:rsidR="00D246C9" w:rsidRDefault="00D246C9" w:rsidP="00D246C9">
      <w:pPr>
        <w:pStyle w:val="Heading3"/>
        <w:rPr>
          <w:rFonts w:eastAsia="Calibri"/>
        </w:rPr>
      </w:pPr>
      <w:bookmarkStart w:id="161" w:name="_Toc464323574"/>
      <w:r>
        <w:rPr>
          <w:rFonts w:eastAsia="Calibri"/>
        </w:rPr>
        <w:t>Types of Technical Rescue</w:t>
      </w:r>
      <w:bookmarkEnd w:id="161"/>
    </w:p>
    <w:p w14:paraId="15497D36" w14:textId="7D43CD53" w:rsidR="00555176" w:rsidRPr="00555176" w:rsidRDefault="00555176" w:rsidP="00555176">
      <w:pPr>
        <w:rPr>
          <w:rFonts w:eastAsia="Calibri" w:cs="Arial"/>
        </w:rPr>
      </w:pPr>
      <w:r w:rsidRPr="00555176">
        <w:rPr>
          <w:rFonts w:eastAsia="Calibri" w:cs="Arial"/>
        </w:rPr>
        <w:t>Building collapse is one of the technical rescue disciplines. As the name suggests, it relates to the advanced ability to determine if a building is in danger of collapse (after a fire or an explosion for example) and training in the techniques used to stabilize a compromised structure so that other firefighting tasks (such as rescue or extinguishment) can be performed safely.</w:t>
      </w:r>
    </w:p>
    <w:p w14:paraId="3F553BBC" w14:textId="75AAD4A4" w:rsidR="00555176" w:rsidRPr="00555176" w:rsidRDefault="00555176" w:rsidP="00555176">
      <w:pPr>
        <w:rPr>
          <w:rFonts w:eastAsia="Calibri" w:cs="Arial"/>
        </w:rPr>
      </w:pPr>
      <w:r w:rsidRPr="00555176">
        <w:rPr>
          <w:rFonts w:eastAsia="Calibri" w:cs="Arial"/>
        </w:rPr>
        <w:t xml:space="preserve">Trench rescue is another technical specialty. Personnel trained in this area have special skills in the area of shoring up a collapsed trench or hole. Confined space rescue, similar to trench rescue, focuses on a likely rigid space, above or below grade, that may have an oxygen deficient or toxic atmosphere and requires special care in rescuing trapped victims. High-angle rescue is the discipline </w:t>
      </w:r>
      <w:r w:rsidR="00CA5826">
        <w:rPr>
          <w:rFonts w:eastAsia="Calibri" w:cs="Arial"/>
        </w:rPr>
        <w:t>that</w:t>
      </w:r>
      <w:r w:rsidRPr="00555176">
        <w:rPr>
          <w:rFonts w:eastAsia="Calibri" w:cs="Arial"/>
        </w:rPr>
        <w:t xml:space="preserve"> addresses the rescuing of victims over the sides of cliffs, down steep embankments, or from building locations that cannot be reached by means of a ladder.</w:t>
      </w:r>
    </w:p>
    <w:p w14:paraId="43E18133" w14:textId="503A6CED" w:rsidR="00555176" w:rsidRPr="00555176" w:rsidRDefault="00555176" w:rsidP="00555176">
      <w:pPr>
        <w:rPr>
          <w:rFonts w:eastAsia="Calibri" w:cs="Arial"/>
        </w:rPr>
      </w:pPr>
      <w:r w:rsidRPr="00555176">
        <w:rPr>
          <w:rFonts w:eastAsia="Calibri" w:cs="Arial"/>
        </w:rPr>
        <w:t>Some departments include swift water rescue as a part of its technical rescue operations. Other departments consider water rescue to be a rescue discipline separate from technical rescue.</w:t>
      </w:r>
      <w:r w:rsidR="00701DA3">
        <w:rPr>
          <w:rFonts w:eastAsia="Calibri" w:cs="Arial"/>
        </w:rPr>
        <w:t xml:space="preserve">  </w:t>
      </w:r>
      <w:r w:rsidR="00701DA3" w:rsidRPr="00701DA3">
        <w:rPr>
          <w:rFonts w:eastAsia="Calibri" w:cs="Arial"/>
        </w:rPr>
        <w:t>PFD includes water rescue within its technical rescue program.</w:t>
      </w:r>
    </w:p>
    <w:p w14:paraId="3D265C91" w14:textId="1A577A9E" w:rsidR="00555176" w:rsidRPr="00555176" w:rsidRDefault="00CA5826" w:rsidP="00555176">
      <w:pPr>
        <w:rPr>
          <w:rFonts w:eastAsia="Calibri" w:cs="Arial"/>
        </w:rPr>
      </w:pPr>
      <w:r>
        <w:rPr>
          <w:rFonts w:eastAsia="Calibri" w:cs="Arial"/>
        </w:rPr>
        <w:t>Although</w:t>
      </w:r>
      <w:r w:rsidR="00555176" w:rsidRPr="00555176">
        <w:rPr>
          <w:rFonts w:eastAsia="Calibri" w:cs="Arial"/>
        </w:rPr>
        <w:t xml:space="preserve"> all firefighters receive training in the area of vehicle extrication, technical rescuers will have advanced training and access to additional tools that make possible the rescue of more elaborately trapped victims (an example of this might be the medical patient trapped under a rail car or a large truck).</w:t>
      </w:r>
    </w:p>
    <w:p w14:paraId="03B9F4C1" w14:textId="50ABCCC0" w:rsidR="00555176" w:rsidRPr="00555176" w:rsidRDefault="00555176" w:rsidP="00555176">
      <w:pPr>
        <w:rPr>
          <w:rFonts w:eastAsia="Calibri" w:cs="Arial"/>
        </w:rPr>
      </w:pPr>
      <w:r w:rsidRPr="00555176">
        <w:rPr>
          <w:rFonts w:eastAsia="Calibri" w:cs="Arial"/>
        </w:rPr>
        <w:t>In some departments</w:t>
      </w:r>
      <w:r w:rsidR="00CA5826">
        <w:rPr>
          <w:rFonts w:eastAsia="Calibri" w:cs="Arial"/>
        </w:rPr>
        <w:t>,</w:t>
      </w:r>
      <w:r w:rsidRPr="00555176">
        <w:rPr>
          <w:rFonts w:eastAsia="Calibri" w:cs="Arial"/>
        </w:rPr>
        <w:t xml:space="preserve"> technical rescue is taken on by </w:t>
      </w:r>
      <w:r w:rsidR="00A81338">
        <w:rPr>
          <w:rFonts w:eastAsia="Calibri" w:cs="Arial"/>
        </w:rPr>
        <w:t xml:space="preserve">interested </w:t>
      </w:r>
      <w:r w:rsidRPr="00555176">
        <w:rPr>
          <w:rFonts w:eastAsia="Calibri" w:cs="Arial"/>
        </w:rPr>
        <w:t>firefighters as an “</w:t>
      </w:r>
      <w:r w:rsidR="00A81338">
        <w:rPr>
          <w:rFonts w:eastAsia="Calibri" w:cs="Arial"/>
        </w:rPr>
        <w:t>additional duty”</w:t>
      </w:r>
      <w:r w:rsidRPr="00555176">
        <w:rPr>
          <w:rFonts w:eastAsia="Calibri" w:cs="Arial"/>
        </w:rPr>
        <w:t xml:space="preserve">. This was more common before the development of state certifications in these disciplines and the realization that poorly trained staff who perform these functions can be a danger to themselves, their co-workers, and the public. Since </w:t>
      </w:r>
      <w:r w:rsidR="00A81338" w:rsidRPr="00A81338">
        <w:rPr>
          <w:rFonts w:eastAsia="Calibri" w:cs="Arial"/>
        </w:rPr>
        <w:t>the terrorist attacks of September 11, 2001,</w:t>
      </w:r>
      <w:r w:rsidRPr="00555176">
        <w:rPr>
          <w:rFonts w:eastAsia="Calibri" w:cs="Arial"/>
        </w:rPr>
        <w:t xml:space="preserve"> the federal governm</w:t>
      </w:r>
      <w:r w:rsidR="007974A2">
        <w:rPr>
          <w:rFonts w:eastAsia="Calibri" w:cs="Arial"/>
        </w:rPr>
        <w:t>ent has given financial support</w:t>
      </w:r>
      <w:r w:rsidRPr="00555176">
        <w:rPr>
          <w:rFonts w:eastAsia="Calibri" w:cs="Arial"/>
        </w:rPr>
        <w:t xml:space="preserve"> in</w:t>
      </w:r>
      <w:r w:rsidR="007974A2">
        <w:rPr>
          <w:rFonts w:eastAsia="Calibri" w:cs="Arial"/>
        </w:rPr>
        <w:t xml:space="preserve"> the form of training and tools</w:t>
      </w:r>
      <w:r w:rsidRPr="00555176">
        <w:rPr>
          <w:rFonts w:eastAsia="Calibri" w:cs="Arial"/>
        </w:rPr>
        <w:t xml:space="preserve"> to fire departments around the country to develop and improve their urban search and rescue (USAR) teams. These are teams made up </w:t>
      </w:r>
      <w:r w:rsidR="007974A2">
        <w:rPr>
          <w:rFonts w:eastAsia="Calibri" w:cs="Arial"/>
        </w:rPr>
        <w:t>of firefighters trained in some or all</w:t>
      </w:r>
      <w:r w:rsidRPr="00555176">
        <w:rPr>
          <w:rFonts w:eastAsia="Calibri" w:cs="Arial"/>
        </w:rPr>
        <w:t xml:space="preserve"> of the technical rescue disciplines described above.</w:t>
      </w:r>
    </w:p>
    <w:p w14:paraId="14810298" w14:textId="5758E5AE" w:rsidR="00D246C9" w:rsidRDefault="00D246C9" w:rsidP="00D246C9">
      <w:pPr>
        <w:pStyle w:val="Heading3"/>
        <w:rPr>
          <w:rFonts w:eastAsia="Calibri"/>
        </w:rPr>
      </w:pPr>
      <w:bookmarkStart w:id="162" w:name="_Toc464323575"/>
      <w:r>
        <w:rPr>
          <w:rFonts w:eastAsia="Calibri"/>
        </w:rPr>
        <w:t>Technical Rescue Team Configuration</w:t>
      </w:r>
      <w:bookmarkEnd w:id="162"/>
    </w:p>
    <w:p w14:paraId="0FEF4DEF" w14:textId="32889712" w:rsidR="00555176" w:rsidRPr="00555176" w:rsidRDefault="007974A2" w:rsidP="00555176">
      <w:pPr>
        <w:rPr>
          <w:rFonts w:eastAsia="Calibri" w:cs="Arial"/>
        </w:rPr>
      </w:pPr>
      <w:r>
        <w:rPr>
          <w:rFonts w:eastAsia="Calibri" w:cs="Arial"/>
        </w:rPr>
        <w:t>PFD’s</w:t>
      </w:r>
      <w:r w:rsidR="00555176" w:rsidRPr="00555176">
        <w:rPr>
          <w:rFonts w:eastAsia="Calibri" w:cs="Arial"/>
        </w:rPr>
        <w:t xml:space="preserve"> firefighters all receive training in basic technical rescue skills and are certified to the “</w:t>
      </w:r>
      <w:r w:rsidRPr="00555176">
        <w:rPr>
          <w:rFonts w:eastAsia="Calibri" w:cs="Arial"/>
        </w:rPr>
        <w:t>awareness</w:t>
      </w:r>
      <w:r w:rsidR="00555176" w:rsidRPr="00555176">
        <w:rPr>
          <w:rFonts w:eastAsia="Calibri" w:cs="Arial"/>
        </w:rPr>
        <w:t xml:space="preserve">” level for Structural Collapse Rescue.  Additionally, members of the Technical Rescue Team are trained to the </w:t>
      </w:r>
      <w:r w:rsidRPr="00555176">
        <w:rPr>
          <w:rFonts w:eastAsia="Calibri" w:cs="Arial"/>
        </w:rPr>
        <w:t xml:space="preserve">technician </w:t>
      </w:r>
      <w:r w:rsidR="00555176" w:rsidRPr="00555176">
        <w:rPr>
          <w:rFonts w:eastAsia="Calibri" w:cs="Arial"/>
        </w:rPr>
        <w:t xml:space="preserve">level in specific areas of expertise.  These disciplines are: </w:t>
      </w:r>
      <w:r w:rsidRPr="00555176">
        <w:rPr>
          <w:rFonts w:eastAsia="Calibri" w:cs="Arial"/>
        </w:rPr>
        <w:t>confined space, rope/high angle rescue, trench collapse rescue, and vehicle/machinery rescue</w:t>
      </w:r>
      <w:r w:rsidR="00555176" w:rsidRPr="00555176">
        <w:rPr>
          <w:rFonts w:eastAsia="Calibri" w:cs="Arial"/>
        </w:rPr>
        <w:t>.  Pasco maintains teams in each of these disciplines with personnel often cross-trained in multiple technical rescue specialties. Initial training for team members is through recognized expert providers and on-going training is managed locally and regionally.  Pasco Fire meets or exceeds annual maintenance training standards</w:t>
      </w:r>
      <w:r w:rsidR="00563FD0">
        <w:rPr>
          <w:rFonts w:eastAsia="Calibri" w:cs="Arial"/>
        </w:rPr>
        <w:t>, with team members from each discipline receiving technician level certification. This is the highest level of certification achievable for these technical team members.</w:t>
      </w:r>
    </w:p>
    <w:p w14:paraId="6A8D77AE" w14:textId="36CCF50F" w:rsidR="00555176" w:rsidRPr="00555176" w:rsidRDefault="00555176" w:rsidP="00555176">
      <w:pPr>
        <w:rPr>
          <w:rFonts w:eastAsia="Calibri" w:cs="Arial"/>
        </w:rPr>
      </w:pPr>
      <w:r w:rsidRPr="00555176">
        <w:rPr>
          <w:rFonts w:eastAsia="Calibri" w:cs="Arial"/>
        </w:rPr>
        <w:t xml:space="preserve">While Pasco Fire is still waiting for the delivery of the required boat, it also has members trained to the </w:t>
      </w:r>
      <w:r w:rsidR="007974A2" w:rsidRPr="00555176">
        <w:rPr>
          <w:rFonts w:eastAsia="Calibri" w:cs="Arial"/>
        </w:rPr>
        <w:t xml:space="preserve">technician </w:t>
      </w:r>
      <w:r w:rsidRPr="00555176">
        <w:rPr>
          <w:rFonts w:eastAsia="Calibri" w:cs="Arial"/>
        </w:rPr>
        <w:t xml:space="preserve">level in </w:t>
      </w:r>
      <w:r w:rsidR="007974A2" w:rsidRPr="00555176">
        <w:rPr>
          <w:rFonts w:eastAsia="Calibri" w:cs="Arial"/>
        </w:rPr>
        <w:t>swift water rescu</w:t>
      </w:r>
      <w:r w:rsidRPr="00555176">
        <w:rPr>
          <w:rFonts w:eastAsia="Calibri" w:cs="Arial"/>
        </w:rPr>
        <w:t xml:space="preserve">e and is planning training for firefighters not assigned to the team to provide support for technicians involved in water rescues.  </w:t>
      </w:r>
    </w:p>
    <w:p w14:paraId="50352E58" w14:textId="58C58C6A" w:rsidR="00555176" w:rsidRPr="00555176" w:rsidRDefault="007974A2" w:rsidP="00555176">
      <w:pPr>
        <w:rPr>
          <w:rFonts w:eastAsia="Calibri" w:cs="Arial"/>
        </w:rPr>
      </w:pPr>
      <w:r>
        <w:rPr>
          <w:rFonts w:eastAsia="Calibri" w:cs="Arial"/>
        </w:rPr>
        <w:t>Members of t</w:t>
      </w:r>
      <w:r w:rsidR="00555176" w:rsidRPr="00555176">
        <w:rPr>
          <w:rFonts w:eastAsia="Calibri" w:cs="Arial"/>
        </w:rPr>
        <w:t>he Technical Rescue</w:t>
      </w:r>
      <w:r>
        <w:rPr>
          <w:rFonts w:eastAsia="Calibri" w:cs="Arial"/>
        </w:rPr>
        <w:t xml:space="preserve"> Team</w:t>
      </w:r>
      <w:r w:rsidR="00555176" w:rsidRPr="00555176">
        <w:rPr>
          <w:rFonts w:eastAsia="Calibri" w:cs="Arial"/>
        </w:rPr>
        <w:t xml:space="preserve"> are evenly assigned across the three shifts, and training is scheduled on a monthly basis and coordinated with the Technical Rescue </w:t>
      </w:r>
      <w:r w:rsidRPr="00555176">
        <w:rPr>
          <w:rFonts w:eastAsia="Calibri" w:cs="Arial"/>
        </w:rPr>
        <w:t xml:space="preserve">Teams </w:t>
      </w:r>
      <w:r w:rsidR="00555176" w:rsidRPr="00555176">
        <w:rPr>
          <w:rFonts w:eastAsia="Calibri" w:cs="Arial"/>
        </w:rPr>
        <w:t>in Kennewick and Richland</w:t>
      </w:r>
      <w:r w:rsidR="00563FD0">
        <w:rPr>
          <w:rFonts w:eastAsia="Calibri" w:cs="Arial"/>
        </w:rPr>
        <w:t>. Combined, the technical teams from the Tri-Cities</w:t>
      </w:r>
      <w:r w:rsidR="00A81338">
        <w:rPr>
          <w:rFonts w:eastAsia="Calibri" w:cs="Arial"/>
        </w:rPr>
        <w:t xml:space="preserve"> form a </w:t>
      </w:r>
      <w:r w:rsidR="00563FD0">
        <w:rPr>
          <w:rFonts w:eastAsia="Calibri" w:cs="Arial"/>
        </w:rPr>
        <w:t xml:space="preserve">robust </w:t>
      </w:r>
      <w:r w:rsidR="00A81338">
        <w:rPr>
          <w:rFonts w:eastAsia="Calibri" w:cs="Arial"/>
        </w:rPr>
        <w:t>regional response capability</w:t>
      </w:r>
      <w:r w:rsidR="00555176" w:rsidRPr="00555176">
        <w:rPr>
          <w:rFonts w:eastAsia="Calibri" w:cs="Arial"/>
        </w:rPr>
        <w:t xml:space="preserve">.  As with the Hazardous Materials </w:t>
      </w:r>
      <w:r w:rsidRPr="00555176">
        <w:rPr>
          <w:rFonts w:eastAsia="Calibri" w:cs="Arial"/>
        </w:rPr>
        <w:t>Team</w:t>
      </w:r>
      <w:r w:rsidR="00555176" w:rsidRPr="00555176">
        <w:rPr>
          <w:rFonts w:eastAsia="Calibri" w:cs="Arial"/>
        </w:rPr>
        <w:t xml:space="preserve">, this partnership increases the opportunities for members to access training and provides for each agency’s personnel to become familiar with each other’s members and equipment.  </w:t>
      </w:r>
    </w:p>
    <w:p w14:paraId="233FC189" w14:textId="36FE61A9" w:rsidR="00555176" w:rsidRPr="00555176" w:rsidRDefault="007974A2" w:rsidP="00555176">
      <w:pPr>
        <w:rPr>
          <w:rFonts w:eastAsia="Calibri" w:cs="Arial"/>
        </w:rPr>
      </w:pPr>
      <w:r>
        <w:rPr>
          <w:rFonts w:eastAsia="Calibri" w:cs="Arial"/>
        </w:rPr>
        <w:t>PFD</w:t>
      </w:r>
      <w:r w:rsidR="00555176" w:rsidRPr="00555176">
        <w:rPr>
          <w:rFonts w:eastAsia="Calibri" w:cs="Arial"/>
        </w:rPr>
        <w:t xml:space="preserve"> has a goal of maintaining two technicians in each discipline on each shift as a form of minimum staffing, but this goal is not consistently achieved.    </w:t>
      </w:r>
    </w:p>
    <w:p w14:paraId="5FF056E5" w14:textId="77777777" w:rsidR="00555176" w:rsidRPr="00555176" w:rsidRDefault="00555176" w:rsidP="00555176">
      <w:pPr>
        <w:widowControl w:val="0"/>
        <w:spacing w:after="0" w:line="240" w:lineRule="auto"/>
        <w:jc w:val="left"/>
        <w:rPr>
          <w:rFonts w:eastAsia="Times New Roman" w:cs="Times New Roman"/>
          <w:szCs w:val="24"/>
          <w:lang w:eastAsia="en-US"/>
        </w:rPr>
      </w:pPr>
    </w:p>
    <w:tbl>
      <w:tblPr>
        <w:tblW w:w="5000" w:type="pct"/>
        <w:jc w:val="center"/>
        <w:tblBorders>
          <w:top w:val="single" w:sz="8" w:space="0" w:color="365F91"/>
          <w:left w:val="single" w:sz="8" w:space="0" w:color="365F91"/>
          <w:bottom w:val="single" w:sz="8" w:space="0" w:color="365F91"/>
          <w:right w:val="single" w:sz="8" w:space="0" w:color="365F91"/>
        </w:tblBorders>
        <w:shd w:val="clear" w:color="auto" w:fill="F0F0F0"/>
        <w:tblLayout w:type="fixed"/>
        <w:tblCellMar>
          <w:top w:w="29" w:type="dxa"/>
          <w:left w:w="144" w:type="dxa"/>
          <w:bottom w:w="29" w:type="dxa"/>
          <w:right w:w="115" w:type="dxa"/>
        </w:tblCellMar>
        <w:tblLook w:val="04A0" w:firstRow="1" w:lastRow="0" w:firstColumn="1" w:lastColumn="0" w:noHBand="0" w:noVBand="1"/>
      </w:tblPr>
      <w:tblGrid>
        <w:gridCol w:w="9619"/>
      </w:tblGrid>
      <w:tr w:rsidR="00555176" w:rsidRPr="00555176" w14:paraId="6BBDE74E" w14:textId="77777777" w:rsidTr="007974A2">
        <w:trPr>
          <w:trHeight w:val="360"/>
          <w:jc w:val="center"/>
        </w:trPr>
        <w:tc>
          <w:tcPr>
            <w:tcW w:w="9360" w:type="dxa"/>
            <w:tcBorders>
              <w:top w:val="single" w:sz="8" w:space="0" w:color="365F91"/>
              <w:left w:val="single" w:sz="8" w:space="0" w:color="365F91"/>
              <w:bottom w:val="nil"/>
              <w:right w:val="single" w:sz="8" w:space="0" w:color="365F91"/>
            </w:tcBorders>
            <w:shd w:val="clear" w:color="auto" w:fill="F0F0F0"/>
            <w:vAlign w:val="center"/>
            <w:hideMark/>
          </w:tcPr>
          <w:p w14:paraId="22427CE3" w14:textId="79365CCA" w:rsidR="00555176" w:rsidRPr="006331CD" w:rsidRDefault="007974A2" w:rsidP="00555176">
            <w:pPr>
              <w:keepNext/>
              <w:keepLines/>
              <w:spacing w:after="0" w:line="240" w:lineRule="auto"/>
              <w:jc w:val="left"/>
              <w:rPr>
                <w:rFonts w:eastAsia="Calibri" w:cs="Times New Roman"/>
                <w:b/>
                <w:caps/>
                <w:lang w:eastAsia="en-US"/>
              </w:rPr>
            </w:pPr>
            <w:r w:rsidRPr="006331CD">
              <w:rPr>
                <w:rFonts w:eastAsia="Calibri" w:cs="Times New Roman"/>
                <w:b/>
                <w:lang w:eastAsia="en-US"/>
              </w:rPr>
              <w:t>Recommendations</w:t>
            </w:r>
            <w:r w:rsidR="00555176" w:rsidRPr="006331CD">
              <w:rPr>
                <w:rFonts w:eastAsia="Calibri" w:cs="Times New Roman"/>
                <w:b/>
                <w:caps/>
                <w:lang w:eastAsia="en-US"/>
              </w:rPr>
              <w:t>:</w:t>
            </w:r>
          </w:p>
        </w:tc>
      </w:tr>
      <w:tr w:rsidR="00555176" w:rsidRPr="00555176" w14:paraId="4827BD41" w14:textId="77777777" w:rsidTr="007974A2">
        <w:trPr>
          <w:jc w:val="center"/>
        </w:trPr>
        <w:tc>
          <w:tcPr>
            <w:tcW w:w="9360" w:type="dxa"/>
            <w:tcBorders>
              <w:top w:val="nil"/>
              <w:left w:val="single" w:sz="8" w:space="0" w:color="365F91"/>
              <w:bottom w:val="single" w:sz="8" w:space="0" w:color="365F91"/>
              <w:right w:val="single" w:sz="8" w:space="0" w:color="365F91"/>
            </w:tcBorders>
            <w:shd w:val="clear" w:color="auto" w:fill="F0F0F0"/>
            <w:tcMar>
              <w:top w:w="29" w:type="dxa"/>
              <w:left w:w="115" w:type="dxa"/>
              <w:bottom w:w="29" w:type="dxa"/>
              <w:right w:w="115" w:type="dxa"/>
            </w:tcMar>
            <w:vAlign w:val="center"/>
            <w:hideMark/>
          </w:tcPr>
          <w:p w14:paraId="6F5F892E" w14:textId="77777777" w:rsidR="00555176" w:rsidRPr="006331CD" w:rsidRDefault="00555176" w:rsidP="00D93539">
            <w:pPr>
              <w:keepNext/>
              <w:keepLines/>
              <w:numPr>
                <w:ilvl w:val="0"/>
                <w:numId w:val="17"/>
              </w:numPr>
              <w:spacing w:after="120" w:line="240" w:lineRule="auto"/>
              <w:contextualSpacing/>
              <w:jc w:val="left"/>
              <w:rPr>
                <w:rFonts w:eastAsia="Calibri" w:cs="Times New Roman"/>
                <w:color w:val="000000"/>
                <w:lang w:eastAsia="en-US"/>
              </w:rPr>
            </w:pPr>
            <w:r w:rsidRPr="006331CD">
              <w:rPr>
                <w:rFonts w:eastAsia="Calibri" w:cs="Times New Roman"/>
                <w:color w:val="000000"/>
                <w:lang w:eastAsia="en-US"/>
              </w:rPr>
              <w:t>Maintain an inventory that includes useful life of all equipment for which Pasco Fire is responsible so that replacement, repair, and maintenance can be planned for.</w:t>
            </w:r>
          </w:p>
          <w:p w14:paraId="1252F6D5" w14:textId="4F843107" w:rsidR="00555176" w:rsidRPr="006331CD" w:rsidRDefault="00555176" w:rsidP="00D93539">
            <w:pPr>
              <w:keepNext/>
              <w:keepLines/>
              <w:numPr>
                <w:ilvl w:val="0"/>
                <w:numId w:val="17"/>
              </w:numPr>
              <w:spacing w:after="120" w:line="240" w:lineRule="auto"/>
              <w:contextualSpacing/>
              <w:jc w:val="left"/>
              <w:rPr>
                <w:rFonts w:eastAsia="Calibri" w:cs="Times New Roman"/>
                <w:color w:val="000000"/>
                <w:lang w:eastAsia="en-US"/>
              </w:rPr>
            </w:pPr>
            <w:r w:rsidRPr="006331CD">
              <w:rPr>
                <w:rFonts w:eastAsia="Calibri" w:cs="Times New Roman"/>
                <w:color w:val="000000"/>
                <w:lang w:eastAsia="en-US"/>
              </w:rPr>
              <w:t>Establish and maintain a minimum staffing requirement</w:t>
            </w:r>
            <w:r w:rsidR="00A81338">
              <w:rPr>
                <w:rFonts w:eastAsia="Calibri" w:cs="Times New Roman"/>
                <w:color w:val="000000"/>
                <w:lang w:eastAsia="en-US"/>
              </w:rPr>
              <w:t xml:space="preserve"> for the </w:t>
            </w:r>
            <w:r w:rsidR="00A81338">
              <w:t>Technical Rescue Team</w:t>
            </w:r>
            <w:r w:rsidRPr="006331CD">
              <w:rPr>
                <w:rFonts w:eastAsia="Calibri" w:cs="Times New Roman"/>
                <w:color w:val="000000"/>
                <w:lang w:eastAsia="en-US"/>
              </w:rPr>
              <w:t>.</w:t>
            </w:r>
          </w:p>
          <w:p w14:paraId="13D40746" w14:textId="77777777" w:rsidR="00555176" w:rsidRPr="006331CD" w:rsidRDefault="00555176" w:rsidP="00D93539">
            <w:pPr>
              <w:keepNext/>
              <w:keepLines/>
              <w:numPr>
                <w:ilvl w:val="0"/>
                <w:numId w:val="17"/>
              </w:numPr>
              <w:spacing w:after="120" w:line="240" w:lineRule="auto"/>
              <w:contextualSpacing/>
              <w:jc w:val="left"/>
              <w:rPr>
                <w:rFonts w:eastAsia="Calibri" w:cs="Times New Roman"/>
                <w:color w:val="000000"/>
                <w:lang w:eastAsia="en-US"/>
              </w:rPr>
            </w:pPr>
            <w:r w:rsidRPr="006331CD">
              <w:rPr>
                <w:rFonts w:eastAsia="Calibri" w:cs="Times New Roman"/>
                <w:color w:val="000000"/>
                <w:lang w:eastAsia="en-US"/>
              </w:rPr>
              <w:t>Periodically review Pasco’s financial ability to maintain its participation in the regional team, assessing the cost-benefit ratio.</w:t>
            </w:r>
          </w:p>
        </w:tc>
      </w:tr>
    </w:tbl>
    <w:p w14:paraId="379442A0" w14:textId="77777777" w:rsidR="00555176" w:rsidRPr="00555176" w:rsidRDefault="00555176" w:rsidP="00555176">
      <w:pPr>
        <w:widowControl w:val="0"/>
        <w:spacing w:after="0" w:line="240" w:lineRule="auto"/>
        <w:jc w:val="left"/>
        <w:rPr>
          <w:rFonts w:eastAsia="Times New Roman" w:cs="Times New Roman"/>
          <w:szCs w:val="24"/>
          <w:lang w:eastAsia="en-US"/>
        </w:rPr>
      </w:pPr>
    </w:p>
    <w:p w14:paraId="1EECFEC6" w14:textId="77777777" w:rsidR="00817349" w:rsidRPr="00817349" w:rsidRDefault="00817349" w:rsidP="00817349">
      <w:pPr>
        <w:widowControl w:val="0"/>
        <w:spacing w:after="0" w:line="240" w:lineRule="auto"/>
        <w:jc w:val="left"/>
        <w:rPr>
          <w:rFonts w:eastAsia="Times New Roman" w:cs="Times New Roman"/>
          <w:szCs w:val="24"/>
          <w:lang w:eastAsia="en-US"/>
        </w:rPr>
      </w:pPr>
    </w:p>
    <w:p w14:paraId="04F6C2A2" w14:textId="385FBED9" w:rsidR="00817349" w:rsidRDefault="00817349">
      <w:pPr>
        <w:spacing w:after="200"/>
        <w:jc w:val="left"/>
        <w:rPr>
          <w:rFonts w:cs="Calibri"/>
        </w:rPr>
      </w:pPr>
      <w:r>
        <w:rPr>
          <w:rFonts w:cs="Calibri"/>
        </w:rPr>
        <w:br w:type="page"/>
      </w:r>
    </w:p>
    <w:p w14:paraId="37863B42" w14:textId="77777777" w:rsidR="00D03909" w:rsidRPr="00902801" w:rsidRDefault="00D03909" w:rsidP="00330CB1">
      <w:pPr>
        <w:pStyle w:val="Heading2"/>
      </w:pPr>
      <w:bookmarkStart w:id="163" w:name="_Toc451516687"/>
      <w:bookmarkStart w:id="164" w:name="_Toc464323576"/>
      <w:r w:rsidRPr="00902801">
        <w:t>Airport Impacts</w:t>
      </w:r>
      <w:bookmarkEnd w:id="163"/>
      <w:bookmarkEnd w:id="164"/>
    </w:p>
    <w:p w14:paraId="3D4BBC04" w14:textId="74C609BF" w:rsidR="00D03909" w:rsidRDefault="00D03909" w:rsidP="00A81338">
      <w:pPr>
        <w:rPr>
          <w:color w:val="000000"/>
          <w:szCs w:val="20"/>
        </w:rPr>
      </w:pPr>
      <w:r w:rsidRPr="00902801">
        <w:rPr>
          <w:color w:val="000000"/>
          <w:szCs w:val="20"/>
        </w:rPr>
        <w:t>The Tri-Cities Airport operated by the Port of Pasco serves Southeastern Washington and Northeastern Oregon.  It is now the third largest airport by passenger boarding in the state of Washington with over 300,000 enplanements in 2010</w:t>
      </w:r>
      <w:r w:rsidR="007974A2">
        <w:rPr>
          <w:color w:val="000000"/>
          <w:szCs w:val="20"/>
        </w:rPr>
        <w:t>.</w:t>
      </w:r>
      <w:r w:rsidRPr="00902801">
        <w:rPr>
          <w:rFonts w:cs="Arial"/>
          <w:color w:val="000000"/>
          <w:sz w:val="20"/>
          <w:szCs w:val="20"/>
          <w:vertAlign w:val="superscript"/>
        </w:rPr>
        <w:footnoteReference w:id="18"/>
      </w:r>
      <w:r w:rsidRPr="00902801">
        <w:rPr>
          <w:color w:val="000000"/>
          <w:szCs w:val="20"/>
        </w:rPr>
        <w:t xml:space="preserve">  Since then</w:t>
      </w:r>
      <w:r w:rsidR="007974A2">
        <w:rPr>
          <w:color w:val="000000"/>
          <w:szCs w:val="20"/>
        </w:rPr>
        <w:t>,</w:t>
      </w:r>
      <w:r w:rsidRPr="00902801">
        <w:rPr>
          <w:color w:val="000000"/>
          <w:szCs w:val="20"/>
        </w:rPr>
        <w:t xml:space="preserve"> enplanements have continued to grow to nearly 350,000 in 2015, an increase of </w:t>
      </w:r>
      <w:r w:rsidR="007974A2">
        <w:rPr>
          <w:color w:val="000000"/>
          <w:szCs w:val="20"/>
        </w:rPr>
        <w:t>6</w:t>
      </w:r>
      <w:r w:rsidRPr="00902801">
        <w:rPr>
          <w:color w:val="000000"/>
          <w:szCs w:val="20"/>
        </w:rPr>
        <w:t xml:space="preserve"> percent over 2014</w:t>
      </w:r>
      <w:r w:rsidR="00971353">
        <w:rPr>
          <w:color w:val="000000"/>
          <w:szCs w:val="20"/>
        </w:rPr>
        <w:t xml:space="preserve"> (as illustrated in the following figure)</w:t>
      </w:r>
      <w:r w:rsidRPr="00902801">
        <w:rPr>
          <w:color w:val="000000"/>
          <w:szCs w:val="20"/>
        </w:rPr>
        <w:t xml:space="preserve">.   </w:t>
      </w:r>
    </w:p>
    <w:p w14:paraId="1D78CC2F" w14:textId="79604132" w:rsidR="00D03909" w:rsidRPr="00902801" w:rsidRDefault="00D03909" w:rsidP="00D03909">
      <w:pPr>
        <w:rPr>
          <w:color w:val="000000"/>
          <w:szCs w:val="20"/>
        </w:rPr>
      </w:pPr>
      <w:r w:rsidRPr="00902801">
        <w:rPr>
          <w:color w:val="000000"/>
          <w:szCs w:val="20"/>
        </w:rPr>
        <w:t>Signs point to continued increases in passenger traffic at the airport.  The number of flights continues to swell with the addition of three daily Delta Airlines flights to Seattle and an Alaska Airlines early evening flight to Seattle.  In 2015, the Port of Pasco Tri-Cities Airport was awarded a $750,000 Small Community Air Service Development (SCASD) grant to recruit and support daily, non-stop service to Los Angeles International Airport</w:t>
      </w:r>
      <w:r w:rsidR="00971353">
        <w:rPr>
          <w:color w:val="000000"/>
          <w:szCs w:val="20"/>
        </w:rPr>
        <w:t xml:space="preserve"> (LAX)</w:t>
      </w:r>
      <w:r w:rsidRPr="00902801">
        <w:rPr>
          <w:color w:val="000000"/>
          <w:szCs w:val="20"/>
        </w:rPr>
        <w:t xml:space="preserve">.  Flights to LAX could begin as early as June 2016.  A historical view of passenger enplanements for the past decade is </w:t>
      </w:r>
      <w:r w:rsidR="00971353">
        <w:rPr>
          <w:color w:val="000000"/>
          <w:szCs w:val="20"/>
        </w:rPr>
        <w:t>provided</w:t>
      </w:r>
      <w:r w:rsidRPr="00902801">
        <w:rPr>
          <w:color w:val="000000"/>
          <w:szCs w:val="20"/>
        </w:rPr>
        <w:t xml:space="preserve"> in the following figure.</w:t>
      </w:r>
    </w:p>
    <w:p w14:paraId="3E3DDBAD" w14:textId="24B4ACC2" w:rsidR="00D03909" w:rsidRPr="00902801" w:rsidRDefault="00D03909" w:rsidP="00574D69">
      <w:pPr>
        <w:pStyle w:val="Caption"/>
      </w:pPr>
      <w:bookmarkStart w:id="165" w:name="_Toc464323686"/>
      <w:r w:rsidRPr="00902801">
        <w:t xml:space="preserve">Figure </w:t>
      </w:r>
      <w:r w:rsidR="00432AD4">
        <w:fldChar w:fldCharType="begin"/>
      </w:r>
      <w:r w:rsidR="00432AD4">
        <w:instrText xml:space="preserve"> SEQ Figure \* ARABIC </w:instrText>
      </w:r>
      <w:r w:rsidR="00432AD4">
        <w:fldChar w:fldCharType="separate"/>
      </w:r>
      <w:r w:rsidR="008209A2">
        <w:rPr>
          <w:noProof/>
        </w:rPr>
        <w:t>44</w:t>
      </w:r>
      <w:r w:rsidR="00432AD4">
        <w:rPr>
          <w:noProof/>
        </w:rPr>
        <w:fldChar w:fldCharType="end"/>
      </w:r>
      <w:r w:rsidRPr="00902801">
        <w:t>: Tri-Cities Airport Passenger Enplanements, 2006 – 2015</w:t>
      </w:r>
      <w:bookmarkEnd w:id="165"/>
    </w:p>
    <w:p w14:paraId="662142F4" w14:textId="77777777" w:rsidR="00D03909" w:rsidRPr="00902801" w:rsidRDefault="00D03909" w:rsidP="00D03909">
      <w:pPr>
        <w:jc w:val="center"/>
        <w:rPr>
          <w:color w:val="000000"/>
          <w:szCs w:val="20"/>
        </w:rPr>
      </w:pPr>
      <w:r w:rsidRPr="003E3636">
        <w:rPr>
          <w:noProof/>
          <w:color w:val="000000"/>
          <w:szCs w:val="20"/>
          <w:lang w:eastAsia="en-US"/>
        </w:rPr>
        <w:drawing>
          <wp:inline distT="0" distB="0" distL="0" distR="0" wp14:anchorId="5F3C9B1B" wp14:editId="3749364E">
            <wp:extent cx="4568825" cy="2740025"/>
            <wp:effectExtent l="0" t="0" r="3175" b="3175"/>
            <wp:docPr id="2" name="Chart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251272F1" w14:textId="77777777" w:rsidR="00D03909" w:rsidRPr="00902801" w:rsidRDefault="00D03909" w:rsidP="00D03909">
      <w:pPr>
        <w:rPr>
          <w:color w:val="000000"/>
          <w:szCs w:val="20"/>
        </w:rPr>
      </w:pPr>
      <w:r w:rsidRPr="00902801">
        <w:rPr>
          <w:color w:val="000000"/>
          <w:szCs w:val="20"/>
        </w:rPr>
        <w:t xml:space="preserve">Terminal improvements totaling $41.9 million are continuing.  Phase 1 terminal improvements are complete with Phase 2 on schedule for completion in the summer of 2016.  Phase 3 will run from summer 2016 to January 2017.  </w:t>
      </w:r>
    </w:p>
    <w:p w14:paraId="4FD05B65" w14:textId="77777777" w:rsidR="00D03909" w:rsidRPr="00902801" w:rsidRDefault="00D03909" w:rsidP="00D03909">
      <w:pPr>
        <w:spacing w:after="120"/>
        <w:rPr>
          <w:color w:val="000000"/>
          <w:szCs w:val="20"/>
        </w:rPr>
      </w:pPr>
      <w:r w:rsidRPr="00902801">
        <w:rPr>
          <w:color w:val="000000"/>
          <w:szCs w:val="20"/>
        </w:rPr>
        <w:t>The City of Pasco and the Port of Pasco have entered into a 50-year interlocal agreement for the City to provide ARFF (Aircraft Rescue and Firefighting).  Terms of the most recent iteration of the agreement, dated April 20, 2015, prescribes what each signatory’s responsibility.  Key elements are:</w:t>
      </w:r>
    </w:p>
    <w:p w14:paraId="074F155A" w14:textId="7CB2233B" w:rsidR="00D03909" w:rsidRPr="00902801" w:rsidRDefault="00D03909" w:rsidP="00D93539">
      <w:pPr>
        <w:numPr>
          <w:ilvl w:val="0"/>
          <w:numId w:val="17"/>
        </w:numPr>
        <w:spacing w:after="120" w:line="240" w:lineRule="auto"/>
        <w:rPr>
          <w:color w:val="000000"/>
          <w:szCs w:val="20"/>
        </w:rPr>
      </w:pPr>
      <w:r w:rsidRPr="00902801">
        <w:rPr>
          <w:color w:val="000000"/>
          <w:szCs w:val="20"/>
        </w:rPr>
        <w:t>Port will provide full access to the airport fire station to the City</w:t>
      </w:r>
      <w:r w:rsidR="00971353">
        <w:rPr>
          <w:color w:val="000000"/>
          <w:szCs w:val="20"/>
        </w:rPr>
        <w:t>.</w:t>
      </w:r>
    </w:p>
    <w:p w14:paraId="7FF2C122" w14:textId="58FE893D" w:rsidR="00D03909" w:rsidRPr="00902801" w:rsidRDefault="00D03909" w:rsidP="00D93539">
      <w:pPr>
        <w:numPr>
          <w:ilvl w:val="0"/>
          <w:numId w:val="17"/>
        </w:numPr>
        <w:spacing w:after="120" w:line="240" w:lineRule="auto"/>
        <w:rPr>
          <w:color w:val="000000"/>
          <w:szCs w:val="20"/>
        </w:rPr>
      </w:pPr>
      <w:r w:rsidRPr="00902801">
        <w:rPr>
          <w:color w:val="000000"/>
          <w:szCs w:val="20"/>
        </w:rPr>
        <w:t>City will provide ARFF services</w:t>
      </w:r>
      <w:r w:rsidR="00971353">
        <w:rPr>
          <w:color w:val="000000"/>
          <w:szCs w:val="20"/>
        </w:rPr>
        <w:t>.</w:t>
      </w:r>
    </w:p>
    <w:p w14:paraId="1EE83256" w14:textId="3BD2F999" w:rsidR="00D03909" w:rsidRPr="00902801" w:rsidRDefault="00D03909" w:rsidP="00D93539">
      <w:pPr>
        <w:numPr>
          <w:ilvl w:val="0"/>
          <w:numId w:val="17"/>
        </w:numPr>
        <w:spacing w:after="120" w:line="240" w:lineRule="auto"/>
        <w:rPr>
          <w:color w:val="000000"/>
          <w:szCs w:val="20"/>
        </w:rPr>
      </w:pPr>
      <w:r w:rsidRPr="00902801">
        <w:rPr>
          <w:color w:val="000000"/>
          <w:szCs w:val="20"/>
        </w:rPr>
        <w:t>City provides equipment for firefightin</w:t>
      </w:r>
      <w:r w:rsidR="00971353">
        <w:rPr>
          <w:color w:val="000000"/>
          <w:szCs w:val="20"/>
        </w:rPr>
        <w:t>g, EMS, and hazardous materials.</w:t>
      </w:r>
    </w:p>
    <w:p w14:paraId="4CDFBFD1" w14:textId="27BE3814" w:rsidR="00D03909" w:rsidRPr="00902801" w:rsidRDefault="00D03909" w:rsidP="00D93539">
      <w:pPr>
        <w:numPr>
          <w:ilvl w:val="0"/>
          <w:numId w:val="17"/>
        </w:numPr>
        <w:spacing w:after="120" w:line="240" w:lineRule="auto"/>
        <w:rPr>
          <w:color w:val="000000"/>
          <w:szCs w:val="20"/>
        </w:rPr>
      </w:pPr>
      <w:r w:rsidRPr="00902801">
        <w:rPr>
          <w:color w:val="000000"/>
          <w:szCs w:val="20"/>
        </w:rPr>
        <w:t>Port provides ARFF equipment</w:t>
      </w:r>
      <w:r w:rsidR="00971353">
        <w:rPr>
          <w:color w:val="000000"/>
          <w:szCs w:val="20"/>
        </w:rPr>
        <w:t>.</w:t>
      </w:r>
    </w:p>
    <w:p w14:paraId="3ECEA611" w14:textId="477A1468" w:rsidR="00D03909" w:rsidRPr="00902801" w:rsidRDefault="00D03909" w:rsidP="00D93539">
      <w:pPr>
        <w:numPr>
          <w:ilvl w:val="0"/>
          <w:numId w:val="17"/>
        </w:numPr>
        <w:spacing w:after="120" w:line="240" w:lineRule="auto"/>
        <w:rPr>
          <w:color w:val="000000"/>
          <w:szCs w:val="20"/>
        </w:rPr>
      </w:pPr>
      <w:r w:rsidRPr="00902801">
        <w:rPr>
          <w:color w:val="000000"/>
          <w:szCs w:val="20"/>
        </w:rPr>
        <w:t>Specificities for shared payment of utilities, facility maintenance, training costs, and inspection services</w:t>
      </w:r>
      <w:r w:rsidR="00971353">
        <w:rPr>
          <w:color w:val="000000"/>
          <w:szCs w:val="20"/>
        </w:rPr>
        <w:t>.</w:t>
      </w:r>
    </w:p>
    <w:p w14:paraId="18C5BEA8" w14:textId="2FE725D6" w:rsidR="00D03909" w:rsidRPr="00902801" w:rsidRDefault="00971353" w:rsidP="00D93539">
      <w:pPr>
        <w:numPr>
          <w:ilvl w:val="0"/>
          <w:numId w:val="17"/>
        </w:numPr>
        <w:spacing w:after="120" w:line="240" w:lineRule="auto"/>
        <w:rPr>
          <w:color w:val="000000"/>
          <w:szCs w:val="20"/>
        </w:rPr>
      </w:pPr>
      <w:r>
        <w:rPr>
          <w:color w:val="000000"/>
          <w:szCs w:val="20"/>
        </w:rPr>
        <w:t>Requirements for s</w:t>
      </w:r>
      <w:r w:rsidR="00D03909" w:rsidRPr="00902801">
        <w:rPr>
          <w:color w:val="000000"/>
          <w:szCs w:val="20"/>
        </w:rPr>
        <w:t>taffing and minimum skills qualifications</w:t>
      </w:r>
      <w:r>
        <w:rPr>
          <w:color w:val="000000"/>
          <w:szCs w:val="20"/>
        </w:rPr>
        <w:t>.</w:t>
      </w:r>
    </w:p>
    <w:p w14:paraId="752FFCC2" w14:textId="59D29DF3" w:rsidR="00D03909" w:rsidRPr="00902801" w:rsidRDefault="00D03909" w:rsidP="00D93539">
      <w:pPr>
        <w:numPr>
          <w:ilvl w:val="0"/>
          <w:numId w:val="17"/>
        </w:numPr>
        <w:spacing w:after="240" w:line="240" w:lineRule="auto"/>
        <w:rPr>
          <w:color w:val="000000"/>
          <w:szCs w:val="20"/>
        </w:rPr>
      </w:pPr>
      <w:r w:rsidRPr="00902801">
        <w:rPr>
          <w:color w:val="000000"/>
          <w:szCs w:val="20"/>
        </w:rPr>
        <w:t>Port designates the City Fire Chief to be the Airport Fire Chief</w:t>
      </w:r>
      <w:r w:rsidR="00971353">
        <w:rPr>
          <w:color w:val="000000"/>
          <w:szCs w:val="20"/>
        </w:rPr>
        <w:t>.</w:t>
      </w:r>
    </w:p>
    <w:p w14:paraId="4D00947D" w14:textId="77777777" w:rsidR="00D03909" w:rsidRPr="00902801" w:rsidRDefault="00D03909" w:rsidP="00D03909">
      <w:pPr>
        <w:rPr>
          <w:color w:val="000000"/>
          <w:szCs w:val="20"/>
        </w:rPr>
      </w:pPr>
      <w:r w:rsidRPr="00902801">
        <w:rPr>
          <w:color w:val="000000"/>
          <w:szCs w:val="20"/>
        </w:rPr>
        <w:t xml:space="preserve">In consideration of the services provided by the City to the Port, the Port will compensate the City the amount of $699,996 in 2016.  Increases in payment beginning in 2017 are based on the actual cost of personnel.  </w:t>
      </w:r>
    </w:p>
    <w:p w14:paraId="2A4D5C8C" w14:textId="36FA92F4" w:rsidR="00D03909" w:rsidRPr="00902801" w:rsidRDefault="00D03909" w:rsidP="00D03909">
      <w:pPr>
        <w:rPr>
          <w:color w:val="000000"/>
          <w:szCs w:val="20"/>
        </w:rPr>
      </w:pPr>
      <w:r w:rsidRPr="00902801">
        <w:rPr>
          <w:color w:val="000000"/>
          <w:szCs w:val="20"/>
        </w:rPr>
        <w:t>While ARFF services are required for airport operations, there are benefits to collocating ARFF, EMS, and fire ser</w:t>
      </w:r>
      <w:r w:rsidR="00971353">
        <w:rPr>
          <w:color w:val="000000"/>
          <w:szCs w:val="20"/>
        </w:rPr>
        <w:t xml:space="preserve">vices in an on-site facility.  </w:t>
      </w:r>
      <w:r w:rsidRPr="00902801">
        <w:rPr>
          <w:color w:val="000000"/>
          <w:szCs w:val="20"/>
        </w:rPr>
        <w:t>For the airport, colocation offers more emergency resources within a shorter response time</w:t>
      </w:r>
      <w:r w:rsidR="00971353">
        <w:rPr>
          <w:color w:val="000000"/>
          <w:szCs w:val="20"/>
        </w:rPr>
        <w:t>.  For the Department</w:t>
      </w:r>
      <w:r w:rsidRPr="00902801">
        <w:rPr>
          <w:color w:val="000000"/>
          <w:szCs w:val="20"/>
        </w:rPr>
        <w:t xml:space="preserve">, PFD personnel </w:t>
      </w:r>
      <w:r w:rsidR="00971353">
        <w:rPr>
          <w:color w:val="000000"/>
          <w:szCs w:val="20"/>
        </w:rPr>
        <w:t>can gain a</w:t>
      </w:r>
      <w:r w:rsidRPr="00902801">
        <w:rPr>
          <w:color w:val="000000"/>
          <w:szCs w:val="20"/>
        </w:rPr>
        <w:t xml:space="preserve"> depth of knowledge of the airport property</w:t>
      </w:r>
      <w:r w:rsidR="00971353">
        <w:rPr>
          <w:color w:val="000000"/>
          <w:szCs w:val="20"/>
        </w:rPr>
        <w:t xml:space="preserve">.  For </w:t>
      </w:r>
      <w:r w:rsidRPr="00902801">
        <w:rPr>
          <w:color w:val="000000"/>
          <w:szCs w:val="20"/>
        </w:rPr>
        <w:t>both the Port and City</w:t>
      </w:r>
      <w:r w:rsidR="00971353">
        <w:rPr>
          <w:color w:val="000000"/>
          <w:szCs w:val="20"/>
        </w:rPr>
        <w:t xml:space="preserve">, there are </w:t>
      </w:r>
      <w:r w:rsidRPr="00902801">
        <w:rPr>
          <w:color w:val="000000"/>
          <w:szCs w:val="20"/>
        </w:rPr>
        <w:t>cost sharing</w:t>
      </w:r>
      <w:r w:rsidR="00971353">
        <w:rPr>
          <w:color w:val="000000"/>
          <w:szCs w:val="20"/>
        </w:rPr>
        <w:t xml:space="preserve"> benefits</w:t>
      </w:r>
      <w:r w:rsidRPr="00902801">
        <w:rPr>
          <w:color w:val="000000"/>
          <w:szCs w:val="20"/>
        </w:rPr>
        <w:t xml:space="preserve">.  Requests for ARFF services and response activity at the airport have remained relatively flat.  </w:t>
      </w:r>
    </w:p>
    <w:p w14:paraId="74E4383B" w14:textId="77777777" w:rsidR="00D03909" w:rsidRPr="00902801" w:rsidRDefault="00D03909" w:rsidP="00330CB1">
      <w:pPr>
        <w:pStyle w:val="Heading3"/>
      </w:pPr>
      <w:bookmarkStart w:id="166" w:name="_Toc451516688"/>
      <w:bookmarkStart w:id="167" w:name="_Toc464323577"/>
      <w:r w:rsidRPr="00902801">
        <w:t>Adequacy of the Current ARFF Response Capability at the Tri-Cities Airport</w:t>
      </w:r>
      <w:bookmarkEnd w:id="166"/>
      <w:bookmarkEnd w:id="167"/>
    </w:p>
    <w:p w14:paraId="724E134F" w14:textId="3B9A5DDD" w:rsidR="00D03909" w:rsidRPr="00902801" w:rsidRDefault="00D03909" w:rsidP="003D428A">
      <w:pPr>
        <w:spacing w:after="120"/>
        <w:rPr>
          <w:color w:val="000000"/>
          <w:szCs w:val="20"/>
        </w:rPr>
      </w:pPr>
      <w:r w:rsidRPr="00902801">
        <w:rPr>
          <w:color w:val="000000"/>
          <w:szCs w:val="20"/>
        </w:rPr>
        <w:t xml:space="preserve">Airport and PFD administrators describe a positive working relationship that is beneficial to both parties.  A study of ARFF was conducted by </w:t>
      </w:r>
      <w:r w:rsidR="00971353" w:rsidRPr="00902801">
        <w:rPr>
          <w:color w:val="000000"/>
          <w:szCs w:val="20"/>
        </w:rPr>
        <w:t>Safety &amp; Security Instruction</w:t>
      </w:r>
      <w:r w:rsidRPr="00902801">
        <w:rPr>
          <w:color w:val="000000"/>
          <w:szCs w:val="20"/>
        </w:rPr>
        <w:t xml:space="preserve"> and W.A.M.D.I</w:t>
      </w:r>
      <w:r w:rsidR="00971353">
        <w:rPr>
          <w:color w:val="000000"/>
          <w:szCs w:val="20"/>
        </w:rPr>
        <w:t>.</w:t>
      </w:r>
      <w:r w:rsidRPr="00902801">
        <w:rPr>
          <w:color w:val="000000"/>
          <w:szCs w:val="20"/>
        </w:rPr>
        <w:t xml:space="preserve"> Aviation Consultants, LLC</w:t>
      </w:r>
      <w:r w:rsidR="003D428A">
        <w:rPr>
          <w:color w:val="000000"/>
          <w:szCs w:val="20"/>
        </w:rPr>
        <w:t>,</w:t>
      </w:r>
      <w:r w:rsidRPr="00902801">
        <w:rPr>
          <w:color w:val="000000"/>
          <w:szCs w:val="20"/>
        </w:rPr>
        <w:t xml:space="preserve"> for the Port, the City, and the PFD in 2013.  </w:t>
      </w:r>
      <w:r w:rsidR="003D428A">
        <w:rPr>
          <w:color w:val="000000"/>
          <w:szCs w:val="20"/>
        </w:rPr>
        <w:t>The study concluded</w:t>
      </w:r>
      <w:r w:rsidRPr="00902801">
        <w:rPr>
          <w:color w:val="000000"/>
          <w:szCs w:val="20"/>
        </w:rPr>
        <w:t xml:space="preserve"> that the Port and City are working together and currently the airport maintains all requirements for </w:t>
      </w:r>
      <w:r w:rsidR="00A81338">
        <w:rPr>
          <w:color w:val="000000"/>
          <w:szCs w:val="20"/>
        </w:rPr>
        <w:t>Federal Aviation Regulation (FAR) 139 i</w:t>
      </w:r>
      <w:r w:rsidRPr="00902801">
        <w:rPr>
          <w:color w:val="000000"/>
          <w:szCs w:val="20"/>
        </w:rPr>
        <w:t>n relation to the ARFF program.</w:t>
      </w:r>
      <w:r w:rsidRPr="00F47216">
        <w:rPr>
          <w:color w:val="000000"/>
          <w:vertAlign w:val="superscript"/>
        </w:rPr>
        <w:footnoteReference w:id="19"/>
      </w:r>
      <w:r w:rsidRPr="00F47216">
        <w:rPr>
          <w:color w:val="000000"/>
          <w:vertAlign w:val="superscript"/>
        </w:rPr>
        <w:t xml:space="preserve"> </w:t>
      </w:r>
      <w:r w:rsidRPr="00902801">
        <w:rPr>
          <w:color w:val="000000"/>
          <w:szCs w:val="20"/>
        </w:rPr>
        <w:t xml:space="preserve"> The Port of Pasco and the Pasco Fire Department developed a stated set of mutual goals for ARFF (Aircraft Rescue Fire Fighting) for the Tri-Cities Regional Airport. </w:t>
      </w:r>
    </w:p>
    <w:p w14:paraId="3847C2D9" w14:textId="2F665AAC" w:rsidR="00D03909" w:rsidRPr="00902801" w:rsidRDefault="00D03909" w:rsidP="007705AA">
      <w:pPr>
        <w:numPr>
          <w:ilvl w:val="0"/>
          <w:numId w:val="26"/>
        </w:numPr>
        <w:spacing w:after="120" w:line="240" w:lineRule="auto"/>
        <w:rPr>
          <w:color w:val="000000"/>
          <w:szCs w:val="20"/>
        </w:rPr>
      </w:pPr>
      <w:r w:rsidRPr="00902801">
        <w:rPr>
          <w:color w:val="000000"/>
          <w:szCs w:val="20"/>
        </w:rPr>
        <w:t>To have ARFF personnel more proactive in airport safety and security during daily airport operations</w:t>
      </w:r>
      <w:r w:rsidR="003D428A">
        <w:rPr>
          <w:color w:val="000000"/>
          <w:szCs w:val="20"/>
        </w:rPr>
        <w:t>.</w:t>
      </w:r>
    </w:p>
    <w:p w14:paraId="340AD021" w14:textId="4A889B1E" w:rsidR="00D03909" w:rsidRPr="00902801" w:rsidRDefault="00D03909" w:rsidP="007705AA">
      <w:pPr>
        <w:numPr>
          <w:ilvl w:val="0"/>
          <w:numId w:val="26"/>
        </w:numPr>
        <w:spacing w:after="120" w:line="240" w:lineRule="auto"/>
        <w:rPr>
          <w:color w:val="000000"/>
          <w:szCs w:val="20"/>
        </w:rPr>
      </w:pPr>
      <w:r w:rsidRPr="00902801">
        <w:rPr>
          <w:color w:val="000000"/>
          <w:szCs w:val="20"/>
        </w:rPr>
        <w:t xml:space="preserve">To form a more effective and efficient partnership to deliver </w:t>
      </w:r>
      <w:r w:rsidR="003D428A" w:rsidRPr="00902801">
        <w:rPr>
          <w:color w:val="000000"/>
          <w:szCs w:val="20"/>
        </w:rPr>
        <w:t>customer ser</w:t>
      </w:r>
      <w:r w:rsidRPr="00902801">
        <w:rPr>
          <w:color w:val="000000"/>
          <w:szCs w:val="20"/>
        </w:rPr>
        <w:t>vice that exceeds management and customer expectations within a defined budget</w:t>
      </w:r>
      <w:r w:rsidR="003D428A">
        <w:rPr>
          <w:color w:val="000000"/>
          <w:szCs w:val="20"/>
        </w:rPr>
        <w:t>.</w:t>
      </w:r>
    </w:p>
    <w:p w14:paraId="1DDF5EE7" w14:textId="75B3BB5E" w:rsidR="00D03909" w:rsidRPr="00902801" w:rsidRDefault="00D03909" w:rsidP="007705AA">
      <w:pPr>
        <w:numPr>
          <w:ilvl w:val="0"/>
          <w:numId w:val="26"/>
        </w:numPr>
        <w:spacing w:after="240" w:line="240" w:lineRule="auto"/>
        <w:rPr>
          <w:color w:val="000000"/>
          <w:szCs w:val="20"/>
        </w:rPr>
      </w:pPr>
      <w:r w:rsidRPr="00902801">
        <w:rPr>
          <w:color w:val="000000"/>
          <w:szCs w:val="20"/>
        </w:rPr>
        <w:t>To involve the ARFF team with the airport and all of its tenants</w:t>
      </w:r>
      <w:r w:rsidR="003D428A">
        <w:rPr>
          <w:color w:val="000000"/>
          <w:szCs w:val="20"/>
        </w:rPr>
        <w:t>.</w:t>
      </w:r>
    </w:p>
    <w:p w14:paraId="1D488063" w14:textId="29B1ABE7" w:rsidR="00D03909" w:rsidRPr="00902801" w:rsidRDefault="00D03909" w:rsidP="00D03909">
      <w:pPr>
        <w:rPr>
          <w:color w:val="000000"/>
          <w:szCs w:val="20"/>
        </w:rPr>
      </w:pPr>
      <w:r w:rsidRPr="00902801">
        <w:rPr>
          <w:color w:val="000000"/>
          <w:szCs w:val="20"/>
        </w:rPr>
        <w:t xml:space="preserve">PFD and the Port have </w:t>
      </w:r>
      <w:r w:rsidR="003D428A">
        <w:rPr>
          <w:color w:val="000000"/>
          <w:szCs w:val="20"/>
        </w:rPr>
        <w:t xml:space="preserve">addressed </w:t>
      </w:r>
      <w:r w:rsidRPr="00902801">
        <w:rPr>
          <w:color w:val="000000"/>
          <w:szCs w:val="20"/>
        </w:rPr>
        <w:t xml:space="preserve">and continue to address recommendations made in the 2013 study.  One improvement accomplished was increasing ARFF staffing to two personnel to ensure better coverage.  This brings to six </w:t>
      </w:r>
      <w:r w:rsidR="003D428A">
        <w:rPr>
          <w:color w:val="000000"/>
          <w:szCs w:val="20"/>
        </w:rPr>
        <w:t xml:space="preserve">the number of </w:t>
      </w:r>
      <w:r w:rsidRPr="00902801">
        <w:rPr>
          <w:color w:val="000000"/>
          <w:szCs w:val="20"/>
        </w:rPr>
        <w:t>pers</w:t>
      </w:r>
      <w:r w:rsidR="00CF7BC2">
        <w:rPr>
          <w:color w:val="000000"/>
          <w:szCs w:val="20"/>
        </w:rPr>
        <w:t xml:space="preserve">onnel assigned to Fire Station </w:t>
      </w:r>
      <w:r w:rsidRPr="00902801">
        <w:rPr>
          <w:color w:val="000000"/>
          <w:szCs w:val="20"/>
        </w:rPr>
        <w:t>82 (Airport Fire Station) per shift.</w:t>
      </w:r>
    </w:p>
    <w:p w14:paraId="01721FD9" w14:textId="77777777" w:rsidR="00D03909" w:rsidRPr="00902801" w:rsidRDefault="00D03909" w:rsidP="003D428A">
      <w:pPr>
        <w:keepNext/>
        <w:spacing w:after="0"/>
        <w:rPr>
          <w:color w:val="000000"/>
          <w:szCs w:val="20"/>
        </w:rPr>
      </w:pPr>
      <w:r w:rsidRPr="00902801">
        <w:rPr>
          <w:color w:val="000000"/>
          <w:szCs w:val="20"/>
        </w:rPr>
        <w:t>Challenges related to ARFF as identified by the Port include:</w:t>
      </w:r>
    </w:p>
    <w:p w14:paraId="123C7F0F" w14:textId="7A9C3F6A" w:rsidR="00D03909" w:rsidRPr="00902801" w:rsidRDefault="00D03909" w:rsidP="007705AA">
      <w:pPr>
        <w:numPr>
          <w:ilvl w:val="0"/>
          <w:numId w:val="27"/>
        </w:numPr>
        <w:spacing w:after="120" w:line="240" w:lineRule="auto"/>
        <w:rPr>
          <w:color w:val="000000"/>
          <w:szCs w:val="20"/>
        </w:rPr>
      </w:pPr>
      <w:r w:rsidRPr="00902801">
        <w:rPr>
          <w:color w:val="000000"/>
          <w:szCs w:val="20"/>
        </w:rPr>
        <w:t>Recordkeeping for the FAA (Federal Aviation Administration) Part 139</w:t>
      </w:r>
      <w:r w:rsidR="003D428A">
        <w:rPr>
          <w:color w:val="000000"/>
          <w:szCs w:val="20"/>
        </w:rPr>
        <w:t>.</w:t>
      </w:r>
    </w:p>
    <w:p w14:paraId="35E310E8" w14:textId="5739B5AD" w:rsidR="00D03909" w:rsidRPr="00902801" w:rsidRDefault="00D03909" w:rsidP="007705AA">
      <w:pPr>
        <w:numPr>
          <w:ilvl w:val="0"/>
          <w:numId w:val="27"/>
        </w:numPr>
        <w:spacing w:after="120" w:line="240" w:lineRule="auto"/>
        <w:rPr>
          <w:color w:val="000000"/>
          <w:szCs w:val="20"/>
        </w:rPr>
      </w:pPr>
      <w:r w:rsidRPr="00902801">
        <w:rPr>
          <w:color w:val="000000"/>
          <w:szCs w:val="20"/>
        </w:rPr>
        <w:t>Annual FAA evaluation</w:t>
      </w:r>
      <w:r w:rsidR="003D428A">
        <w:rPr>
          <w:color w:val="000000"/>
          <w:szCs w:val="20"/>
        </w:rPr>
        <w:t>.</w:t>
      </w:r>
    </w:p>
    <w:p w14:paraId="630C6AEF" w14:textId="5BFB848A" w:rsidR="00D03909" w:rsidRPr="00902801" w:rsidRDefault="00D03909" w:rsidP="007705AA">
      <w:pPr>
        <w:numPr>
          <w:ilvl w:val="0"/>
          <w:numId w:val="27"/>
        </w:numPr>
        <w:spacing w:after="120" w:line="240" w:lineRule="auto"/>
        <w:rPr>
          <w:color w:val="000000"/>
          <w:szCs w:val="20"/>
        </w:rPr>
      </w:pPr>
      <w:r w:rsidRPr="00902801">
        <w:rPr>
          <w:color w:val="000000"/>
          <w:szCs w:val="20"/>
        </w:rPr>
        <w:t>Need for a DEF (Discreet Emergency Frequency)</w:t>
      </w:r>
      <w:r w:rsidR="003D428A">
        <w:rPr>
          <w:color w:val="000000"/>
          <w:szCs w:val="20"/>
        </w:rPr>
        <w:t>.</w:t>
      </w:r>
    </w:p>
    <w:p w14:paraId="6E6F4277" w14:textId="5B18820A" w:rsidR="00D03909" w:rsidRPr="00902801" w:rsidRDefault="00D03909" w:rsidP="007705AA">
      <w:pPr>
        <w:numPr>
          <w:ilvl w:val="0"/>
          <w:numId w:val="27"/>
        </w:numPr>
        <w:spacing w:after="120" w:line="240" w:lineRule="auto"/>
        <w:rPr>
          <w:color w:val="000000"/>
          <w:szCs w:val="20"/>
        </w:rPr>
      </w:pPr>
      <w:r w:rsidRPr="00902801">
        <w:rPr>
          <w:color w:val="000000"/>
          <w:szCs w:val="20"/>
        </w:rPr>
        <w:t>Securing FAA grant funding for a replacement ARFF unit</w:t>
      </w:r>
      <w:r w:rsidR="003D428A">
        <w:rPr>
          <w:color w:val="000000"/>
          <w:szCs w:val="20"/>
        </w:rPr>
        <w:t>.</w:t>
      </w:r>
    </w:p>
    <w:p w14:paraId="3D55C1CC" w14:textId="5641A6A7" w:rsidR="00D03909" w:rsidRPr="00902801" w:rsidRDefault="00D03909" w:rsidP="007705AA">
      <w:pPr>
        <w:numPr>
          <w:ilvl w:val="0"/>
          <w:numId w:val="27"/>
        </w:numPr>
        <w:spacing w:after="120" w:line="240" w:lineRule="auto"/>
        <w:rPr>
          <w:color w:val="000000"/>
          <w:szCs w:val="20"/>
        </w:rPr>
      </w:pPr>
      <w:r w:rsidRPr="00902801">
        <w:rPr>
          <w:color w:val="000000"/>
          <w:szCs w:val="20"/>
        </w:rPr>
        <w:t>Annual ARFF vehicle pump and sodium bicarbonate testing and fluffing the Purple-K</w:t>
      </w:r>
      <w:r w:rsidR="003D428A">
        <w:rPr>
          <w:color w:val="000000"/>
          <w:szCs w:val="20"/>
        </w:rPr>
        <w:t>.</w:t>
      </w:r>
    </w:p>
    <w:p w14:paraId="1DF87E9C" w14:textId="2FA33986" w:rsidR="00D03909" w:rsidRPr="00902801" w:rsidRDefault="00D03909" w:rsidP="007705AA">
      <w:pPr>
        <w:numPr>
          <w:ilvl w:val="0"/>
          <w:numId w:val="27"/>
        </w:numPr>
        <w:spacing w:after="240" w:line="240" w:lineRule="auto"/>
        <w:rPr>
          <w:color w:val="000000"/>
          <w:szCs w:val="20"/>
        </w:rPr>
      </w:pPr>
      <w:r w:rsidRPr="00902801">
        <w:rPr>
          <w:color w:val="000000"/>
          <w:szCs w:val="20"/>
        </w:rPr>
        <w:t>Keeping ARFF personnel engaged with little response volume</w:t>
      </w:r>
      <w:r w:rsidR="003D428A">
        <w:rPr>
          <w:color w:val="000000"/>
          <w:szCs w:val="20"/>
        </w:rPr>
        <w:t>.</w:t>
      </w:r>
    </w:p>
    <w:p w14:paraId="611DF5CB" w14:textId="79924320" w:rsidR="00D03909" w:rsidRPr="00902801" w:rsidRDefault="00D03909" w:rsidP="00D03909">
      <w:pPr>
        <w:rPr>
          <w:color w:val="000000"/>
          <w:szCs w:val="20"/>
        </w:rPr>
      </w:pPr>
      <w:r w:rsidRPr="00902801">
        <w:rPr>
          <w:color w:val="000000"/>
          <w:szCs w:val="20"/>
        </w:rPr>
        <w:t xml:space="preserve">PFD firefighters certified to perform aircraft rescue firefighting duties </w:t>
      </w:r>
      <w:r w:rsidR="00A52436">
        <w:rPr>
          <w:color w:val="000000"/>
          <w:szCs w:val="20"/>
        </w:rPr>
        <w:t>(</w:t>
      </w:r>
      <w:r w:rsidR="00A52436" w:rsidRPr="00A52436">
        <w:rPr>
          <w:i/>
          <w:color w:val="000000"/>
          <w:szCs w:val="20"/>
        </w:rPr>
        <w:t>National Fire Protection Association Standard</w:t>
      </w:r>
      <w:r w:rsidRPr="00A52436">
        <w:rPr>
          <w:i/>
          <w:color w:val="000000"/>
          <w:szCs w:val="20"/>
        </w:rPr>
        <w:t xml:space="preserve"> </w:t>
      </w:r>
      <w:r w:rsidRPr="003D428A">
        <w:rPr>
          <w:i/>
          <w:color w:val="000000"/>
          <w:szCs w:val="20"/>
        </w:rPr>
        <w:t>1003</w:t>
      </w:r>
      <w:r w:rsidR="00A52436">
        <w:rPr>
          <w:i/>
          <w:color w:val="000000"/>
          <w:szCs w:val="20"/>
        </w:rPr>
        <w:t>)</w:t>
      </w:r>
      <w:r w:rsidRPr="00902801">
        <w:rPr>
          <w:color w:val="000000"/>
          <w:szCs w:val="20"/>
        </w:rPr>
        <w:t xml:space="preserve"> must meet FAR 139 refresher burn requirements.  Additionally, there are other knowledge and skill maintenance </w:t>
      </w:r>
      <w:r w:rsidR="00A52436">
        <w:rPr>
          <w:color w:val="000000"/>
          <w:szCs w:val="20"/>
        </w:rPr>
        <w:t xml:space="preserve">requirements in place </w:t>
      </w:r>
      <w:r w:rsidRPr="00902801">
        <w:rPr>
          <w:color w:val="000000"/>
          <w:szCs w:val="20"/>
        </w:rPr>
        <w:t>to meet FAA regulations and job proficiency.  They involve FAA rules and regulations, aircraft and airport familiarization, fire behavior, ARFF apparatus, PPE (Personal Protective Equipment), rescue and firefighting procedures, hazardous materials, incident command, and airfield communications.  Practical skills include forcible entry and disentanglement</w:t>
      </w:r>
      <w:r w:rsidR="003D428A">
        <w:rPr>
          <w:color w:val="000000"/>
          <w:szCs w:val="20"/>
        </w:rPr>
        <w:t>;</w:t>
      </w:r>
      <w:r w:rsidRPr="00902801">
        <w:rPr>
          <w:color w:val="000000"/>
          <w:szCs w:val="20"/>
        </w:rPr>
        <w:t xml:space="preserve"> live fire truck operations</w:t>
      </w:r>
      <w:r w:rsidR="003D428A">
        <w:rPr>
          <w:color w:val="000000"/>
          <w:szCs w:val="20"/>
        </w:rPr>
        <w:t>;</w:t>
      </w:r>
      <w:r w:rsidRPr="00902801">
        <w:rPr>
          <w:color w:val="000000"/>
          <w:szCs w:val="20"/>
        </w:rPr>
        <w:t xml:space="preserve"> live wheel/brake</w:t>
      </w:r>
      <w:r w:rsidR="003D428A">
        <w:rPr>
          <w:color w:val="000000"/>
          <w:szCs w:val="20"/>
        </w:rPr>
        <w:t>;</w:t>
      </w:r>
      <w:r w:rsidRPr="00902801">
        <w:rPr>
          <w:color w:val="000000"/>
          <w:szCs w:val="20"/>
        </w:rPr>
        <w:t xml:space="preserve"> engine, galley</w:t>
      </w:r>
      <w:r w:rsidR="003D428A">
        <w:rPr>
          <w:color w:val="000000"/>
          <w:szCs w:val="20"/>
        </w:rPr>
        <w:t>,</w:t>
      </w:r>
      <w:r w:rsidRPr="00902801">
        <w:rPr>
          <w:color w:val="000000"/>
          <w:szCs w:val="20"/>
        </w:rPr>
        <w:t xml:space="preserve"> and cabin fires</w:t>
      </w:r>
      <w:r w:rsidR="003D428A">
        <w:rPr>
          <w:color w:val="000000"/>
          <w:szCs w:val="20"/>
        </w:rPr>
        <w:t>;</w:t>
      </w:r>
      <w:r w:rsidRPr="00902801">
        <w:rPr>
          <w:color w:val="000000"/>
          <w:szCs w:val="20"/>
        </w:rPr>
        <w:t xml:space="preserve"> and flammable liquids foam firefighting and tactics.  </w:t>
      </w:r>
    </w:p>
    <w:p w14:paraId="556B65C1" w14:textId="4ED2B909" w:rsidR="00D03909" w:rsidRPr="00902801" w:rsidRDefault="00D03909" w:rsidP="00D03909">
      <w:pPr>
        <w:rPr>
          <w:color w:val="000000"/>
          <w:szCs w:val="20"/>
        </w:rPr>
      </w:pPr>
      <w:r w:rsidRPr="00902801">
        <w:rPr>
          <w:color w:val="000000"/>
          <w:szCs w:val="20"/>
        </w:rPr>
        <w:t xml:space="preserve">Current training of ARFF personnel is the responsibility of the PFD Training Officer.  All ARFF personnel receive annual training that meets or exceeds FAR 139 and </w:t>
      </w:r>
      <w:r w:rsidRPr="003D428A">
        <w:rPr>
          <w:i/>
          <w:color w:val="000000"/>
          <w:szCs w:val="20"/>
        </w:rPr>
        <w:t>NFPA 1003 Standards for Airport Fire Fighter Professional Qualifications</w:t>
      </w:r>
      <w:r w:rsidRPr="00902801">
        <w:rPr>
          <w:color w:val="000000"/>
          <w:szCs w:val="20"/>
        </w:rPr>
        <w:t>.  PFD is the repository of training records.  Initial ARFF certification training is conducted at the Moses Lake, Washington</w:t>
      </w:r>
      <w:r w:rsidR="003D428A">
        <w:rPr>
          <w:color w:val="000000"/>
          <w:szCs w:val="20"/>
        </w:rPr>
        <w:t>,</w:t>
      </w:r>
      <w:r w:rsidRPr="00902801">
        <w:rPr>
          <w:color w:val="000000"/>
          <w:szCs w:val="20"/>
        </w:rPr>
        <w:t xml:space="preserve"> Airport.  It involves </w:t>
      </w:r>
      <w:r w:rsidR="003D428A">
        <w:rPr>
          <w:color w:val="000000"/>
          <w:szCs w:val="20"/>
        </w:rPr>
        <w:t>40</w:t>
      </w:r>
      <w:r w:rsidRPr="00902801">
        <w:rPr>
          <w:color w:val="000000"/>
          <w:szCs w:val="20"/>
        </w:rPr>
        <w:t xml:space="preserve"> hours of basic ARFF training and live-fire burn exercises.  Continuing education requirements involve in-house classes, a contactor delivering didactic ARFF specific training to PFD personnel on-site</w:t>
      </w:r>
      <w:r w:rsidR="003D428A">
        <w:rPr>
          <w:color w:val="000000"/>
          <w:szCs w:val="20"/>
        </w:rPr>
        <w:t>,</w:t>
      </w:r>
      <w:r w:rsidRPr="00902801">
        <w:rPr>
          <w:color w:val="000000"/>
          <w:szCs w:val="20"/>
        </w:rPr>
        <w:t xml:space="preserve"> and live fire burns at Moses Lake.</w:t>
      </w:r>
    </w:p>
    <w:p w14:paraId="142B845E" w14:textId="1F7635DB" w:rsidR="00D03909" w:rsidRPr="00902801" w:rsidRDefault="00D03909" w:rsidP="00D03909">
      <w:pPr>
        <w:rPr>
          <w:color w:val="000000"/>
          <w:szCs w:val="20"/>
        </w:rPr>
      </w:pPr>
      <w:r w:rsidRPr="00902801">
        <w:rPr>
          <w:color w:val="000000"/>
          <w:szCs w:val="20"/>
        </w:rPr>
        <w:t>It is beyond the capacity of any fire department to operate and maintain enough resources for every eventuality.  For this reason, best practices are for fire and EMS agencies to enter into automatic and mutual aid agreements that are mutually beneficial to the participants.  The City of Pasco maintain</w:t>
      </w:r>
      <w:r w:rsidR="00563FD0">
        <w:rPr>
          <w:color w:val="000000"/>
          <w:szCs w:val="20"/>
        </w:rPr>
        <w:t>s</w:t>
      </w:r>
      <w:r w:rsidRPr="00902801">
        <w:rPr>
          <w:color w:val="000000"/>
          <w:szCs w:val="20"/>
        </w:rPr>
        <w:t xml:space="preserve"> automatic and mutual aid agreements and contracts with other cities, fire districts, and the Tri-Cities Hazardous Materials Response Team for response to major incidents.  FCEM (Franklin County Emergency Management) is responsible for coordinating, establishing, and maintaining the agreements and emergency response plans.</w:t>
      </w:r>
    </w:p>
    <w:p w14:paraId="6481C929" w14:textId="77777777" w:rsidR="00D03909" w:rsidRPr="00902801" w:rsidRDefault="00D03909" w:rsidP="00330CB1">
      <w:pPr>
        <w:pStyle w:val="Heading3"/>
      </w:pPr>
      <w:bookmarkStart w:id="168" w:name="_Toc451516689"/>
      <w:bookmarkStart w:id="169" w:name="_Toc464323578"/>
      <w:r w:rsidRPr="00902801">
        <w:t>Potential Impact to Growth in Pasco Based on the Planned Growth of the Airport</w:t>
      </w:r>
      <w:bookmarkEnd w:id="168"/>
      <w:bookmarkEnd w:id="169"/>
    </w:p>
    <w:p w14:paraId="620F20E1" w14:textId="77777777" w:rsidR="00D03909" w:rsidRPr="00902801" w:rsidRDefault="00D03909" w:rsidP="00D03909">
      <w:pPr>
        <w:rPr>
          <w:color w:val="000000"/>
          <w:szCs w:val="20"/>
        </w:rPr>
      </w:pPr>
      <w:r w:rsidRPr="00902801">
        <w:rPr>
          <w:color w:val="000000"/>
          <w:szCs w:val="20"/>
        </w:rPr>
        <w:t>With the increase in enplanements, the Port of Pasco revised the airport’s 20-year Master Plan.</w:t>
      </w:r>
      <w:r w:rsidRPr="00902801">
        <w:rPr>
          <w:rFonts w:cs="Arial"/>
          <w:color w:val="000000"/>
          <w:sz w:val="20"/>
          <w:szCs w:val="20"/>
          <w:vertAlign w:val="superscript"/>
        </w:rPr>
        <w:footnoteReference w:id="20"/>
      </w:r>
      <w:r w:rsidRPr="00902801">
        <w:rPr>
          <w:color w:val="000000"/>
          <w:szCs w:val="20"/>
        </w:rPr>
        <w:t xml:space="preserve">  From this information, the Port determined the need to expand and modernize the terminal.  The development in progress is the largest expansion and modernization project since the original construction of the terminal.</w:t>
      </w:r>
      <w:r w:rsidRPr="00902801">
        <w:rPr>
          <w:rFonts w:cs="Arial"/>
          <w:color w:val="000000"/>
          <w:sz w:val="20"/>
          <w:szCs w:val="20"/>
          <w:vertAlign w:val="superscript"/>
        </w:rPr>
        <w:footnoteReference w:id="21"/>
      </w:r>
    </w:p>
    <w:p w14:paraId="796D42A8" w14:textId="0C5DB261" w:rsidR="00D03909" w:rsidRPr="00902801" w:rsidRDefault="00D03909" w:rsidP="00D03909">
      <w:pPr>
        <w:rPr>
          <w:color w:val="000000"/>
          <w:szCs w:val="20"/>
        </w:rPr>
      </w:pPr>
      <w:r w:rsidRPr="00902801">
        <w:rPr>
          <w:color w:val="000000"/>
          <w:szCs w:val="20"/>
        </w:rPr>
        <w:t xml:space="preserve">Three methods </w:t>
      </w:r>
      <w:r w:rsidR="00A52436">
        <w:rPr>
          <w:color w:val="000000"/>
          <w:szCs w:val="20"/>
        </w:rPr>
        <w:t xml:space="preserve">are </w:t>
      </w:r>
      <w:r w:rsidRPr="00902801">
        <w:rPr>
          <w:color w:val="000000"/>
          <w:szCs w:val="20"/>
        </w:rPr>
        <w:t>used to forecast enplanements in the Pasco Airport Master Plan, CAGR (Compound Annual Growth Rate), market share, and socioeconomics.</w:t>
      </w:r>
      <w:r w:rsidRPr="00902801">
        <w:rPr>
          <w:rFonts w:cs="Arial"/>
          <w:color w:val="000000"/>
          <w:sz w:val="20"/>
          <w:szCs w:val="20"/>
          <w:vertAlign w:val="superscript"/>
        </w:rPr>
        <w:footnoteReference w:id="22"/>
      </w:r>
      <w:r w:rsidRPr="00902801">
        <w:rPr>
          <w:color w:val="000000"/>
          <w:szCs w:val="20"/>
        </w:rPr>
        <w:t xml:space="preserve">  The </w:t>
      </w:r>
      <w:r w:rsidR="00F43A85">
        <w:rPr>
          <w:color w:val="000000"/>
          <w:szCs w:val="20"/>
        </w:rPr>
        <w:t>20</w:t>
      </w:r>
      <w:r w:rsidRPr="00902801">
        <w:rPr>
          <w:color w:val="000000"/>
          <w:szCs w:val="20"/>
        </w:rPr>
        <w:t>-year master plan forecast enplanements to grow to 337,489 in 2018; this number was exceeded in 2015.  Increasing passenger count could translate to more direct flights and the airlines using larger aircraft to serve the Tri-Cities.  Even with continued increases in aircraft activity, analysis showed that Pasco’s airport runway configuration is expected to be adequate through 50 years</w:t>
      </w:r>
      <w:r w:rsidR="00F43A85">
        <w:rPr>
          <w:color w:val="000000"/>
          <w:szCs w:val="20"/>
        </w:rPr>
        <w:t>;</w:t>
      </w:r>
      <w:r w:rsidRPr="00902801">
        <w:rPr>
          <w:color w:val="000000"/>
          <w:szCs w:val="20"/>
        </w:rPr>
        <w:t xml:space="preserve"> no additional runways are expected.</w:t>
      </w:r>
      <w:r w:rsidRPr="00902801">
        <w:rPr>
          <w:rFonts w:cs="Arial"/>
          <w:color w:val="000000"/>
          <w:sz w:val="20"/>
          <w:szCs w:val="20"/>
          <w:vertAlign w:val="superscript"/>
        </w:rPr>
        <w:footnoteReference w:id="23"/>
      </w:r>
      <w:r w:rsidRPr="00902801">
        <w:rPr>
          <w:color w:val="000000"/>
          <w:szCs w:val="20"/>
        </w:rPr>
        <w:t xml:space="preserve">  </w:t>
      </w:r>
    </w:p>
    <w:p w14:paraId="6FA32EF3" w14:textId="3E77DA07" w:rsidR="00D03909" w:rsidRPr="00902801" w:rsidRDefault="00D03909" w:rsidP="00D03909">
      <w:pPr>
        <w:rPr>
          <w:color w:val="000000"/>
          <w:szCs w:val="20"/>
        </w:rPr>
      </w:pPr>
      <w:r w:rsidRPr="00902801">
        <w:rPr>
          <w:color w:val="000000"/>
          <w:szCs w:val="20"/>
        </w:rPr>
        <w:t>A PFD concern in the 2013 ARFF Study was a runway extension may potentially increase air-carrier operations to Index C.  The consultants stated, “Expansion of runway system will increase attractiveness of PSC as alternate landing site for large aircraft with emergencies.”  Lengthening Runway 12 is possible but not likely.  According to Port administration, the current configuration of taxiways</w:t>
      </w:r>
      <w:r w:rsidR="00055778">
        <w:rPr>
          <w:color w:val="000000"/>
          <w:szCs w:val="20"/>
        </w:rPr>
        <w:t xml:space="preserve"> and the</w:t>
      </w:r>
      <w:r w:rsidRPr="00902801">
        <w:rPr>
          <w:color w:val="000000"/>
          <w:szCs w:val="20"/>
        </w:rPr>
        <w:t xml:space="preserve"> runways</w:t>
      </w:r>
      <w:r w:rsidR="00F43A85">
        <w:rPr>
          <w:color w:val="000000"/>
          <w:szCs w:val="20"/>
        </w:rPr>
        <w:t>’</w:t>
      </w:r>
      <w:r w:rsidRPr="00902801">
        <w:rPr>
          <w:color w:val="000000"/>
          <w:szCs w:val="20"/>
        </w:rPr>
        <w:t xml:space="preserve"> length, width, and strength, can accommodate present operations and have the capacity for most aircr</w:t>
      </w:r>
      <w:r w:rsidR="00055778">
        <w:rPr>
          <w:color w:val="000000"/>
          <w:szCs w:val="20"/>
        </w:rPr>
        <w:t>aft configurations for the near</w:t>
      </w:r>
      <w:r w:rsidRPr="00902801">
        <w:rPr>
          <w:color w:val="000000"/>
          <w:szCs w:val="20"/>
        </w:rPr>
        <w:t xml:space="preserve"> future.  PFD and Pasco have </w:t>
      </w:r>
      <w:r w:rsidR="008A278E">
        <w:rPr>
          <w:color w:val="000000"/>
          <w:szCs w:val="20"/>
        </w:rPr>
        <w:t xml:space="preserve">in the past </w:t>
      </w:r>
      <w:r w:rsidRPr="00902801">
        <w:rPr>
          <w:color w:val="000000"/>
          <w:szCs w:val="20"/>
        </w:rPr>
        <w:t xml:space="preserve">experienced the diversion of a large aircraft to the Tri-Cities Airport.  </w:t>
      </w:r>
      <w:r w:rsidR="008A278E">
        <w:rPr>
          <w:color w:val="000000"/>
          <w:szCs w:val="20"/>
        </w:rPr>
        <w:t xml:space="preserve">On </w:t>
      </w:r>
      <w:r w:rsidR="008A278E" w:rsidRPr="008A278E">
        <w:rPr>
          <w:color w:val="000000"/>
          <w:szCs w:val="20"/>
        </w:rPr>
        <w:t>Oct</w:t>
      </w:r>
      <w:r w:rsidR="008A278E">
        <w:rPr>
          <w:color w:val="000000"/>
          <w:szCs w:val="20"/>
        </w:rPr>
        <w:t>ober 21</w:t>
      </w:r>
      <w:r w:rsidR="008A278E" w:rsidRPr="008A278E">
        <w:rPr>
          <w:color w:val="000000"/>
          <w:szCs w:val="20"/>
        </w:rPr>
        <w:t>, 2013</w:t>
      </w:r>
      <w:r w:rsidR="008A278E">
        <w:rPr>
          <w:color w:val="000000"/>
          <w:szCs w:val="20"/>
        </w:rPr>
        <w:t>, t</w:t>
      </w:r>
      <w:r w:rsidRPr="00902801">
        <w:rPr>
          <w:color w:val="000000"/>
          <w:szCs w:val="20"/>
        </w:rPr>
        <w:t>he middle</w:t>
      </w:r>
      <w:r w:rsidR="00055778">
        <w:rPr>
          <w:color w:val="000000"/>
          <w:szCs w:val="20"/>
        </w:rPr>
        <w:t>-</w:t>
      </w:r>
      <w:r w:rsidRPr="00902801">
        <w:rPr>
          <w:color w:val="000000"/>
          <w:szCs w:val="20"/>
        </w:rPr>
        <w:t>of</w:t>
      </w:r>
      <w:r w:rsidR="00055778">
        <w:rPr>
          <w:color w:val="000000"/>
          <w:szCs w:val="20"/>
        </w:rPr>
        <w:t>-</w:t>
      </w:r>
      <w:r w:rsidRPr="00902801">
        <w:rPr>
          <w:color w:val="000000"/>
          <w:szCs w:val="20"/>
        </w:rPr>
        <w:t>the</w:t>
      </w:r>
      <w:r w:rsidR="00055778">
        <w:rPr>
          <w:color w:val="000000"/>
          <w:szCs w:val="20"/>
        </w:rPr>
        <w:t>-</w:t>
      </w:r>
      <w:r w:rsidRPr="00902801">
        <w:rPr>
          <w:color w:val="000000"/>
          <w:szCs w:val="20"/>
        </w:rPr>
        <w:t>night arrival of a diverted B757</w:t>
      </w:r>
      <w:r w:rsidR="000C5CAB">
        <w:rPr>
          <w:color w:val="000000"/>
          <w:szCs w:val="20"/>
        </w:rPr>
        <w:t xml:space="preserve"> which indicated a cargo hold fire</w:t>
      </w:r>
      <w:r w:rsidRPr="00902801">
        <w:rPr>
          <w:color w:val="000000"/>
          <w:szCs w:val="20"/>
        </w:rPr>
        <w:t xml:space="preserve"> </w:t>
      </w:r>
      <w:r w:rsidR="000C5CAB">
        <w:rPr>
          <w:color w:val="000000"/>
          <w:szCs w:val="20"/>
        </w:rPr>
        <w:t>necessitated rapid evacuation of passengers.  PFD not only supported the diverted flight landing and verified no fire, but also developed support for the feeding and sheltering of 183 passengers</w:t>
      </w:r>
      <w:r w:rsidR="000C5CAB" w:rsidRPr="00902801">
        <w:rPr>
          <w:color w:val="000000"/>
          <w:szCs w:val="20"/>
        </w:rPr>
        <w:t xml:space="preserve"> </w:t>
      </w:r>
      <w:r w:rsidR="000C5CAB">
        <w:rPr>
          <w:color w:val="000000"/>
          <w:szCs w:val="20"/>
        </w:rPr>
        <w:t xml:space="preserve">and six crew members </w:t>
      </w:r>
      <w:r w:rsidR="008A278E">
        <w:rPr>
          <w:color w:val="000000"/>
          <w:szCs w:val="20"/>
        </w:rPr>
        <w:t xml:space="preserve">overnight.  This </w:t>
      </w:r>
      <w:r w:rsidRPr="00902801">
        <w:rPr>
          <w:color w:val="000000"/>
          <w:szCs w:val="20"/>
        </w:rPr>
        <w:t xml:space="preserve">positively demonstrated results of the cooperation between the Port and PFD.  </w:t>
      </w:r>
    </w:p>
    <w:p w14:paraId="624D0D4C" w14:textId="77777777" w:rsidR="00D03909" w:rsidRPr="00902801" w:rsidRDefault="00D03909" w:rsidP="00330CB1">
      <w:pPr>
        <w:pStyle w:val="Heading3"/>
      </w:pPr>
      <w:bookmarkStart w:id="170" w:name="_Toc451516690"/>
      <w:bookmarkStart w:id="171" w:name="_Toc464323579"/>
      <w:r w:rsidRPr="00902801">
        <w:t>Recommendations Relative to Future Deployment Decisions and Response Demand</w:t>
      </w:r>
      <w:bookmarkEnd w:id="170"/>
      <w:bookmarkEnd w:id="171"/>
    </w:p>
    <w:p w14:paraId="4104018A" w14:textId="433EEEF6" w:rsidR="00D03909" w:rsidRPr="00902801" w:rsidRDefault="00D03909" w:rsidP="00D03909">
      <w:pPr>
        <w:rPr>
          <w:color w:val="000000"/>
          <w:szCs w:val="20"/>
        </w:rPr>
      </w:pPr>
      <w:r w:rsidRPr="00902801">
        <w:rPr>
          <w:color w:val="000000"/>
          <w:szCs w:val="20"/>
        </w:rPr>
        <w:t xml:space="preserve">PFD incident commanders and operations personnel need to have a working knowledge of the Pasco Tri-Cities Airport AEP (Airport Emergency Plan).  In particular, ARFF personnel require an in-depth understanding and should participate in regular </w:t>
      </w:r>
      <w:r w:rsidR="00055778">
        <w:rPr>
          <w:color w:val="000000"/>
          <w:szCs w:val="20"/>
        </w:rPr>
        <w:t>(</w:t>
      </w:r>
      <w:r w:rsidRPr="00902801">
        <w:rPr>
          <w:color w:val="000000"/>
          <w:szCs w:val="20"/>
        </w:rPr>
        <w:t>if not frequent</w:t>
      </w:r>
      <w:r w:rsidR="00055778">
        <w:rPr>
          <w:color w:val="000000"/>
          <w:szCs w:val="20"/>
        </w:rPr>
        <w:t>)</w:t>
      </w:r>
      <w:r w:rsidRPr="00902801">
        <w:rPr>
          <w:color w:val="000000"/>
          <w:szCs w:val="20"/>
        </w:rPr>
        <w:t xml:space="preserve"> exercises of the AEP.  </w:t>
      </w:r>
    </w:p>
    <w:p w14:paraId="51BBD84F" w14:textId="57D7459D" w:rsidR="00D03909" w:rsidRDefault="00D03909" w:rsidP="00D03909">
      <w:pPr>
        <w:rPr>
          <w:color w:val="000000"/>
          <w:szCs w:val="20"/>
        </w:rPr>
      </w:pPr>
      <w:r w:rsidRPr="00902801">
        <w:rPr>
          <w:color w:val="000000"/>
          <w:szCs w:val="20"/>
        </w:rPr>
        <w:t xml:space="preserve">Per the AEP, the </w:t>
      </w:r>
      <w:r w:rsidR="00A52436">
        <w:rPr>
          <w:color w:val="000000"/>
          <w:szCs w:val="20"/>
        </w:rPr>
        <w:t xml:space="preserve">Airport </w:t>
      </w:r>
      <w:r w:rsidRPr="00902801">
        <w:rPr>
          <w:color w:val="000000"/>
          <w:szCs w:val="20"/>
        </w:rPr>
        <w:t xml:space="preserve">Director and Deputy Airport Director assume </w:t>
      </w:r>
      <w:r w:rsidR="00A52436">
        <w:rPr>
          <w:color w:val="000000"/>
          <w:szCs w:val="20"/>
        </w:rPr>
        <w:t xml:space="preserve">the role of </w:t>
      </w:r>
      <w:r w:rsidR="00957310">
        <w:rPr>
          <w:color w:val="000000"/>
          <w:szCs w:val="20"/>
        </w:rPr>
        <w:t>agency administrator</w:t>
      </w:r>
      <w:r w:rsidRPr="00902801">
        <w:rPr>
          <w:color w:val="000000"/>
          <w:szCs w:val="20"/>
        </w:rPr>
        <w:t xml:space="preserve"> of incidents that occur on airport property.  Customarily and appropriately, their presence at the airport is during regular business hours.  Tri-Cities Airport law enforcement officers and ARFF personnel are the first responders for emergency incidents at the airport.  This is true for times of schedule</w:t>
      </w:r>
      <w:r w:rsidR="00A52436">
        <w:rPr>
          <w:color w:val="000000"/>
          <w:szCs w:val="20"/>
        </w:rPr>
        <w:t xml:space="preserve">d commercial air operations, </w:t>
      </w:r>
      <w:r w:rsidRPr="00902801">
        <w:rPr>
          <w:color w:val="000000"/>
          <w:szCs w:val="20"/>
        </w:rPr>
        <w:t xml:space="preserve">General Aviation, and during the hours of non-scheduled airline activities.  In this capacity, as first on the scene, and in keeping with the AEP and best practices, ARFF personnel would establish </w:t>
      </w:r>
      <w:r w:rsidR="00055778" w:rsidRPr="00902801">
        <w:rPr>
          <w:color w:val="000000"/>
          <w:szCs w:val="20"/>
        </w:rPr>
        <w:t>command</w:t>
      </w:r>
      <w:r w:rsidR="00A52436">
        <w:rPr>
          <w:color w:val="000000"/>
          <w:szCs w:val="20"/>
        </w:rPr>
        <w:t xml:space="preserve"> of the incident</w:t>
      </w:r>
      <w:r w:rsidRPr="00902801">
        <w:rPr>
          <w:color w:val="000000"/>
          <w:szCs w:val="20"/>
        </w:rPr>
        <w:t xml:space="preserve">.  </w:t>
      </w:r>
    </w:p>
    <w:p w14:paraId="3EAB6429" w14:textId="1BFE2CFC" w:rsidR="00A52436" w:rsidRPr="00902801" w:rsidRDefault="00A52436" w:rsidP="00D03909">
      <w:pPr>
        <w:rPr>
          <w:color w:val="000000"/>
          <w:szCs w:val="20"/>
        </w:rPr>
      </w:pPr>
      <w:r w:rsidRPr="00A52436">
        <w:rPr>
          <w:color w:val="000000"/>
          <w:szCs w:val="20"/>
        </w:rPr>
        <w:t>With on-going improvements to the Tri-Cities Airport terminal, AEP Annex A, dated January 2012, will require amendments to reflect current conditions.  In light of continued construction and terminal improvements, PFD and ARFF personnel should be interacting with airport staff and tenants at least weekly.</w:t>
      </w:r>
    </w:p>
    <w:tbl>
      <w:tblPr>
        <w:tblW w:w="0" w:type="auto"/>
        <w:jc w:val="center"/>
        <w:tblLook w:val="00A0" w:firstRow="1" w:lastRow="0" w:firstColumn="1" w:lastColumn="0" w:noHBand="0" w:noVBand="0"/>
      </w:tblPr>
      <w:tblGrid>
        <w:gridCol w:w="9360"/>
      </w:tblGrid>
      <w:tr w:rsidR="00D03909" w:rsidRPr="00902801" w14:paraId="71954A31" w14:textId="77777777" w:rsidTr="00140AB4">
        <w:trPr>
          <w:jc w:val="center"/>
        </w:trPr>
        <w:tc>
          <w:tcPr>
            <w:tcW w:w="9360" w:type="dxa"/>
            <w:shd w:val="clear" w:color="auto" w:fill="D9D9D9" w:themeFill="background1" w:themeFillShade="D9"/>
          </w:tcPr>
          <w:p w14:paraId="2E662BFD" w14:textId="77777777" w:rsidR="00D03909" w:rsidRPr="00902801" w:rsidRDefault="00D03909" w:rsidP="00140AB4">
            <w:pPr>
              <w:keepNext/>
              <w:keepLines/>
              <w:spacing w:after="0" w:line="360" w:lineRule="auto"/>
              <w:rPr>
                <w:rFonts w:cs="Calibri"/>
                <w:b/>
              </w:rPr>
            </w:pPr>
            <w:r w:rsidRPr="00902801">
              <w:rPr>
                <w:rFonts w:cs="Calibri"/>
                <w:b/>
              </w:rPr>
              <w:t>Recommendation:</w:t>
            </w:r>
          </w:p>
          <w:p w14:paraId="0324DA12" w14:textId="77777777" w:rsidR="00A52436" w:rsidRPr="00A52436" w:rsidRDefault="00A52436" w:rsidP="00A52436">
            <w:pPr>
              <w:numPr>
                <w:ilvl w:val="0"/>
                <w:numId w:val="25"/>
              </w:numPr>
              <w:spacing w:after="120"/>
              <w:rPr>
                <w:rFonts w:cs="Arial"/>
              </w:rPr>
            </w:pPr>
            <w:r w:rsidRPr="00A52436">
              <w:rPr>
                <w:rFonts w:cs="Arial"/>
              </w:rPr>
              <w:t>Modify AEP Annex A to reflect improvements to the terminal.</w:t>
            </w:r>
          </w:p>
          <w:p w14:paraId="20B241DC" w14:textId="74DEBD49" w:rsidR="00A52436" w:rsidRPr="00902801" w:rsidRDefault="00A52436" w:rsidP="00A52436">
            <w:pPr>
              <w:numPr>
                <w:ilvl w:val="0"/>
                <w:numId w:val="25"/>
              </w:numPr>
              <w:spacing w:after="120"/>
              <w:rPr>
                <w:rFonts w:cs="Arial"/>
              </w:rPr>
            </w:pPr>
            <w:r w:rsidRPr="00A52436">
              <w:rPr>
                <w:rFonts w:cs="Arial"/>
              </w:rPr>
              <w:t>PFD and ARFF personnel at Fire Stati</w:t>
            </w:r>
            <w:r>
              <w:rPr>
                <w:rFonts w:cs="Arial"/>
              </w:rPr>
              <w:t xml:space="preserve">on </w:t>
            </w:r>
            <w:r w:rsidRPr="00A52436">
              <w:rPr>
                <w:rFonts w:cs="Arial"/>
              </w:rPr>
              <w:t>82 conduct familiarization and interact with airport staff and terminal tenants weekly.</w:t>
            </w:r>
          </w:p>
        </w:tc>
      </w:tr>
    </w:tbl>
    <w:p w14:paraId="074C3FA0" w14:textId="77777777" w:rsidR="00D03909" w:rsidRPr="00902801" w:rsidRDefault="00D03909" w:rsidP="00D03909">
      <w:pPr>
        <w:rPr>
          <w:color w:val="000000"/>
          <w:szCs w:val="20"/>
        </w:rPr>
      </w:pPr>
    </w:p>
    <w:p w14:paraId="0CD77E4B" w14:textId="68BAB76A" w:rsidR="005F515F" w:rsidRPr="006D0B3D" w:rsidRDefault="005F515F" w:rsidP="006D0B3D">
      <w:pPr>
        <w:pStyle w:val="Heading2"/>
        <w:pageBreakBefore/>
        <w:rPr>
          <w:rFonts w:cs="Calibri"/>
        </w:rPr>
      </w:pPr>
      <w:bookmarkStart w:id="172" w:name="_Toc464323580"/>
      <w:r w:rsidRPr="006D0B3D">
        <w:rPr>
          <w:rFonts w:cs="Calibri"/>
        </w:rPr>
        <w:t>Training</w:t>
      </w:r>
      <w:bookmarkEnd w:id="60"/>
      <w:bookmarkEnd w:id="61"/>
      <w:bookmarkEnd w:id="62"/>
      <w:bookmarkEnd w:id="63"/>
      <w:bookmarkEnd w:id="64"/>
      <w:bookmarkEnd w:id="65"/>
      <w:bookmarkEnd w:id="172"/>
    </w:p>
    <w:p w14:paraId="44B2BD7B" w14:textId="1F4BAD5D" w:rsidR="00A841C7" w:rsidRDefault="00A841C7" w:rsidP="00A841C7">
      <w:pPr>
        <w:pStyle w:val="ESCiNormalParagraphChar"/>
        <w:rPr>
          <w:lang w:eastAsia="en-US"/>
        </w:rPr>
      </w:pPr>
      <w:bookmarkStart w:id="173" w:name="_Toc450485497"/>
      <w:bookmarkStart w:id="174" w:name="_Toc317482501"/>
      <w:bookmarkStart w:id="175" w:name="_Toc357084178"/>
      <w:bookmarkStart w:id="176" w:name="_Toc25673313"/>
      <w:bookmarkStart w:id="177" w:name="_Toc167527204"/>
      <w:bookmarkStart w:id="178" w:name="_Toc180897310"/>
      <w:bookmarkStart w:id="179" w:name="_Toc181002733"/>
      <w:bookmarkStart w:id="180" w:name="_Toc317482502"/>
      <w:r>
        <w:rPr>
          <w:lang w:eastAsia="en-US"/>
        </w:rPr>
        <w:t>The importance of the initial and on-going training and continuing education of firefighters, EMTs, and paramedics cannot be overstated.  The actions of fire department personnel on emergency responses that are less than stellar are generally a direct reflection of a substandard training program.  Personnel that receive training that focuses on continuous improvement are safer and more efficient and effective on emergency incidents.</w:t>
      </w:r>
    </w:p>
    <w:p w14:paraId="181BEE27" w14:textId="7D33DEBE" w:rsidR="00A841C7" w:rsidRDefault="00A841C7" w:rsidP="00A841C7">
      <w:pPr>
        <w:pStyle w:val="ESCiNormalParagraphChar"/>
        <w:rPr>
          <w:lang w:eastAsia="en-US"/>
        </w:rPr>
      </w:pPr>
      <w:r>
        <w:rPr>
          <w:lang w:eastAsia="en-US"/>
        </w:rPr>
        <w:t xml:space="preserve">PFD has had the luxury of hiring only experienced (lateral entry) firefighters, EMTs, and paramedics.  </w:t>
      </w:r>
      <w:r w:rsidRPr="0069029E">
        <w:rPr>
          <w:lang w:eastAsia="en-US"/>
        </w:rPr>
        <w:t>Initial training of new hire</w:t>
      </w:r>
      <w:r>
        <w:rPr>
          <w:lang w:eastAsia="en-US"/>
        </w:rPr>
        <w:t>s begins with an indoctrination</w:t>
      </w:r>
      <w:r w:rsidR="00A52436">
        <w:rPr>
          <w:lang w:eastAsia="en-US"/>
        </w:rPr>
        <w:t xml:space="preserve"> while assigned to </w:t>
      </w:r>
      <w:r>
        <w:rPr>
          <w:lang w:eastAsia="en-US"/>
        </w:rPr>
        <w:t>day</w:t>
      </w:r>
      <w:r w:rsidR="00A52436">
        <w:rPr>
          <w:lang w:eastAsia="en-US"/>
        </w:rPr>
        <w:t xml:space="preserve"> </w:t>
      </w:r>
      <w:r>
        <w:rPr>
          <w:lang w:eastAsia="en-US"/>
        </w:rPr>
        <w:t>s</w:t>
      </w:r>
      <w:r w:rsidR="00A52436">
        <w:rPr>
          <w:lang w:eastAsia="en-US"/>
        </w:rPr>
        <w:t>hift</w:t>
      </w:r>
      <w:r>
        <w:rPr>
          <w:lang w:eastAsia="en-US"/>
        </w:rPr>
        <w:t xml:space="preserve"> for ten weeks.  During the first year (probation) of employment, task book assignments are completed.  The most recent graduates of probation mentor recruits (new hires).  This unique method of mentorship has been successful for several reasons.  The mentor is familiar with the material having recently completed it themselves, they can relate to what the probationary employee is experiencing, and they are approachable.  </w:t>
      </w:r>
    </w:p>
    <w:p w14:paraId="028C192D" w14:textId="1F2512F9" w:rsidR="00A841C7" w:rsidRPr="0069029E" w:rsidRDefault="00A841C7" w:rsidP="00A841C7">
      <w:pPr>
        <w:pStyle w:val="ESCiNormalParagraphChar"/>
        <w:rPr>
          <w:lang w:eastAsia="en-US"/>
        </w:rPr>
      </w:pPr>
      <w:r>
        <w:rPr>
          <w:lang w:eastAsia="en-US"/>
        </w:rPr>
        <w:t xml:space="preserve">Following the probation period, personnel need on-going training and skill maintenance.  To this end, there has to be </w:t>
      </w:r>
      <w:r w:rsidRPr="0069029E">
        <w:rPr>
          <w:lang w:eastAsia="en-US"/>
        </w:rPr>
        <w:t>a sufficient number of instructors</w:t>
      </w:r>
      <w:r>
        <w:rPr>
          <w:lang w:eastAsia="en-US"/>
        </w:rPr>
        <w:t>, training grounds, and adequate training materials either internally or available from outside sources</w:t>
      </w:r>
      <w:r w:rsidRPr="0069029E">
        <w:rPr>
          <w:lang w:eastAsia="en-US"/>
        </w:rPr>
        <w:t>.</w:t>
      </w:r>
      <w:r>
        <w:rPr>
          <w:lang w:eastAsia="en-US"/>
        </w:rPr>
        <w:t xml:space="preserve"> </w:t>
      </w:r>
      <w:r w:rsidRPr="0069029E">
        <w:rPr>
          <w:lang w:eastAsia="en-US"/>
        </w:rPr>
        <w:t xml:space="preserve"> Training sessions should be formal and follow a prescribed lesson plan that meets specific objectives. </w:t>
      </w:r>
      <w:r>
        <w:rPr>
          <w:lang w:eastAsia="en-US"/>
        </w:rPr>
        <w:t xml:space="preserve"> Additionally, </w:t>
      </w:r>
      <w:r w:rsidRPr="0069029E">
        <w:rPr>
          <w:lang w:eastAsia="en-US"/>
        </w:rPr>
        <w:t>training sessions involv</w:t>
      </w:r>
      <w:r>
        <w:rPr>
          <w:lang w:eastAsia="en-US"/>
        </w:rPr>
        <w:t>ing</w:t>
      </w:r>
      <w:r w:rsidRPr="0069029E">
        <w:rPr>
          <w:lang w:eastAsia="en-US"/>
        </w:rPr>
        <w:t xml:space="preserve"> manipulative exercises </w:t>
      </w:r>
      <w:r>
        <w:rPr>
          <w:lang w:eastAsia="en-US"/>
        </w:rPr>
        <w:t xml:space="preserve">should include </w:t>
      </w:r>
      <w:r w:rsidRPr="0069029E">
        <w:rPr>
          <w:lang w:eastAsia="en-US"/>
        </w:rPr>
        <w:t>a</w:t>
      </w:r>
      <w:r>
        <w:rPr>
          <w:lang w:eastAsia="en-US"/>
        </w:rPr>
        <w:t xml:space="preserve"> safety message and have a dedicated </w:t>
      </w:r>
      <w:r w:rsidRPr="0069029E">
        <w:rPr>
          <w:lang w:eastAsia="en-US"/>
        </w:rPr>
        <w:t>safety officer.</w:t>
      </w:r>
    </w:p>
    <w:p w14:paraId="53AE8001" w14:textId="77777777" w:rsidR="00A841C7" w:rsidRPr="00A25EA2" w:rsidRDefault="00A841C7" w:rsidP="00A841C7">
      <w:pPr>
        <w:pStyle w:val="ESCiNormalParagraphChar"/>
      </w:pPr>
      <w:r w:rsidRPr="00A25EA2">
        <w:t>In this section, ESCI reviews PFD’s training practices, compares them to national</w:t>
      </w:r>
      <w:r>
        <w:t xml:space="preserve"> and other applicable state</w:t>
      </w:r>
      <w:r w:rsidRPr="00A25EA2">
        <w:t xml:space="preserve"> standards and best practices and offers recommendations as are appropriate.</w:t>
      </w:r>
    </w:p>
    <w:p w14:paraId="68718A18" w14:textId="77777777" w:rsidR="00A841C7" w:rsidRDefault="00A841C7" w:rsidP="00A841C7">
      <w:pPr>
        <w:pStyle w:val="Heading3"/>
        <w:rPr>
          <w:rFonts w:eastAsia="Times New Roman"/>
          <w:lang w:eastAsia="en-US"/>
        </w:rPr>
      </w:pPr>
      <w:bookmarkStart w:id="181" w:name="_Toc464323581"/>
      <w:r>
        <w:rPr>
          <w:rFonts w:eastAsia="Times New Roman"/>
          <w:lang w:eastAsia="en-US"/>
        </w:rPr>
        <w:t>General Training C</w:t>
      </w:r>
      <w:r w:rsidRPr="00817349">
        <w:rPr>
          <w:rFonts w:eastAsia="Times New Roman"/>
          <w:lang w:eastAsia="en-US"/>
        </w:rPr>
        <w:t>ompetencies</w:t>
      </w:r>
      <w:bookmarkEnd w:id="181"/>
    </w:p>
    <w:p w14:paraId="66CBA27E" w14:textId="77777777" w:rsidR="00A841C7" w:rsidRDefault="00A841C7" w:rsidP="00A841C7">
      <w:pPr>
        <w:pStyle w:val="ESCiNormalParagraphChar"/>
      </w:pPr>
      <w:r>
        <w:t xml:space="preserve">The basis for effective </w:t>
      </w:r>
      <w:r w:rsidRPr="00E5296D">
        <w:t xml:space="preserve">training </w:t>
      </w:r>
      <w:r>
        <w:t>is</w:t>
      </w:r>
      <w:r w:rsidRPr="00E5296D">
        <w:t xml:space="preserve"> established standards. </w:t>
      </w:r>
      <w:r>
        <w:t xml:space="preserve"> There exists a</w:t>
      </w:r>
      <w:r w:rsidRPr="00E5296D">
        <w:t xml:space="preserve"> variety of training standards</w:t>
      </w:r>
      <w:r>
        <w:t xml:space="preserve"> including those from </w:t>
      </w:r>
      <w:r w:rsidRPr="00E5296D">
        <w:t>the National Fire Protection Association (NFPA), the International Fire Service Training Association (IFSTA), the International Fire Service Accreditation Congress (IFSAC), and applicable Washington Administrative Code (WAC)</w:t>
      </w:r>
      <w:r>
        <w:rPr>
          <w:rStyle w:val="FootnoteReference"/>
        </w:rPr>
        <w:footnoteReference w:id="24"/>
      </w:r>
      <w:r w:rsidRPr="00E5296D">
        <w:t xml:space="preserve"> firefighter safety and training requirements. </w:t>
      </w:r>
      <w:r>
        <w:t xml:space="preserve"> EMTs and paramedics must comply with </w:t>
      </w:r>
      <w:r w:rsidRPr="00E5296D">
        <w:t>the Washington State Department of Health (WADOH) Ongoing Training &amp; Evaluation Program (OTEP) for continu</w:t>
      </w:r>
      <w:r>
        <w:t>ed</w:t>
      </w:r>
      <w:r w:rsidRPr="00E5296D">
        <w:t xml:space="preserve"> certification.</w:t>
      </w:r>
    </w:p>
    <w:p w14:paraId="2D25AB91" w14:textId="77777777" w:rsidR="00A841C7" w:rsidRPr="00890BEA" w:rsidRDefault="00A841C7" w:rsidP="00A841C7">
      <w:pPr>
        <w:pStyle w:val="ESCiNormalParagraphChar"/>
      </w:pPr>
      <w:r w:rsidRPr="00890BEA">
        <w:t>Accountability of PFD personnel at emergency incidents is with the Passport Accountability System.  Policies developed in-house outline the use of passports</w:t>
      </w:r>
      <w:r>
        <w:t xml:space="preserve">.  Safety procedures for training activities are in the PFD health and safety manual.  Fire department employees receive monthly training on a rotating variety of selected safety topics. </w:t>
      </w:r>
    </w:p>
    <w:p w14:paraId="1933B3D1" w14:textId="77777777" w:rsidR="00A841C7" w:rsidRDefault="00A841C7" w:rsidP="00CF21F8">
      <w:pPr>
        <w:pStyle w:val="ESCiNormalParagraphChar"/>
        <w:spacing w:after="0"/>
      </w:pPr>
      <w:r>
        <w:t>Beyond firefighting and EMS, PFD personnel are involved in a variety of specialized disciplines.  Specialized services provided by the department include:</w:t>
      </w:r>
    </w:p>
    <w:p w14:paraId="6F86201B" w14:textId="16498966" w:rsidR="00A841C7" w:rsidRDefault="00A841C7" w:rsidP="00D93539">
      <w:pPr>
        <w:pStyle w:val="ListParagraph"/>
        <w:numPr>
          <w:ilvl w:val="0"/>
          <w:numId w:val="17"/>
        </w:numPr>
      </w:pPr>
      <w:r w:rsidRPr="00D37787">
        <w:t xml:space="preserve">High/Low </w:t>
      </w:r>
      <w:r w:rsidR="00CF21F8">
        <w:t>a</w:t>
      </w:r>
      <w:r w:rsidRPr="00D37787">
        <w:t>ngle</w:t>
      </w:r>
      <w:r>
        <w:t xml:space="preserve"> rescue</w:t>
      </w:r>
    </w:p>
    <w:p w14:paraId="078A9B15" w14:textId="77777777" w:rsidR="00A841C7" w:rsidRDefault="00A841C7" w:rsidP="00D93539">
      <w:pPr>
        <w:pStyle w:val="ListParagraph"/>
        <w:numPr>
          <w:ilvl w:val="0"/>
          <w:numId w:val="17"/>
        </w:numPr>
      </w:pPr>
      <w:r w:rsidRPr="00D37787">
        <w:t>Swiftwater</w:t>
      </w:r>
      <w:r>
        <w:t xml:space="preserve"> rescue</w:t>
      </w:r>
    </w:p>
    <w:p w14:paraId="6B6C1E10" w14:textId="1B985B76" w:rsidR="00A841C7" w:rsidRDefault="00A841C7" w:rsidP="00D93539">
      <w:pPr>
        <w:pStyle w:val="ListParagraph"/>
        <w:numPr>
          <w:ilvl w:val="0"/>
          <w:numId w:val="17"/>
        </w:numPr>
      </w:pPr>
      <w:r w:rsidRPr="00D37787">
        <w:t xml:space="preserve">Confined </w:t>
      </w:r>
      <w:r w:rsidR="00CF21F8">
        <w:t>s</w:t>
      </w:r>
      <w:r w:rsidRPr="00D37787">
        <w:t>pace</w:t>
      </w:r>
      <w:r>
        <w:t xml:space="preserve"> rescue</w:t>
      </w:r>
    </w:p>
    <w:p w14:paraId="2DCA36D0" w14:textId="77777777" w:rsidR="00A841C7" w:rsidRDefault="00A841C7" w:rsidP="00D93539">
      <w:pPr>
        <w:pStyle w:val="ListParagraph"/>
        <w:numPr>
          <w:ilvl w:val="0"/>
          <w:numId w:val="17"/>
        </w:numPr>
      </w:pPr>
      <w:r w:rsidRPr="00D37787">
        <w:t>Trench</w:t>
      </w:r>
      <w:r>
        <w:t xml:space="preserve"> rescue</w:t>
      </w:r>
    </w:p>
    <w:p w14:paraId="41A58BB9" w14:textId="77777777" w:rsidR="00A841C7" w:rsidRDefault="00A841C7" w:rsidP="00D93539">
      <w:pPr>
        <w:pStyle w:val="ListParagraph"/>
        <w:numPr>
          <w:ilvl w:val="0"/>
          <w:numId w:val="17"/>
        </w:numPr>
      </w:pPr>
      <w:r>
        <w:t>Active shooter</w:t>
      </w:r>
    </w:p>
    <w:p w14:paraId="06EE20F6" w14:textId="77777777" w:rsidR="00A841C7" w:rsidRDefault="00A841C7" w:rsidP="00D93539">
      <w:pPr>
        <w:pStyle w:val="ListParagraph"/>
        <w:numPr>
          <w:ilvl w:val="0"/>
          <w:numId w:val="17"/>
        </w:numPr>
      </w:pPr>
      <w:r>
        <w:t>Hazardous materials response</w:t>
      </w:r>
    </w:p>
    <w:p w14:paraId="78732E4B" w14:textId="77777777" w:rsidR="00A841C7" w:rsidRDefault="00A841C7" w:rsidP="00D93539">
      <w:pPr>
        <w:pStyle w:val="ListParagraph"/>
        <w:numPr>
          <w:ilvl w:val="0"/>
          <w:numId w:val="17"/>
        </w:numPr>
      </w:pPr>
      <w:r>
        <w:t>Wildland firefighting</w:t>
      </w:r>
    </w:p>
    <w:p w14:paraId="75C3E489" w14:textId="77777777" w:rsidR="00A841C7" w:rsidRDefault="00A841C7" w:rsidP="00D93539">
      <w:pPr>
        <w:pStyle w:val="ListParagraph"/>
        <w:numPr>
          <w:ilvl w:val="0"/>
          <w:numId w:val="17"/>
        </w:numPr>
      </w:pPr>
      <w:r>
        <w:t>Vehicle extrication</w:t>
      </w:r>
    </w:p>
    <w:p w14:paraId="77234E2F" w14:textId="018CE4E1" w:rsidR="00A841C7" w:rsidRDefault="00A841C7" w:rsidP="00A841C7">
      <w:pPr>
        <w:pStyle w:val="ESCiNormalParagraphChar"/>
      </w:pPr>
      <w:r>
        <w:t xml:space="preserve">Each specialized service requires personnel to have initial and on-going </w:t>
      </w:r>
      <w:r w:rsidRPr="004D7B00">
        <w:t>training</w:t>
      </w:r>
      <w:r>
        <w:t xml:space="preserve"> to maintain the level of skills necessary to operate efficiently and safely.  PFD cooperates with other fire departments in the delivery of some specialized services.  Hazardous materials response, wildland firefighting, and fire investigation are the most highly organized.  There are plans for greater cooperation for additional specialized services including </w:t>
      </w:r>
      <w:r w:rsidR="00A52436">
        <w:t>swift water</w:t>
      </w:r>
      <w:r>
        <w:t xml:space="preserve"> rescue.</w:t>
      </w:r>
    </w:p>
    <w:p w14:paraId="207B4901" w14:textId="3CB0F9CB" w:rsidR="00A841C7" w:rsidRDefault="00A841C7" w:rsidP="00A841C7">
      <w:pPr>
        <w:pStyle w:val="ESCiNormalParagraphChar"/>
      </w:pPr>
      <w:r>
        <w:t xml:space="preserve">Firefighters must learn and retain a vast number of skills.  Training should be on maintaining skills and acquiring new abilities.  This can be accomplished with </w:t>
      </w:r>
      <w:r w:rsidR="00CF21F8">
        <w:t>competency-based trainin</w:t>
      </w:r>
      <w:r>
        <w:t>g</w:t>
      </w:r>
      <w:r w:rsidR="00CF21F8">
        <w:t xml:space="preserve"> (CBT</w:t>
      </w:r>
      <w:r>
        <w:t xml:space="preserve">).  </w:t>
      </w:r>
      <w:r w:rsidRPr="00501D81">
        <w:t>C</w:t>
      </w:r>
      <w:r>
        <w:t>BT</w:t>
      </w:r>
      <w:r w:rsidRPr="00501D81">
        <w:t xml:space="preserve"> is training designed to allow a learner to demonstrate the ability to do something.</w:t>
      </w:r>
      <w:r>
        <w:t xml:space="preserve">  The key being </w:t>
      </w:r>
      <w:r w:rsidR="00CF21F8">
        <w:t xml:space="preserve">that they either can or cannot </w:t>
      </w:r>
      <w:r>
        <w:t xml:space="preserve">yet do the task that </w:t>
      </w:r>
      <w:r w:rsidR="00CF21F8">
        <w:t>they</w:t>
      </w:r>
      <w:r>
        <w:t xml:space="preserve"> are learning.  They do not have to be better or faster than others, they simply have to demonstrate the task, exercise, or skill well enough to be competent.  When a firefighter demonstrates competency to complete a task, the focus can be shifted to advanced training or learning additional skills.  </w:t>
      </w:r>
    </w:p>
    <w:p w14:paraId="34AC5C71" w14:textId="47B272CE" w:rsidR="00A841C7" w:rsidRDefault="00A841C7" w:rsidP="00A841C7">
      <w:pPr>
        <w:pStyle w:val="ESCiNormalParagraphChar"/>
      </w:pPr>
      <w:r>
        <w:t>PFD uses CBT for evaluating manipulative skills with</w:t>
      </w:r>
      <w:r w:rsidRPr="00FD3E8F">
        <w:t xml:space="preserve"> monthly </w:t>
      </w:r>
      <w:r>
        <w:t xml:space="preserve">scheduled </w:t>
      </w:r>
      <w:r w:rsidRPr="00FD3E8F">
        <w:t xml:space="preserve">exercises for ladders and hose, </w:t>
      </w:r>
      <w:r>
        <w:t xml:space="preserve">and </w:t>
      </w:r>
      <w:r w:rsidRPr="00FD3E8F">
        <w:t>quarterly for SCBA</w:t>
      </w:r>
      <w:r>
        <w:t xml:space="preserve"> (self-contained breathing apparatus)</w:t>
      </w:r>
      <w:r w:rsidRPr="00FD3E8F">
        <w:t>.</w:t>
      </w:r>
      <w:r>
        <w:t xml:space="preserve">  Although scheduled, monthly manipulative skills training is reportedly not always completed.  Using CBT, PFD is able to meet WSRB firefighter training requirements.  PFD conducts a variety of drill activities involving more than a single fire station or company, including:</w:t>
      </w:r>
    </w:p>
    <w:tbl>
      <w:tblPr>
        <w:tblStyle w:val="TableGrid"/>
        <w:tblW w:w="674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45"/>
        <w:gridCol w:w="3595"/>
      </w:tblGrid>
      <w:tr w:rsidR="005714EA" w:rsidRPr="005714EA" w14:paraId="33102D0B" w14:textId="77777777" w:rsidTr="004C09E7">
        <w:trPr>
          <w:trHeight w:val="288"/>
          <w:jc w:val="center"/>
        </w:trPr>
        <w:tc>
          <w:tcPr>
            <w:tcW w:w="3145" w:type="dxa"/>
            <w:tcBorders>
              <w:right w:val="single" w:sz="4" w:space="0" w:color="auto"/>
            </w:tcBorders>
            <w:shd w:val="clear" w:color="auto" w:fill="365F91"/>
            <w:vAlign w:val="bottom"/>
          </w:tcPr>
          <w:p w14:paraId="09ED0D80" w14:textId="3F731FF4" w:rsidR="005714EA" w:rsidRPr="005714EA" w:rsidRDefault="005714EA" w:rsidP="004C09E7">
            <w:pPr>
              <w:pStyle w:val="ESCiNormalParagraphChar"/>
              <w:spacing w:after="0" w:line="276" w:lineRule="auto"/>
              <w:jc w:val="center"/>
              <w:rPr>
                <w:rFonts w:eastAsia="Times New Roman" w:cs="Times New Roman"/>
                <w:b/>
                <w:color w:val="FFFFFF" w:themeColor="background1"/>
                <w:sz w:val="20"/>
              </w:rPr>
            </w:pPr>
            <w:r w:rsidRPr="005714EA">
              <w:rPr>
                <w:rFonts w:eastAsia="Times New Roman" w:cs="Times New Roman"/>
                <w:b/>
                <w:color w:val="FFFFFF" w:themeColor="background1"/>
                <w:sz w:val="20"/>
              </w:rPr>
              <w:t>Drill Type</w:t>
            </w:r>
          </w:p>
        </w:tc>
        <w:tc>
          <w:tcPr>
            <w:tcW w:w="3595" w:type="dxa"/>
            <w:tcBorders>
              <w:left w:val="single" w:sz="4" w:space="0" w:color="auto"/>
            </w:tcBorders>
            <w:shd w:val="clear" w:color="auto" w:fill="365F91"/>
            <w:vAlign w:val="bottom"/>
          </w:tcPr>
          <w:p w14:paraId="662BA2C4" w14:textId="15448088" w:rsidR="005714EA" w:rsidRPr="005714EA" w:rsidRDefault="005714EA" w:rsidP="004C09E7">
            <w:pPr>
              <w:pStyle w:val="ESCiNormalParagraphChar"/>
              <w:spacing w:after="0" w:line="276" w:lineRule="auto"/>
              <w:jc w:val="center"/>
              <w:rPr>
                <w:rFonts w:eastAsia="Calibri" w:cs="Times New Roman"/>
                <w:b/>
                <w:color w:val="FFFFFF" w:themeColor="background1"/>
                <w:sz w:val="20"/>
                <w:lang w:eastAsia="en-US"/>
              </w:rPr>
            </w:pPr>
            <w:r w:rsidRPr="005714EA">
              <w:rPr>
                <w:rFonts w:eastAsia="Calibri" w:cs="Times New Roman"/>
                <w:b/>
                <w:color w:val="FFFFFF" w:themeColor="background1"/>
                <w:sz w:val="20"/>
                <w:lang w:eastAsia="en-US"/>
              </w:rPr>
              <w:t>Frequency</w:t>
            </w:r>
          </w:p>
        </w:tc>
      </w:tr>
      <w:tr w:rsidR="00A52436" w14:paraId="38C2EBD9" w14:textId="77777777" w:rsidTr="004C09E7">
        <w:trPr>
          <w:jc w:val="center"/>
        </w:trPr>
        <w:tc>
          <w:tcPr>
            <w:tcW w:w="3145" w:type="dxa"/>
            <w:tcBorders>
              <w:right w:val="single" w:sz="4" w:space="0" w:color="auto"/>
            </w:tcBorders>
            <w:shd w:val="clear" w:color="auto" w:fill="auto"/>
            <w:vAlign w:val="center"/>
          </w:tcPr>
          <w:p w14:paraId="0BC99176" w14:textId="265F2B1E" w:rsidR="00A52436" w:rsidRDefault="00A52436" w:rsidP="004C09E7">
            <w:pPr>
              <w:pStyle w:val="ESCiNormalParagraphChar"/>
              <w:spacing w:after="0" w:line="240" w:lineRule="auto"/>
            </w:pPr>
            <w:r w:rsidRPr="00FA6204">
              <w:rPr>
                <w:rFonts w:eastAsia="Times New Roman" w:cs="Times New Roman"/>
                <w:sz w:val="20"/>
              </w:rPr>
              <w:t>Night drills</w:t>
            </w:r>
            <w:r>
              <w:rPr>
                <w:rFonts w:eastAsia="Times New Roman" w:cs="Times New Roman"/>
                <w:sz w:val="20"/>
              </w:rPr>
              <w:t xml:space="preserve"> </w:t>
            </w:r>
          </w:p>
        </w:tc>
        <w:tc>
          <w:tcPr>
            <w:tcW w:w="3595" w:type="dxa"/>
            <w:tcBorders>
              <w:left w:val="single" w:sz="4" w:space="0" w:color="auto"/>
            </w:tcBorders>
            <w:shd w:val="clear" w:color="auto" w:fill="auto"/>
            <w:vAlign w:val="center"/>
          </w:tcPr>
          <w:p w14:paraId="4EDE1470" w14:textId="17B6AF32" w:rsidR="00A52436" w:rsidRDefault="00A52436" w:rsidP="004C09E7">
            <w:pPr>
              <w:pStyle w:val="ESCiNormalParagraphChar"/>
              <w:spacing w:after="0" w:line="240" w:lineRule="auto"/>
            </w:pPr>
            <w:r w:rsidRPr="00FA6204">
              <w:rPr>
                <w:rFonts w:eastAsia="Calibri" w:cs="Times New Roman"/>
                <w:sz w:val="20"/>
                <w:lang w:eastAsia="en-US"/>
              </w:rPr>
              <w:t>Annually, multi-company and multi-agency</w:t>
            </w:r>
          </w:p>
        </w:tc>
      </w:tr>
      <w:tr w:rsidR="00A52436" w14:paraId="758472A1" w14:textId="77777777" w:rsidTr="004C09E7">
        <w:trPr>
          <w:jc w:val="center"/>
        </w:trPr>
        <w:tc>
          <w:tcPr>
            <w:tcW w:w="3145" w:type="dxa"/>
            <w:tcBorders>
              <w:right w:val="single" w:sz="4" w:space="0" w:color="auto"/>
            </w:tcBorders>
            <w:shd w:val="clear" w:color="auto" w:fill="D9D9D9" w:themeFill="background1" w:themeFillShade="D9"/>
            <w:vAlign w:val="center"/>
          </w:tcPr>
          <w:p w14:paraId="28DEB189" w14:textId="7E47A7EF" w:rsidR="00A52436" w:rsidRDefault="00A52436" w:rsidP="004C09E7">
            <w:pPr>
              <w:pStyle w:val="ESCiNormalParagraphChar"/>
              <w:spacing w:after="0" w:line="240" w:lineRule="auto"/>
            </w:pPr>
            <w:r w:rsidRPr="00FA6204">
              <w:rPr>
                <w:rFonts w:eastAsia="Times New Roman" w:cs="Times New Roman"/>
                <w:sz w:val="20"/>
              </w:rPr>
              <w:t xml:space="preserve">Multi-agency drills </w:t>
            </w:r>
          </w:p>
        </w:tc>
        <w:tc>
          <w:tcPr>
            <w:tcW w:w="3595" w:type="dxa"/>
            <w:tcBorders>
              <w:left w:val="single" w:sz="4" w:space="0" w:color="auto"/>
            </w:tcBorders>
            <w:shd w:val="clear" w:color="auto" w:fill="D9D9D9" w:themeFill="background1" w:themeFillShade="D9"/>
            <w:vAlign w:val="center"/>
          </w:tcPr>
          <w:p w14:paraId="024D961C" w14:textId="0BD43525" w:rsidR="00A52436" w:rsidRDefault="00A52436" w:rsidP="004C09E7">
            <w:pPr>
              <w:pStyle w:val="ESCiNormalParagraphChar"/>
              <w:spacing w:after="0" w:line="240" w:lineRule="auto"/>
            </w:pPr>
            <w:r w:rsidRPr="00FA6204">
              <w:rPr>
                <w:rFonts w:eastAsia="Calibri" w:cs="Times New Roman"/>
                <w:sz w:val="20"/>
                <w:lang w:eastAsia="en-US"/>
              </w:rPr>
              <w:t>Quarterly, generally</w:t>
            </w:r>
          </w:p>
        </w:tc>
      </w:tr>
      <w:tr w:rsidR="005714EA" w14:paraId="1082DEA4" w14:textId="77777777" w:rsidTr="004C09E7">
        <w:trPr>
          <w:jc w:val="center"/>
        </w:trPr>
        <w:tc>
          <w:tcPr>
            <w:tcW w:w="3145" w:type="dxa"/>
            <w:tcBorders>
              <w:right w:val="single" w:sz="4" w:space="0" w:color="auto"/>
            </w:tcBorders>
            <w:shd w:val="clear" w:color="auto" w:fill="auto"/>
            <w:vAlign w:val="center"/>
          </w:tcPr>
          <w:p w14:paraId="752E8F1C" w14:textId="60278186" w:rsidR="005714EA" w:rsidRDefault="005714EA" w:rsidP="004C09E7">
            <w:pPr>
              <w:pStyle w:val="ESCiNormalParagraphChar"/>
              <w:spacing w:after="0" w:line="240" w:lineRule="auto"/>
            </w:pPr>
            <w:r>
              <w:rPr>
                <w:rFonts w:eastAsia="Times New Roman" w:cs="Times New Roman"/>
                <w:sz w:val="20"/>
              </w:rPr>
              <w:t xml:space="preserve">Inter-station drills </w:t>
            </w:r>
          </w:p>
        </w:tc>
        <w:tc>
          <w:tcPr>
            <w:tcW w:w="3595" w:type="dxa"/>
            <w:tcBorders>
              <w:left w:val="single" w:sz="4" w:space="0" w:color="auto"/>
            </w:tcBorders>
            <w:shd w:val="clear" w:color="auto" w:fill="auto"/>
            <w:vAlign w:val="center"/>
          </w:tcPr>
          <w:p w14:paraId="1635296C" w14:textId="05751887" w:rsidR="005714EA" w:rsidRDefault="005714EA" w:rsidP="004C09E7">
            <w:pPr>
              <w:pStyle w:val="ESCiNormalParagraphChar"/>
              <w:spacing w:after="0" w:line="240" w:lineRule="auto"/>
            </w:pPr>
            <w:r w:rsidRPr="00FA6204">
              <w:rPr>
                <w:rFonts w:eastAsia="Calibri" w:cs="Times New Roman"/>
                <w:sz w:val="20"/>
                <w:lang w:eastAsia="en-US"/>
              </w:rPr>
              <w:t>Monthly</w:t>
            </w:r>
          </w:p>
        </w:tc>
      </w:tr>
      <w:tr w:rsidR="005714EA" w14:paraId="68FB3033" w14:textId="77777777" w:rsidTr="004C09E7">
        <w:trPr>
          <w:jc w:val="center"/>
        </w:trPr>
        <w:tc>
          <w:tcPr>
            <w:tcW w:w="3145" w:type="dxa"/>
            <w:tcBorders>
              <w:right w:val="single" w:sz="4" w:space="0" w:color="auto"/>
            </w:tcBorders>
            <w:shd w:val="clear" w:color="auto" w:fill="D9D9D9" w:themeFill="background1" w:themeFillShade="D9"/>
            <w:vAlign w:val="center"/>
          </w:tcPr>
          <w:p w14:paraId="07A3FB38" w14:textId="5F398DCD" w:rsidR="005714EA" w:rsidRDefault="005714EA" w:rsidP="004C09E7">
            <w:pPr>
              <w:pStyle w:val="ESCiNormalParagraphChar"/>
              <w:spacing w:after="0" w:line="240" w:lineRule="auto"/>
            </w:pPr>
            <w:r w:rsidRPr="00FA6204">
              <w:rPr>
                <w:rFonts w:eastAsia="Times New Roman" w:cs="Times New Roman"/>
                <w:sz w:val="20"/>
              </w:rPr>
              <w:t>Disaster drills conducted</w:t>
            </w:r>
            <w:r>
              <w:rPr>
                <w:rFonts w:eastAsia="Times New Roman" w:cs="Times New Roman"/>
                <w:sz w:val="20"/>
              </w:rPr>
              <w:t xml:space="preserve"> </w:t>
            </w:r>
          </w:p>
        </w:tc>
        <w:tc>
          <w:tcPr>
            <w:tcW w:w="3595" w:type="dxa"/>
            <w:tcBorders>
              <w:left w:val="single" w:sz="4" w:space="0" w:color="auto"/>
            </w:tcBorders>
            <w:shd w:val="clear" w:color="auto" w:fill="D9D9D9" w:themeFill="background1" w:themeFillShade="D9"/>
            <w:vAlign w:val="center"/>
          </w:tcPr>
          <w:p w14:paraId="38E94B51" w14:textId="6265CCFC" w:rsidR="005714EA" w:rsidRDefault="005714EA" w:rsidP="004C09E7">
            <w:pPr>
              <w:pStyle w:val="ESCiNormalParagraphChar"/>
              <w:spacing w:after="0" w:line="240" w:lineRule="auto"/>
            </w:pPr>
            <w:r w:rsidRPr="00FA6204">
              <w:rPr>
                <w:rFonts w:eastAsia="Calibri" w:cs="Times New Roman"/>
                <w:sz w:val="20"/>
                <w:lang w:eastAsia="en-US"/>
              </w:rPr>
              <w:t>Annually, or with greater frequency</w:t>
            </w:r>
          </w:p>
        </w:tc>
      </w:tr>
      <w:tr w:rsidR="005714EA" w14:paraId="73381848" w14:textId="77777777" w:rsidTr="004C09E7">
        <w:trPr>
          <w:jc w:val="center"/>
        </w:trPr>
        <w:tc>
          <w:tcPr>
            <w:tcW w:w="3145" w:type="dxa"/>
            <w:tcBorders>
              <w:right w:val="single" w:sz="4" w:space="0" w:color="auto"/>
            </w:tcBorders>
            <w:shd w:val="clear" w:color="auto" w:fill="auto"/>
          </w:tcPr>
          <w:p w14:paraId="07750333" w14:textId="3B9F91CD" w:rsidR="005714EA" w:rsidRDefault="004C09E7" w:rsidP="004C09E7">
            <w:pPr>
              <w:pStyle w:val="ESCiNormalParagraphChar"/>
              <w:spacing w:after="0" w:line="240" w:lineRule="auto"/>
            </w:pPr>
            <w:r>
              <w:rPr>
                <w:rFonts w:eastAsia="Times New Roman" w:cs="Times New Roman"/>
                <w:sz w:val="20"/>
              </w:rPr>
              <w:t xml:space="preserve">Pre-fire planning included in </w:t>
            </w:r>
            <w:r w:rsidR="005714EA" w:rsidRPr="00FA6204">
              <w:rPr>
                <w:rFonts w:eastAsia="Times New Roman" w:cs="Times New Roman"/>
                <w:sz w:val="20"/>
              </w:rPr>
              <w:t>training</w:t>
            </w:r>
          </w:p>
        </w:tc>
        <w:tc>
          <w:tcPr>
            <w:tcW w:w="3595" w:type="dxa"/>
            <w:tcBorders>
              <w:left w:val="single" w:sz="4" w:space="0" w:color="auto"/>
            </w:tcBorders>
            <w:shd w:val="clear" w:color="auto" w:fill="auto"/>
          </w:tcPr>
          <w:p w14:paraId="2F0879DE" w14:textId="2B3A178C" w:rsidR="005714EA" w:rsidRDefault="005714EA" w:rsidP="004C09E7">
            <w:pPr>
              <w:pStyle w:val="ESCiNormalParagraphChar"/>
              <w:spacing w:after="0" w:line="240" w:lineRule="auto"/>
            </w:pPr>
            <w:r>
              <w:rPr>
                <w:rFonts w:eastAsia="Calibri" w:cs="Times New Roman"/>
                <w:sz w:val="20"/>
                <w:lang w:eastAsia="en-US"/>
              </w:rPr>
              <w:t>Limited</w:t>
            </w:r>
            <w:r w:rsidR="004C09E7">
              <w:rPr>
                <w:rFonts w:eastAsia="Calibri" w:cs="Times New Roman"/>
                <w:sz w:val="20"/>
                <w:lang w:eastAsia="en-US"/>
              </w:rPr>
              <w:t xml:space="preserve">; </w:t>
            </w:r>
            <w:r w:rsidRPr="00FA6204">
              <w:rPr>
                <w:rFonts w:eastAsia="Calibri" w:cs="Times New Roman"/>
                <w:sz w:val="20"/>
                <w:lang w:eastAsia="en-US"/>
              </w:rPr>
              <w:t>engine companies conduct vulnerability assessments of large commercial structures</w:t>
            </w:r>
          </w:p>
        </w:tc>
      </w:tr>
    </w:tbl>
    <w:p w14:paraId="149D233F" w14:textId="77777777" w:rsidR="00A52436" w:rsidRDefault="00A52436" w:rsidP="00A841C7">
      <w:pPr>
        <w:pStyle w:val="ESCiNormalParagraphChar"/>
      </w:pPr>
    </w:p>
    <w:p w14:paraId="4EE742A7" w14:textId="251B6830" w:rsidR="00A841C7" w:rsidRDefault="00A841C7" w:rsidP="00A841C7">
      <w:pPr>
        <w:pStyle w:val="ESCiNormalParagraphChar"/>
        <w:rPr>
          <w:lang w:eastAsia="en-US"/>
        </w:rPr>
      </w:pPr>
      <w:r>
        <w:rPr>
          <w:lang w:eastAsia="en-US"/>
        </w:rPr>
        <w:t>On-going firefighter training is predominantly for skill maintenance and learning new techniques for established practices.  In addition to regular on</w:t>
      </w:r>
      <w:r w:rsidR="00CF21F8">
        <w:rPr>
          <w:lang w:eastAsia="en-US"/>
        </w:rPr>
        <w:t>-</w:t>
      </w:r>
      <w:r>
        <w:rPr>
          <w:lang w:eastAsia="en-US"/>
        </w:rPr>
        <w:t>going training, a path for developing future company and chief officers should be offered.  Placing individuals aspiring to greater</w:t>
      </w:r>
      <w:r w:rsidRPr="009B1A4B">
        <w:rPr>
          <w:lang w:eastAsia="en-US"/>
        </w:rPr>
        <w:t xml:space="preserve"> responsibility</w:t>
      </w:r>
      <w:r w:rsidRPr="004902D1">
        <w:rPr>
          <w:lang w:eastAsia="en-US"/>
        </w:rPr>
        <w:t xml:space="preserve"> </w:t>
      </w:r>
      <w:r w:rsidRPr="009B1A4B">
        <w:rPr>
          <w:lang w:eastAsia="en-US"/>
        </w:rPr>
        <w:t xml:space="preserve">in </w:t>
      </w:r>
      <w:r>
        <w:rPr>
          <w:lang w:eastAsia="en-US"/>
        </w:rPr>
        <w:t xml:space="preserve">a </w:t>
      </w:r>
      <w:r w:rsidRPr="009B1A4B">
        <w:rPr>
          <w:lang w:eastAsia="en-US"/>
        </w:rPr>
        <w:t xml:space="preserve">position of authority without </w:t>
      </w:r>
      <w:r>
        <w:rPr>
          <w:lang w:eastAsia="en-US"/>
        </w:rPr>
        <w:t>preparation will often have a disappointing outcome.  PFD has developed a task</w:t>
      </w:r>
      <w:r w:rsidR="00CF21F8">
        <w:rPr>
          <w:lang w:eastAsia="en-US"/>
        </w:rPr>
        <w:t xml:space="preserve"> </w:t>
      </w:r>
      <w:r>
        <w:rPr>
          <w:lang w:eastAsia="en-US"/>
        </w:rPr>
        <w:t>book to prepare a person to be a company officer.</w:t>
      </w:r>
    </w:p>
    <w:p w14:paraId="18F4D198" w14:textId="77777777" w:rsidR="00A841C7" w:rsidRDefault="00A841C7" w:rsidP="00A841C7">
      <w:pPr>
        <w:pStyle w:val="ESCiNormalParagraphChar"/>
        <w:rPr>
          <w:lang w:eastAsia="en-US"/>
        </w:rPr>
      </w:pPr>
    </w:p>
    <w:p w14:paraId="03196E4B" w14:textId="77777777" w:rsidR="00A841C7" w:rsidRDefault="00A841C7" w:rsidP="00A841C7">
      <w:pPr>
        <w:pStyle w:val="Heading3"/>
        <w:rPr>
          <w:rFonts w:eastAsia="Times New Roman"/>
          <w:lang w:eastAsia="en-US"/>
        </w:rPr>
      </w:pPr>
      <w:bookmarkStart w:id="182" w:name="_Toc464323582"/>
      <w:r>
        <w:rPr>
          <w:rFonts w:eastAsia="Times New Roman"/>
          <w:lang w:eastAsia="en-US"/>
        </w:rPr>
        <w:t>Training A</w:t>
      </w:r>
      <w:r w:rsidRPr="00817349">
        <w:rPr>
          <w:rFonts w:eastAsia="Times New Roman"/>
          <w:lang w:eastAsia="en-US"/>
        </w:rPr>
        <w:t>dministration</w:t>
      </w:r>
      <w:bookmarkEnd w:id="182"/>
    </w:p>
    <w:p w14:paraId="01A8DDF6" w14:textId="77777777" w:rsidR="00A841C7" w:rsidRDefault="00A841C7" w:rsidP="00A841C7">
      <w:pPr>
        <w:pStyle w:val="ESCiNormalParagraphChar"/>
      </w:pPr>
      <w:r>
        <w:t xml:space="preserve">Until April 2016, a PFD battalion chief assigned to days coordinated the </w:t>
      </w:r>
      <w:r w:rsidRPr="00E21557">
        <w:t>training program</w:t>
      </w:r>
      <w:r>
        <w:t xml:space="preserve">.  Coordination of the training program was only one of the various job duties assigned to the battalion chief.  ESCI was delighted to be in attendance on the day that PFD promoted a captain to the full-time position of training officer.  </w:t>
      </w:r>
    </w:p>
    <w:tbl>
      <w:tblPr>
        <w:tblW w:w="0" w:type="auto"/>
        <w:jc w:val="center"/>
        <w:shd w:val="clear" w:color="auto" w:fill="E5B8B7" w:themeFill="accent2" w:themeFillTint="66"/>
        <w:tblLook w:val="00A0" w:firstRow="1" w:lastRow="0" w:firstColumn="1" w:lastColumn="0" w:noHBand="0" w:noVBand="0"/>
      </w:tblPr>
      <w:tblGrid>
        <w:gridCol w:w="9360"/>
      </w:tblGrid>
      <w:tr w:rsidR="00A841C7" w:rsidRPr="00C1452A" w14:paraId="2AC6DC51" w14:textId="77777777" w:rsidTr="00A841C7">
        <w:trPr>
          <w:jc w:val="center"/>
        </w:trPr>
        <w:tc>
          <w:tcPr>
            <w:tcW w:w="9360" w:type="dxa"/>
            <w:shd w:val="clear" w:color="auto" w:fill="E5B8B7" w:themeFill="accent2" w:themeFillTint="66"/>
          </w:tcPr>
          <w:p w14:paraId="4657C803" w14:textId="77777777" w:rsidR="00A841C7" w:rsidRPr="00F6266E" w:rsidRDefault="00A841C7" w:rsidP="00A841C7">
            <w:pPr>
              <w:keepNext/>
              <w:keepLines/>
              <w:spacing w:after="0" w:line="360" w:lineRule="auto"/>
              <w:rPr>
                <w:rFonts w:eastAsia="Times New Roman" w:cs="Calibri"/>
                <w:b/>
              </w:rPr>
            </w:pPr>
            <w:r w:rsidRPr="00F6266E">
              <w:rPr>
                <w:rFonts w:eastAsia="Times New Roman" w:cs="Calibri"/>
                <w:b/>
              </w:rPr>
              <w:t>Kudos:</w:t>
            </w:r>
          </w:p>
          <w:p w14:paraId="30A0FAEB" w14:textId="77777777" w:rsidR="00A841C7" w:rsidRPr="006D2322" w:rsidRDefault="00A841C7" w:rsidP="007705AA">
            <w:pPr>
              <w:numPr>
                <w:ilvl w:val="0"/>
                <w:numId w:val="25"/>
              </w:numPr>
              <w:spacing w:after="240" w:line="240" w:lineRule="auto"/>
              <w:jc w:val="left"/>
              <w:rPr>
                <w:rFonts w:asciiTheme="majorHAnsi" w:hAnsiTheme="majorHAnsi" w:cs="Arial"/>
                <w:sz w:val="20"/>
                <w:szCs w:val="20"/>
              </w:rPr>
            </w:pPr>
            <w:r>
              <w:rPr>
                <w:rFonts w:asciiTheme="majorHAnsi" w:hAnsiTheme="majorHAnsi" w:cs="Calibri"/>
                <w:szCs w:val="20"/>
              </w:rPr>
              <w:t>To PFD and the City of Pasco for creating, funding, and filling the full-time position of training officer.</w:t>
            </w:r>
          </w:p>
        </w:tc>
      </w:tr>
    </w:tbl>
    <w:p w14:paraId="29FEEC30" w14:textId="77777777" w:rsidR="00A841C7" w:rsidRDefault="00A841C7" w:rsidP="00A841C7">
      <w:pPr>
        <w:pStyle w:val="ESCiNormalParagraphChar"/>
        <w:rPr>
          <w:lang w:eastAsia="en-US"/>
        </w:rPr>
      </w:pPr>
    </w:p>
    <w:p w14:paraId="33B7C255" w14:textId="77777777" w:rsidR="00A841C7" w:rsidRPr="00A25EA2" w:rsidRDefault="00A841C7" w:rsidP="00A841C7">
      <w:pPr>
        <w:pStyle w:val="ESCiNormalParagraphChar"/>
        <w:rPr>
          <w:lang w:eastAsia="en-US"/>
        </w:rPr>
      </w:pPr>
      <w:r>
        <w:rPr>
          <w:lang w:eastAsia="en-US"/>
        </w:rPr>
        <w:t>Much of the day-to-day training is the responsibility of on-duty company officers.  PFD has had mixed success with officers completing and recording scheduled training activities.  It is ESCI’s opinion that this will be resolved with the recent addition of a full-time training officer to monitor compliance with training requirements.</w:t>
      </w:r>
    </w:p>
    <w:p w14:paraId="2BA70900" w14:textId="77777777" w:rsidR="00A841C7" w:rsidRDefault="00A841C7" w:rsidP="00A841C7">
      <w:pPr>
        <w:pStyle w:val="Heading3"/>
        <w:rPr>
          <w:rFonts w:eastAsia="Times New Roman"/>
          <w:lang w:eastAsia="en-US"/>
        </w:rPr>
      </w:pPr>
      <w:bookmarkStart w:id="183" w:name="_Toc464323583"/>
      <w:r w:rsidRPr="00817349">
        <w:rPr>
          <w:rFonts w:eastAsia="Times New Roman"/>
          <w:lang w:eastAsia="en-US"/>
        </w:rPr>
        <w:t xml:space="preserve">Training </w:t>
      </w:r>
      <w:r>
        <w:rPr>
          <w:rFonts w:eastAsia="Times New Roman"/>
          <w:lang w:eastAsia="en-US"/>
        </w:rPr>
        <w:t>S</w:t>
      </w:r>
      <w:r w:rsidRPr="00817349">
        <w:rPr>
          <w:rFonts w:eastAsia="Times New Roman"/>
          <w:lang w:eastAsia="en-US"/>
        </w:rPr>
        <w:t>chedules</w:t>
      </w:r>
      <w:bookmarkEnd w:id="183"/>
    </w:p>
    <w:p w14:paraId="421121D6" w14:textId="00451C4A" w:rsidR="00A841C7" w:rsidRDefault="00A841C7" w:rsidP="00A841C7">
      <w:pPr>
        <w:pStyle w:val="ESCiNormalParagraphChar"/>
      </w:pPr>
      <w:r w:rsidRPr="000B7D69">
        <w:t>With the number of skills required for firefighting, it is necessary to assess a firefighter’s abilities and skill level.  PFD uses CBT for evaluating manipulative skills with monthly exercises for ladders and hose, and quarterly</w:t>
      </w:r>
      <w:r w:rsidR="00F6266E">
        <w:t xml:space="preserve"> exercises</w:t>
      </w:r>
      <w:r w:rsidRPr="000B7D69">
        <w:t xml:space="preserve"> for SCBA (self-contained breathing apparatus).  Firefighters complete EVIP (Emergency Vehicle Incident Prevention) training bi-annually and pass a checkout for each vehicle they operate.  </w:t>
      </w:r>
    </w:p>
    <w:p w14:paraId="264BEA9B" w14:textId="544380E6" w:rsidR="00A841C7" w:rsidRDefault="00A841C7" w:rsidP="00A841C7">
      <w:pPr>
        <w:pStyle w:val="ESCiNormalParagraphChar"/>
      </w:pPr>
      <w:r w:rsidRPr="000B7D69">
        <w:t xml:space="preserve">An annual calendar is prepared with training subjects prescribed for each month.  Columns of each major subject area are broken down to include the topic and tasks to be accomplished during the training session.  Monthly subjects </w:t>
      </w:r>
      <w:r w:rsidR="00F6266E">
        <w:t>include</w:t>
      </w:r>
      <w:r w:rsidRPr="000B7D69">
        <w:t xml:space="preserve"> hose drill, ladder drill, technical rescue training, ARFF, hazardous materials safety, driving, and SOG (standard operating guideline) review.  </w:t>
      </w:r>
      <w:r>
        <w:t xml:space="preserve">A sample PFD monthly training schedule is </w:t>
      </w:r>
      <w:r w:rsidR="00F6266E">
        <w:t>provided in the following figure.</w:t>
      </w:r>
    </w:p>
    <w:p w14:paraId="49740A4F" w14:textId="73379EFC" w:rsidR="00A841C7" w:rsidRPr="007E2767" w:rsidRDefault="00A841C7" w:rsidP="00F6266E">
      <w:pPr>
        <w:pStyle w:val="Caption"/>
        <w:rPr>
          <w:rFonts w:eastAsia="Times New Roman"/>
        </w:rPr>
      </w:pPr>
      <w:bookmarkStart w:id="184" w:name="_Toc464323687"/>
      <w:r w:rsidRPr="007E2767">
        <w:t xml:space="preserve">Figure </w:t>
      </w:r>
      <w:r w:rsidR="00432AD4">
        <w:fldChar w:fldCharType="begin"/>
      </w:r>
      <w:r w:rsidR="00432AD4">
        <w:instrText xml:space="preserve"> SEQ Figure \* ARABIC </w:instrText>
      </w:r>
      <w:r w:rsidR="00432AD4">
        <w:fldChar w:fldCharType="separate"/>
      </w:r>
      <w:r w:rsidR="008209A2">
        <w:rPr>
          <w:noProof/>
        </w:rPr>
        <w:t>45</w:t>
      </w:r>
      <w:r w:rsidR="00432AD4">
        <w:rPr>
          <w:noProof/>
        </w:rPr>
        <w:fldChar w:fldCharType="end"/>
      </w:r>
      <w:r w:rsidR="00574D69">
        <w:t xml:space="preserve">: </w:t>
      </w:r>
      <w:r>
        <w:t>Master Training Schedule, January 2015</w:t>
      </w:r>
      <w:bookmarkEnd w:id="184"/>
    </w:p>
    <w:tbl>
      <w:tblPr>
        <w:tblW w:w="9474" w:type="dxa"/>
        <w:jc w:val="center"/>
        <w:tblLook w:val="04A0" w:firstRow="1" w:lastRow="0" w:firstColumn="1" w:lastColumn="0" w:noHBand="0" w:noVBand="1"/>
      </w:tblPr>
      <w:tblGrid>
        <w:gridCol w:w="923"/>
        <w:gridCol w:w="1180"/>
        <w:gridCol w:w="1350"/>
        <w:gridCol w:w="1531"/>
        <w:gridCol w:w="947"/>
        <w:gridCol w:w="1620"/>
        <w:gridCol w:w="1923"/>
      </w:tblGrid>
      <w:tr w:rsidR="00FB62B9" w:rsidRPr="00FB62B9" w14:paraId="672AED34" w14:textId="77777777" w:rsidTr="00FB62B9">
        <w:trPr>
          <w:trHeight w:val="20"/>
          <w:jc w:val="center"/>
        </w:trPr>
        <w:tc>
          <w:tcPr>
            <w:tcW w:w="923" w:type="dxa"/>
            <w:shd w:val="clear" w:color="auto" w:fill="365F91"/>
            <w:noWrap/>
            <w:vAlign w:val="bottom"/>
            <w:hideMark/>
          </w:tcPr>
          <w:p w14:paraId="03BC55EA" w14:textId="77777777" w:rsidR="00A841C7" w:rsidRPr="00FB62B9" w:rsidRDefault="00A841C7" w:rsidP="00A841C7">
            <w:pPr>
              <w:spacing w:after="0" w:line="240" w:lineRule="auto"/>
              <w:jc w:val="left"/>
              <w:rPr>
                <w:rFonts w:eastAsia="Times New Roman" w:cs="Times New Roman"/>
                <w:color w:val="FFFFFF" w:themeColor="background1"/>
                <w:sz w:val="20"/>
                <w:szCs w:val="20"/>
                <w:lang w:eastAsia="en-US"/>
              </w:rPr>
            </w:pPr>
          </w:p>
        </w:tc>
        <w:tc>
          <w:tcPr>
            <w:tcW w:w="1180" w:type="dxa"/>
            <w:shd w:val="clear" w:color="auto" w:fill="365F91"/>
            <w:noWrap/>
            <w:vAlign w:val="bottom"/>
            <w:hideMark/>
          </w:tcPr>
          <w:p w14:paraId="6B38A3FC" w14:textId="77777777" w:rsidR="00A841C7" w:rsidRPr="00FB62B9" w:rsidRDefault="00A841C7" w:rsidP="00A841C7">
            <w:pPr>
              <w:spacing w:after="0" w:line="240" w:lineRule="auto"/>
              <w:jc w:val="left"/>
              <w:rPr>
                <w:rFonts w:eastAsia="Times New Roman" w:cs="Times New Roman"/>
                <w:b/>
                <w:bCs/>
                <w:color w:val="FFFFFF" w:themeColor="background1"/>
                <w:sz w:val="20"/>
                <w:szCs w:val="20"/>
                <w:lang w:eastAsia="en-US"/>
              </w:rPr>
            </w:pPr>
            <w:r w:rsidRPr="00FB62B9">
              <w:rPr>
                <w:rFonts w:eastAsia="Times New Roman" w:cs="Times New Roman"/>
                <w:b/>
                <w:bCs/>
                <w:color w:val="FFFFFF" w:themeColor="background1"/>
                <w:sz w:val="20"/>
                <w:szCs w:val="20"/>
                <w:lang w:eastAsia="en-US"/>
              </w:rPr>
              <w:t>Hose Drill</w:t>
            </w:r>
          </w:p>
        </w:tc>
        <w:tc>
          <w:tcPr>
            <w:tcW w:w="1350" w:type="dxa"/>
            <w:shd w:val="clear" w:color="auto" w:fill="365F91"/>
            <w:noWrap/>
            <w:vAlign w:val="bottom"/>
            <w:hideMark/>
          </w:tcPr>
          <w:p w14:paraId="76F7DA4D" w14:textId="77777777" w:rsidR="00A841C7" w:rsidRPr="00FB62B9" w:rsidRDefault="00A841C7" w:rsidP="00A841C7">
            <w:pPr>
              <w:spacing w:after="0" w:line="240" w:lineRule="auto"/>
              <w:jc w:val="center"/>
              <w:rPr>
                <w:rFonts w:eastAsia="Times New Roman" w:cs="Times New Roman"/>
                <w:b/>
                <w:bCs/>
                <w:color w:val="FFFFFF" w:themeColor="background1"/>
                <w:sz w:val="20"/>
                <w:szCs w:val="20"/>
                <w:lang w:eastAsia="en-US"/>
              </w:rPr>
            </w:pPr>
            <w:r w:rsidRPr="00FB62B9">
              <w:rPr>
                <w:rFonts w:eastAsia="Times New Roman" w:cs="Times New Roman"/>
                <w:b/>
                <w:bCs/>
                <w:color w:val="FFFFFF" w:themeColor="background1"/>
                <w:sz w:val="20"/>
                <w:szCs w:val="20"/>
                <w:lang w:eastAsia="en-US"/>
              </w:rPr>
              <w:t>TRT</w:t>
            </w:r>
          </w:p>
        </w:tc>
        <w:tc>
          <w:tcPr>
            <w:tcW w:w="1531" w:type="dxa"/>
            <w:shd w:val="clear" w:color="auto" w:fill="365F91"/>
            <w:noWrap/>
            <w:vAlign w:val="bottom"/>
            <w:hideMark/>
          </w:tcPr>
          <w:p w14:paraId="1D7EC192" w14:textId="77777777" w:rsidR="00A841C7" w:rsidRPr="00FB62B9" w:rsidRDefault="00A841C7" w:rsidP="00A841C7">
            <w:pPr>
              <w:spacing w:after="0" w:line="240" w:lineRule="auto"/>
              <w:jc w:val="center"/>
              <w:rPr>
                <w:rFonts w:eastAsia="Times New Roman" w:cs="Times New Roman"/>
                <w:b/>
                <w:bCs/>
                <w:color w:val="FFFFFF" w:themeColor="background1"/>
                <w:sz w:val="20"/>
                <w:szCs w:val="20"/>
                <w:lang w:eastAsia="en-US"/>
              </w:rPr>
            </w:pPr>
            <w:r w:rsidRPr="00FB62B9">
              <w:rPr>
                <w:rFonts w:eastAsia="Times New Roman" w:cs="Times New Roman"/>
                <w:b/>
                <w:bCs/>
                <w:color w:val="FFFFFF" w:themeColor="background1"/>
                <w:sz w:val="20"/>
                <w:szCs w:val="20"/>
                <w:lang w:eastAsia="en-US"/>
              </w:rPr>
              <w:t>ARFF</w:t>
            </w:r>
          </w:p>
        </w:tc>
        <w:tc>
          <w:tcPr>
            <w:tcW w:w="947" w:type="dxa"/>
            <w:shd w:val="clear" w:color="auto" w:fill="365F91"/>
            <w:noWrap/>
            <w:vAlign w:val="bottom"/>
            <w:hideMark/>
          </w:tcPr>
          <w:p w14:paraId="22D4D2C9" w14:textId="77777777" w:rsidR="00A841C7" w:rsidRPr="00FB62B9" w:rsidRDefault="00A841C7" w:rsidP="00A841C7">
            <w:pPr>
              <w:spacing w:after="0" w:line="240" w:lineRule="auto"/>
              <w:jc w:val="center"/>
              <w:rPr>
                <w:rFonts w:eastAsia="Times New Roman" w:cs="Times New Roman"/>
                <w:b/>
                <w:bCs/>
                <w:color w:val="FFFFFF" w:themeColor="background1"/>
                <w:sz w:val="20"/>
                <w:szCs w:val="20"/>
                <w:lang w:eastAsia="en-US"/>
              </w:rPr>
            </w:pPr>
            <w:r w:rsidRPr="00FB62B9">
              <w:rPr>
                <w:rFonts w:eastAsia="Times New Roman" w:cs="Times New Roman"/>
                <w:b/>
                <w:bCs/>
                <w:color w:val="FFFFFF" w:themeColor="background1"/>
                <w:sz w:val="20"/>
                <w:szCs w:val="20"/>
                <w:lang w:eastAsia="en-US"/>
              </w:rPr>
              <w:t>HazMat</w:t>
            </w:r>
          </w:p>
        </w:tc>
        <w:tc>
          <w:tcPr>
            <w:tcW w:w="1620" w:type="dxa"/>
            <w:shd w:val="clear" w:color="auto" w:fill="365F91"/>
            <w:noWrap/>
            <w:vAlign w:val="bottom"/>
            <w:hideMark/>
          </w:tcPr>
          <w:p w14:paraId="59A72D34" w14:textId="77777777" w:rsidR="00A841C7" w:rsidRPr="00FB62B9" w:rsidRDefault="00A841C7" w:rsidP="00A841C7">
            <w:pPr>
              <w:spacing w:after="0" w:line="240" w:lineRule="auto"/>
              <w:jc w:val="center"/>
              <w:rPr>
                <w:rFonts w:eastAsia="Times New Roman" w:cs="Times New Roman"/>
                <w:b/>
                <w:bCs/>
                <w:color w:val="FFFFFF" w:themeColor="background1"/>
                <w:sz w:val="20"/>
                <w:szCs w:val="20"/>
                <w:lang w:eastAsia="en-US"/>
              </w:rPr>
            </w:pPr>
            <w:r w:rsidRPr="00FB62B9">
              <w:rPr>
                <w:rFonts w:eastAsia="Times New Roman" w:cs="Times New Roman"/>
                <w:b/>
                <w:bCs/>
                <w:color w:val="FFFFFF" w:themeColor="background1"/>
                <w:sz w:val="20"/>
                <w:szCs w:val="20"/>
                <w:lang w:eastAsia="en-US"/>
              </w:rPr>
              <w:t>Safety</w:t>
            </w:r>
          </w:p>
        </w:tc>
        <w:tc>
          <w:tcPr>
            <w:tcW w:w="1923" w:type="dxa"/>
            <w:shd w:val="clear" w:color="auto" w:fill="365F91"/>
            <w:noWrap/>
            <w:vAlign w:val="bottom"/>
            <w:hideMark/>
          </w:tcPr>
          <w:p w14:paraId="7D7E08F7" w14:textId="77777777" w:rsidR="00A841C7" w:rsidRPr="00FB62B9" w:rsidRDefault="00A841C7" w:rsidP="00A841C7">
            <w:pPr>
              <w:spacing w:after="0" w:line="240" w:lineRule="auto"/>
              <w:jc w:val="center"/>
              <w:rPr>
                <w:rFonts w:eastAsia="Times New Roman" w:cs="Times New Roman"/>
                <w:b/>
                <w:bCs/>
                <w:color w:val="FFFFFF" w:themeColor="background1"/>
                <w:sz w:val="20"/>
                <w:szCs w:val="20"/>
                <w:lang w:eastAsia="en-US"/>
              </w:rPr>
            </w:pPr>
            <w:r w:rsidRPr="00FB62B9">
              <w:rPr>
                <w:rFonts w:eastAsia="Times New Roman" w:cs="Times New Roman"/>
                <w:b/>
                <w:bCs/>
                <w:color w:val="FFFFFF" w:themeColor="background1"/>
                <w:sz w:val="20"/>
                <w:szCs w:val="20"/>
                <w:lang w:eastAsia="en-US"/>
              </w:rPr>
              <w:t>SOG Review</w:t>
            </w:r>
          </w:p>
        </w:tc>
      </w:tr>
      <w:tr w:rsidR="00A841C7" w:rsidRPr="00D74B26" w14:paraId="1B700001" w14:textId="77777777" w:rsidTr="00FB62B9">
        <w:trPr>
          <w:trHeight w:val="20"/>
          <w:jc w:val="center"/>
        </w:trPr>
        <w:tc>
          <w:tcPr>
            <w:tcW w:w="923" w:type="dxa"/>
            <w:shd w:val="clear" w:color="auto" w:fill="D9D9D9" w:themeFill="background1" w:themeFillShade="D9"/>
            <w:noWrap/>
            <w:vAlign w:val="center"/>
            <w:hideMark/>
          </w:tcPr>
          <w:p w14:paraId="74DADF4B" w14:textId="77777777" w:rsidR="00A841C7" w:rsidRPr="00D74B26" w:rsidRDefault="00A841C7" w:rsidP="00A841C7">
            <w:pPr>
              <w:spacing w:after="0" w:line="240" w:lineRule="auto"/>
              <w:jc w:val="left"/>
              <w:rPr>
                <w:rFonts w:eastAsia="Times New Roman" w:cs="Times New Roman"/>
                <w:color w:val="000000"/>
                <w:sz w:val="20"/>
                <w:szCs w:val="20"/>
                <w:lang w:eastAsia="en-US"/>
              </w:rPr>
            </w:pPr>
            <w:r w:rsidRPr="00D74B26">
              <w:rPr>
                <w:rFonts w:eastAsia="Times New Roman" w:cs="Times New Roman"/>
                <w:color w:val="000000"/>
                <w:sz w:val="20"/>
                <w:szCs w:val="20"/>
                <w:lang w:eastAsia="en-US"/>
              </w:rPr>
              <w:t>January</w:t>
            </w:r>
          </w:p>
        </w:tc>
        <w:tc>
          <w:tcPr>
            <w:tcW w:w="1180" w:type="dxa"/>
            <w:shd w:val="clear" w:color="auto" w:fill="D9D9D9" w:themeFill="background1" w:themeFillShade="D9"/>
            <w:vAlign w:val="center"/>
            <w:hideMark/>
          </w:tcPr>
          <w:p w14:paraId="0BB546AC" w14:textId="77777777" w:rsidR="00A841C7" w:rsidRPr="00D74B26" w:rsidRDefault="00A841C7" w:rsidP="00A841C7">
            <w:pPr>
              <w:spacing w:after="0" w:line="240" w:lineRule="auto"/>
              <w:jc w:val="center"/>
              <w:rPr>
                <w:rFonts w:eastAsia="Times New Roman" w:cs="Times New Roman"/>
                <w:color w:val="000000"/>
                <w:sz w:val="20"/>
                <w:szCs w:val="20"/>
                <w:lang w:eastAsia="en-US"/>
              </w:rPr>
            </w:pPr>
            <w:r w:rsidRPr="00D74B26">
              <w:rPr>
                <w:rFonts w:eastAsia="Times New Roman" w:cs="Times New Roman"/>
                <w:color w:val="000000"/>
                <w:sz w:val="20"/>
                <w:szCs w:val="20"/>
                <w:lang w:eastAsia="en-US"/>
              </w:rPr>
              <w:t>Blind Alley</w:t>
            </w:r>
          </w:p>
        </w:tc>
        <w:tc>
          <w:tcPr>
            <w:tcW w:w="1350" w:type="dxa"/>
            <w:shd w:val="clear" w:color="auto" w:fill="D9D9D9" w:themeFill="background1" w:themeFillShade="D9"/>
            <w:vAlign w:val="center"/>
            <w:hideMark/>
          </w:tcPr>
          <w:p w14:paraId="4464E2DD" w14:textId="77777777" w:rsidR="00A841C7" w:rsidRPr="00D74B26" w:rsidRDefault="00A841C7" w:rsidP="00A841C7">
            <w:pPr>
              <w:spacing w:after="0" w:line="240" w:lineRule="auto"/>
              <w:jc w:val="center"/>
              <w:rPr>
                <w:rFonts w:eastAsia="Times New Roman" w:cs="Times New Roman"/>
                <w:color w:val="000000"/>
                <w:sz w:val="20"/>
                <w:szCs w:val="20"/>
                <w:lang w:eastAsia="en-US"/>
              </w:rPr>
            </w:pPr>
            <w:r w:rsidRPr="00D74B26">
              <w:rPr>
                <w:rFonts w:eastAsia="Times New Roman" w:cs="Times New Roman"/>
                <w:color w:val="000000"/>
                <w:sz w:val="20"/>
                <w:szCs w:val="20"/>
                <w:lang w:eastAsia="en-US"/>
              </w:rPr>
              <w:t>Ropes Family of 8's knots</w:t>
            </w:r>
          </w:p>
        </w:tc>
        <w:tc>
          <w:tcPr>
            <w:tcW w:w="1531" w:type="dxa"/>
            <w:shd w:val="clear" w:color="auto" w:fill="D9D9D9" w:themeFill="background1" w:themeFillShade="D9"/>
            <w:vAlign w:val="center"/>
            <w:hideMark/>
          </w:tcPr>
          <w:p w14:paraId="6D6022D5" w14:textId="77777777" w:rsidR="00A841C7" w:rsidRPr="00D74B26" w:rsidRDefault="00A841C7" w:rsidP="00A841C7">
            <w:pPr>
              <w:spacing w:after="0" w:line="240" w:lineRule="auto"/>
              <w:jc w:val="center"/>
              <w:rPr>
                <w:rFonts w:eastAsia="Times New Roman" w:cs="Times New Roman"/>
                <w:color w:val="000000"/>
                <w:sz w:val="20"/>
                <w:szCs w:val="20"/>
                <w:lang w:eastAsia="en-US"/>
              </w:rPr>
            </w:pPr>
            <w:r w:rsidRPr="00D74B26">
              <w:rPr>
                <w:rFonts w:eastAsia="Times New Roman" w:cs="Times New Roman"/>
                <w:color w:val="000000"/>
                <w:sz w:val="20"/>
                <w:szCs w:val="20"/>
                <w:lang w:eastAsia="en-US"/>
              </w:rPr>
              <w:t>Airport Familiarization</w:t>
            </w:r>
          </w:p>
        </w:tc>
        <w:tc>
          <w:tcPr>
            <w:tcW w:w="947" w:type="dxa"/>
            <w:shd w:val="clear" w:color="auto" w:fill="D9D9D9" w:themeFill="background1" w:themeFillShade="D9"/>
            <w:vAlign w:val="center"/>
            <w:hideMark/>
          </w:tcPr>
          <w:p w14:paraId="1C252A76" w14:textId="77777777" w:rsidR="00A841C7" w:rsidRPr="00D74B26" w:rsidRDefault="00A841C7" w:rsidP="00A841C7">
            <w:pPr>
              <w:spacing w:after="0" w:line="240" w:lineRule="auto"/>
              <w:jc w:val="center"/>
              <w:rPr>
                <w:rFonts w:eastAsia="Times New Roman" w:cs="Times New Roman"/>
                <w:color w:val="000000"/>
                <w:sz w:val="20"/>
                <w:szCs w:val="20"/>
                <w:lang w:eastAsia="en-US"/>
              </w:rPr>
            </w:pPr>
            <w:r w:rsidRPr="00D74B26">
              <w:rPr>
                <w:rFonts w:eastAsia="Times New Roman" w:cs="Times New Roman"/>
                <w:color w:val="000000"/>
                <w:sz w:val="20"/>
                <w:szCs w:val="20"/>
                <w:lang w:eastAsia="en-US"/>
              </w:rPr>
              <w:t>ERG Review</w:t>
            </w:r>
          </w:p>
        </w:tc>
        <w:tc>
          <w:tcPr>
            <w:tcW w:w="1620" w:type="dxa"/>
            <w:shd w:val="clear" w:color="auto" w:fill="D9D9D9" w:themeFill="background1" w:themeFillShade="D9"/>
            <w:vAlign w:val="center"/>
            <w:hideMark/>
          </w:tcPr>
          <w:p w14:paraId="58DAA5B1" w14:textId="77777777" w:rsidR="00A841C7" w:rsidRPr="00D74B26" w:rsidRDefault="00A841C7" w:rsidP="00A841C7">
            <w:pPr>
              <w:spacing w:after="0" w:line="240" w:lineRule="auto"/>
              <w:jc w:val="center"/>
              <w:rPr>
                <w:rFonts w:eastAsia="Times New Roman" w:cs="Times New Roman"/>
                <w:color w:val="000000"/>
                <w:sz w:val="20"/>
                <w:szCs w:val="20"/>
                <w:lang w:eastAsia="en-US"/>
              </w:rPr>
            </w:pPr>
            <w:r w:rsidRPr="00D74B26">
              <w:rPr>
                <w:rFonts w:eastAsia="Times New Roman" w:cs="Times New Roman"/>
                <w:color w:val="000000"/>
                <w:sz w:val="20"/>
                <w:szCs w:val="20"/>
                <w:lang w:eastAsia="en-US"/>
              </w:rPr>
              <w:t>Infectious Disease Control</w:t>
            </w:r>
          </w:p>
        </w:tc>
        <w:tc>
          <w:tcPr>
            <w:tcW w:w="1923" w:type="dxa"/>
            <w:shd w:val="clear" w:color="auto" w:fill="D9D9D9" w:themeFill="background1" w:themeFillShade="D9"/>
            <w:vAlign w:val="center"/>
            <w:hideMark/>
          </w:tcPr>
          <w:p w14:paraId="57135350" w14:textId="77777777" w:rsidR="00A841C7" w:rsidRPr="00D74B26" w:rsidRDefault="00A841C7" w:rsidP="00A841C7">
            <w:pPr>
              <w:spacing w:after="0" w:line="240" w:lineRule="auto"/>
              <w:jc w:val="center"/>
              <w:rPr>
                <w:rFonts w:eastAsia="Times New Roman" w:cs="Times New Roman"/>
                <w:color w:val="000000"/>
                <w:sz w:val="20"/>
                <w:szCs w:val="20"/>
                <w:lang w:eastAsia="en-US"/>
              </w:rPr>
            </w:pPr>
            <w:r w:rsidRPr="00D74B26">
              <w:rPr>
                <w:rFonts w:eastAsia="Times New Roman" w:cs="Times New Roman"/>
                <w:color w:val="000000"/>
                <w:sz w:val="20"/>
                <w:szCs w:val="20"/>
                <w:lang w:eastAsia="en-US"/>
              </w:rPr>
              <w:t>30-6.2.2 Rope Care &amp; Maintenance</w:t>
            </w:r>
          </w:p>
        </w:tc>
      </w:tr>
      <w:tr w:rsidR="00A841C7" w:rsidRPr="00D74B26" w14:paraId="11430730" w14:textId="77777777" w:rsidTr="00FB62B9">
        <w:trPr>
          <w:trHeight w:val="20"/>
          <w:jc w:val="center"/>
        </w:trPr>
        <w:tc>
          <w:tcPr>
            <w:tcW w:w="9474" w:type="dxa"/>
            <w:gridSpan w:val="7"/>
            <w:shd w:val="clear" w:color="auto" w:fill="auto"/>
            <w:noWrap/>
            <w:vAlign w:val="center"/>
          </w:tcPr>
          <w:p w14:paraId="32BCD4F8" w14:textId="77777777" w:rsidR="00A841C7" w:rsidRPr="00C53DE6" w:rsidRDefault="00A841C7" w:rsidP="00A841C7">
            <w:pPr>
              <w:spacing w:after="0" w:line="240" w:lineRule="auto"/>
              <w:jc w:val="center"/>
              <w:rPr>
                <w:rFonts w:eastAsia="Times New Roman" w:cs="Times New Roman"/>
                <w:b/>
                <w:color w:val="000000"/>
                <w:lang w:eastAsia="en-US"/>
              </w:rPr>
            </w:pPr>
            <w:r w:rsidRPr="00C53DE6">
              <w:rPr>
                <w:rFonts w:eastAsia="Times New Roman" w:cs="Times New Roman"/>
                <w:b/>
                <w:color w:val="000000"/>
                <w:lang w:eastAsia="en-US"/>
              </w:rPr>
              <w:t>Task</w:t>
            </w:r>
            <w:r>
              <w:rPr>
                <w:rFonts w:eastAsia="Times New Roman" w:cs="Times New Roman"/>
                <w:b/>
                <w:color w:val="000000"/>
                <w:lang w:eastAsia="en-US"/>
              </w:rPr>
              <w:t xml:space="preserve">: </w:t>
            </w:r>
            <w:r w:rsidRPr="00C53DE6">
              <w:rPr>
                <w:rFonts w:eastAsia="Times New Roman" w:cs="Times New Roman"/>
                <w:color w:val="000000"/>
                <w:sz w:val="20"/>
                <w:szCs w:val="20"/>
                <w:lang w:eastAsia="en-US"/>
              </w:rPr>
              <w:t>Structural PPE Inspection, Safety Belt Inspection (A Shift) Utility and Rescue Rope Inspection (B-Shift Utility Rope, TRT-Rescue Rope, Rescue Harness), Facility Safety Inspection (C Shift)</w:t>
            </w:r>
          </w:p>
        </w:tc>
      </w:tr>
      <w:tr w:rsidR="00A841C7" w:rsidRPr="00D74B26" w14:paraId="27E2179F" w14:textId="77777777" w:rsidTr="00FB62B9">
        <w:trPr>
          <w:trHeight w:val="20"/>
          <w:jc w:val="center"/>
        </w:trPr>
        <w:tc>
          <w:tcPr>
            <w:tcW w:w="9474" w:type="dxa"/>
            <w:gridSpan w:val="7"/>
            <w:shd w:val="clear" w:color="auto" w:fill="D9D9D9" w:themeFill="background1" w:themeFillShade="D9"/>
            <w:noWrap/>
            <w:vAlign w:val="center"/>
          </w:tcPr>
          <w:p w14:paraId="53776ECA" w14:textId="77777777" w:rsidR="00A841C7" w:rsidRPr="00C53DE6" w:rsidRDefault="00A841C7" w:rsidP="00A841C7">
            <w:pPr>
              <w:spacing w:after="0" w:line="240" w:lineRule="auto"/>
              <w:jc w:val="center"/>
              <w:rPr>
                <w:rFonts w:eastAsia="Times New Roman" w:cs="Times New Roman"/>
                <w:b/>
                <w:color w:val="000000"/>
                <w:sz w:val="20"/>
                <w:szCs w:val="20"/>
                <w:lang w:eastAsia="en-US"/>
              </w:rPr>
            </w:pPr>
            <w:r w:rsidRPr="00C53DE6">
              <w:rPr>
                <w:rFonts w:eastAsia="Times New Roman" w:cs="Times New Roman"/>
                <w:b/>
                <w:color w:val="000000"/>
                <w:sz w:val="20"/>
                <w:szCs w:val="20"/>
                <w:lang w:eastAsia="en-US"/>
              </w:rPr>
              <w:t xml:space="preserve">Program Emphasis: </w:t>
            </w:r>
            <w:r w:rsidRPr="00C53DE6">
              <w:rPr>
                <w:rFonts w:eastAsia="Times New Roman" w:cs="Times New Roman"/>
                <w:color w:val="000000"/>
                <w:sz w:val="20"/>
                <w:szCs w:val="20"/>
                <w:lang w:eastAsia="en-US"/>
              </w:rPr>
              <w:t>Water Rescue Awareness</w:t>
            </w:r>
          </w:p>
        </w:tc>
      </w:tr>
    </w:tbl>
    <w:p w14:paraId="27B0F93E" w14:textId="77777777" w:rsidR="00A841C7" w:rsidRDefault="00A841C7" w:rsidP="00A841C7">
      <w:pPr>
        <w:pStyle w:val="ESCiNormalParagraphChar"/>
        <w:rPr>
          <w:lang w:eastAsia="en-US"/>
        </w:rPr>
      </w:pPr>
    </w:p>
    <w:tbl>
      <w:tblPr>
        <w:tblW w:w="0" w:type="auto"/>
        <w:tblLook w:val="00A0" w:firstRow="1" w:lastRow="0" w:firstColumn="1" w:lastColumn="0" w:noHBand="0" w:noVBand="0"/>
      </w:tblPr>
      <w:tblGrid>
        <w:gridCol w:w="9360"/>
      </w:tblGrid>
      <w:tr w:rsidR="00A841C7" w:rsidRPr="00C1452A" w14:paraId="162C7D0B" w14:textId="77777777" w:rsidTr="00A841C7">
        <w:tc>
          <w:tcPr>
            <w:tcW w:w="9360" w:type="dxa"/>
            <w:shd w:val="clear" w:color="auto" w:fill="D9D9D9" w:themeFill="background1" w:themeFillShade="D9"/>
          </w:tcPr>
          <w:p w14:paraId="4B568821" w14:textId="77777777" w:rsidR="00A841C7" w:rsidRPr="00F6266E" w:rsidRDefault="00A841C7" w:rsidP="00A841C7">
            <w:pPr>
              <w:keepNext/>
              <w:keepLines/>
              <w:spacing w:after="0" w:line="360" w:lineRule="auto"/>
              <w:rPr>
                <w:rFonts w:eastAsia="Times New Roman" w:cs="Calibri"/>
                <w:b/>
              </w:rPr>
            </w:pPr>
            <w:r w:rsidRPr="00F6266E">
              <w:rPr>
                <w:rFonts w:eastAsia="Times New Roman" w:cs="Calibri"/>
                <w:b/>
              </w:rPr>
              <w:t>Recommendation:</w:t>
            </w:r>
          </w:p>
          <w:p w14:paraId="51B13434" w14:textId="77777777" w:rsidR="00A841C7" w:rsidRPr="00F6266E" w:rsidRDefault="00A841C7" w:rsidP="007705AA">
            <w:pPr>
              <w:numPr>
                <w:ilvl w:val="0"/>
                <w:numId w:val="25"/>
              </w:numPr>
              <w:spacing w:after="120" w:line="360" w:lineRule="auto"/>
              <w:jc w:val="left"/>
              <w:rPr>
                <w:rFonts w:asciiTheme="majorHAnsi" w:hAnsiTheme="majorHAnsi" w:cs="Arial"/>
                <w:sz w:val="20"/>
                <w:szCs w:val="20"/>
              </w:rPr>
            </w:pPr>
            <w:r w:rsidRPr="00F6266E">
              <w:rPr>
                <w:rFonts w:cs="Calibri"/>
              </w:rPr>
              <w:t>Define outcomes for training classes.</w:t>
            </w:r>
          </w:p>
        </w:tc>
      </w:tr>
    </w:tbl>
    <w:p w14:paraId="43C5D3C8" w14:textId="77777777" w:rsidR="00A841C7" w:rsidRDefault="00A841C7" w:rsidP="00A841C7">
      <w:pPr>
        <w:pStyle w:val="ESCiNormalParagraphChar"/>
        <w:rPr>
          <w:lang w:eastAsia="en-US"/>
        </w:rPr>
      </w:pPr>
    </w:p>
    <w:p w14:paraId="175A6FC2" w14:textId="77777777" w:rsidR="00A841C7" w:rsidRDefault="00A841C7" w:rsidP="00A841C7">
      <w:pPr>
        <w:pStyle w:val="Heading3"/>
        <w:rPr>
          <w:rFonts w:eastAsia="Times New Roman"/>
          <w:lang w:eastAsia="en-US"/>
        </w:rPr>
      </w:pPr>
      <w:bookmarkStart w:id="185" w:name="_Toc464323584"/>
      <w:r>
        <w:rPr>
          <w:rFonts w:eastAsia="Times New Roman"/>
          <w:lang w:eastAsia="en-US"/>
        </w:rPr>
        <w:t>Training F</w:t>
      </w:r>
      <w:r w:rsidRPr="00817349">
        <w:rPr>
          <w:rFonts w:eastAsia="Times New Roman"/>
          <w:lang w:eastAsia="en-US"/>
        </w:rPr>
        <w:t>acilities</w:t>
      </w:r>
      <w:bookmarkEnd w:id="185"/>
    </w:p>
    <w:p w14:paraId="037E1FA0" w14:textId="33DFC638" w:rsidR="00A841C7" w:rsidRDefault="00A841C7" w:rsidP="00A841C7">
      <w:pPr>
        <w:pStyle w:val="ESCiNormalParagraphChar"/>
      </w:pPr>
      <w:r w:rsidRPr="005B13E5">
        <w:t>An effective, standards-driven training program is a vital part of a fire department’s safety and accident prevention program and vice versa.  Training is especially important for high risk/low frequency scenarios</w:t>
      </w:r>
      <w:r w:rsidR="004C09E7">
        <w:t>, such as building collapse or rail accidents</w:t>
      </w:r>
      <w:r w:rsidRPr="005B13E5">
        <w:t xml:space="preserve">.  Regular participation in an effective and continuous training program results in safer, more efficient, and effective emergency operations.  Proficient emergency responders develop confidence in their abilities to handle emergency incidents through regular access to training centers for repetitive drills (skill maintenance and refinement) and to develop new abilities.  </w:t>
      </w:r>
    </w:p>
    <w:p w14:paraId="188FEECE" w14:textId="59995151" w:rsidR="00A841C7" w:rsidRPr="005B13E5" w:rsidRDefault="00A841C7" w:rsidP="00A841C7">
      <w:pPr>
        <w:pStyle w:val="ESCiNormalParagraphChar"/>
      </w:pPr>
      <w:r>
        <w:t>E</w:t>
      </w:r>
      <w:r w:rsidRPr="005B13E5">
        <w:t>mergency responders must be equipped with a balance of knowledge and skills that are periodically exercised in a realistic but safe environment.  Modern fire training centers continue to evolve with the blending of suitable space, durable yet adaptable structures</w:t>
      </w:r>
      <w:r w:rsidR="00F6266E">
        <w:t>,</w:t>
      </w:r>
      <w:r w:rsidRPr="005B13E5">
        <w:t xml:space="preserve"> and current technology. Training center facilities must incorporate classroom resources, computer resources, incident simulation equipment</w:t>
      </w:r>
      <w:r w:rsidR="00F6266E">
        <w:t>,</w:t>
      </w:r>
      <w:r w:rsidRPr="005B13E5">
        <w:t xml:space="preserve"> and individualized study resources.  </w:t>
      </w:r>
    </w:p>
    <w:p w14:paraId="64C918B8" w14:textId="52CA294B" w:rsidR="00A841C7" w:rsidRDefault="00A841C7" w:rsidP="00A841C7">
      <w:pPr>
        <w:pStyle w:val="ESCiNormalParagraphChar"/>
        <w:rPr>
          <w:lang w:eastAsia="en-US"/>
        </w:rPr>
      </w:pPr>
      <w:r>
        <w:rPr>
          <w:lang w:eastAsia="en-US"/>
        </w:rPr>
        <w:t xml:space="preserve">While ideally every fire department should have a training facility, practically and financially this is not always feasible.  Realistically though, a fire department needs access to an area where firefighters can safely practice and maintain manipulative skill proficiency.  </w:t>
      </w:r>
      <w:r w:rsidRPr="00DF1911">
        <w:rPr>
          <w:lang w:eastAsia="en-US"/>
        </w:rPr>
        <w:t>Equally important are open spaces that include devices (props) that provide or create the realistic effects associated with fire, EMS</w:t>
      </w:r>
      <w:r w:rsidR="00F6266E">
        <w:rPr>
          <w:lang w:eastAsia="en-US"/>
        </w:rPr>
        <w:t>,</w:t>
      </w:r>
      <w:r w:rsidRPr="00DF1911">
        <w:rPr>
          <w:lang w:eastAsia="en-US"/>
        </w:rPr>
        <w:t xml:space="preserve"> and rescue incidents.  Training facilities provide a controlled and reasonably safe environment to simulate emergencies in order to develop and test the skill sets of emergency workers.  Training involves both individual and group manipulative skills development in the operation of firefighting equipment and fire apparatus.</w:t>
      </w:r>
      <w:r>
        <w:rPr>
          <w:lang w:eastAsia="en-US"/>
        </w:rPr>
        <w:t xml:space="preserve">  </w:t>
      </w:r>
      <w:r w:rsidRPr="00DF1911">
        <w:rPr>
          <w:bCs/>
          <w:i/>
          <w:lang w:eastAsia="en-US"/>
        </w:rPr>
        <w:t>NFPA 1402:</w:t>
      </w:r>
      <w:r w:rsidRPr="00DF1911">
        <w:rPr>
          <w:bCs/>
          <w:lang w:eastAsia="en-US"/>
        </w:rPr>
        <w:t xml:space="preserve"> </w:t>
      </w:r>
      <w:r w:rsidRPr="00DF1911">
        <w:rPr>
          <w:bCs/>
          <w:i/>
          <w:lang w:eastAsia="en-US"/>
        </w:rPr>
        <w:t>Guide to Building Fire Service Training Centers</w:t>
      </w:r>
      <w:r w:rsidRPr="00DF1911">
        <w:rPr>
          <w:lang w:eastAsia="en-US"/>
        </w:rPr>
        <w:t xml:space="preserve"> is a standard that describes the appropriate design and construction of facilities for fire training.</w:t>
      </w:r>
      <w:r w:rsidRPr="00DF1911">
        <w:rPr>
          <w:vertAlign w:val="superscript"/>
          <w:lang w:eastAsia="en-US"/>
        </w:rPr>
        <w:footnoteReference w:id="25"/>
      </w:r>
      <w:r w:rsidRPr="00DF1911">
        <w:rPr>
          <w:lang w:eastAsia="en-US"/>
        </w:rPr>
        <w:t xml:space="preserve">  </w:t>
      </w:r>
    </w:p>
    <w:p w14:paraId="11C63A6A" w14:textId="7399FED1" w:rsidR="00A841C7" w:rsidRDefault="00A841C7" w:rsidP="00A841C7">
      <w:pPr>
        <w:pStyle w:val="ESCiNormalParagraphChar"/>
        <w:rPr>
          <w:lang w:eastAsia="en-US"/>
        </w:rPr>
      </w:pPr>
      <w:r>
        <w:rPr>
          <w:lang w:eastAsia="en-US"/>
        </w:rPr>
        <w:t>PFD contracts with W</w:t>
      </w:r>
      <w:r w:rsidR="004C09E7">
        <w:rPr>
          <w:lang w:eastAsia="en-US"/>
        </w:rPr>
        <w:t xml:space="preserve">alla </w:t>
      </w:r>
      <w:r>
        <w:rPr>
          <w:lang w:eastAsia="en-US"/>
        </w:rPr>
        <w:t>W</w:t>
      </w:r>
      <w:r w:rsidR="004C09E7">
        <w:rPr>
          <w:lang w:eastAsia="en-US"/>
        </w:rPr>
        <w:t xml:space="preserve">alla </w:t>
      </w:r>
      <w:r>
        <w:rPr>
          <w:lang w:eastAsia="en-US"/>
        </w:rPr>
        <w:t>C</w:t>
      </w:r>
      <w:r w:rsidR="004C09E7">
        <w:rPr>
          <w:lang w:eastAsia="en-US"/>
        </w:rPr>
        <w:t xml:space="preserve">ounty </w:t>
      </w:r>
      <w:r>
        <w:rPr>
          <w:lang w:eastAsia="en-US"/>
        </w:rPr>
        <w:t>F</w:t>
      </w:r>
      <w:r w:rsidR="004C09E7">
        <w:rPr>
          <w:lang w:eastAsia="en-US"/>
        </w:rPr>
        <w:t xml:space="preserve">ire </w:t>
      </w:r>
      <w:r>
        <w:rPr>
          <w:lang w:eastAsia="en-US"/>
        </w:rPr>
        <w:t>D</w:t>
      </w:r>
      <w:r w:rsidR="004C09E7">
        <w:rPr>
          <w:lang w:eastAsia="en-US"/>
        </w:rPr>
        <w:t>istrict</w:t>
      </w:r>
      <w:r>
        <w:rPr>
          <w:lang w:eastAsia="en-US"/>
        </w:rPr>
        <w:t xml:space="preserve"> #5 for use of </w:t>
      </w:r>
      <w:r w:rsidR="00F6266E">
        <w:rPr>
          <w:lang w:eastAsia="en-US"/>
        </w:rPr>
        <w:t>its</w:t>
      </w:r>
      <w:r>
        <w:rPr>
          <w:lang w:eastAsia="en-US"/>
        </w:rPr>
        <w:t xml:space="preserve"> training center in Burbank</w:t>
      </w:r>
      <w:r w:rsidR="00F6266E">
        <w:rPr>
          <w:lang w:eastAsia="en-US"/>
        </w:rPr>
        <w:t>; PFD has also been granted rights to use</w:t>
      </w:r>
      <w:r>
        <w:rPr>
          <w:lang w:eastAsia="en-US"/>
        </w:rPr>
        <w:t xml:space="preserve"> Kennewick’s training facilities on a case-by-case basis.  It was reported that the grounds are frequently out</w:t>
      </w:r>
      <w:r w:rsidR="00F6266E">
        <w:rPr>
          <w:lang w:eastAsia="en-US"/>
        </w:rPr>
        <w:t xml:space="preserve"> of </w:t>
      </w:r>
      <w:r>
        <w:rPr>
          <w:lang w:eastAsia="en-US"/>
        </w:rPr>
        <w:t xml:space="preserve">service and unavailable. </w:t>
      </w:r>
      <w:r w:rsidRPr="00914100">
        <w:rPr>
          <w:lang w:eastAsia="en-US"/>
        </w:rPr>
        <w:t xml:space="preserve"> The Burbank training center has a fire prop and is used </w:t>
      </w:r>
      <w:r>
        <w:rPr>
          <w:lang w:eastAsia="en-US"/>
        </w:rPr>
        <w:t>for</w:t>
      </w:r>
      <w:r w:rsidRPr="00914100">
        <w:rPr>
          <w:lang w:eastAsia="en-US"/>
        </w:rPr>
        <w:t xml:space="preserve"> live fire training exercises.</w:t>
      </w:r>
      <w:r>
        <w:rPr>
          <w:lang w:eastAsia="en-US"/>
        </w:rPr>
        <w:t xml:space="preserve">  PFD will resort to using any space that is available for driving skills training and to practice hose line stretches.  Tri-</w:t>
      </w:r>
      <w:r w:rsidR="00F6266E">
        <w:rPr>
          <w:lang w:eastAsia="en-US"/>
        </w:rPr>
        <w:t>Cit</w:t>
      </w:r>
      <w:r w:rsidR="002A72C1">
        <w:rPr>
          <w:lang w:eastAsia="en-US"/>
        </w:rPr>
        <w:t xml:space="preserve">ies </w:t>
      </w:r>
      <w:r>
        <w:rPr>
          <w:lang w:eastAsia="en-US"/>
        </w:rPr>
        <w:t xml:space="preserve">fire departments have had and </w:t>
      </w:r>
      <w:r w:rsidR="00F6266E">
        <w:rPr>
          <w:lang w:eastAsia="en-US"/>
        </w:rPr>
        <w:t xml:space="preserve">will </w:t>
      </w:r>
      <w:r>
        <w:rPr>
          <w:lang w:eastAsia="en-US"/>
        </w:rPr>
        <w:t xml:space="preserve">continue to have informal discussions on cooperatively developing joint training facilities. </w:t>
      </w:r>
    </w:p>
    <w:p w14:paraId="7CBBB9BD" w14:textId="10E94FB0" w:rsidR="00A841C7" w:rsidRDefault="00A841C7" w:rsidP="00A841C7">
      <w:pPr>
        <w:pStyle w:val="ESCiNormalParagraphChar"/>
        <w:rPr>
          <w:lang w:eastAsia="en-US"/>
        </w:rPr>
      </w:pPr>
      <w:r>
        <w:rPr>
          <w:lang w:eastAsia="en-US"/>
        </w:rPr>
        <w:t xml:space="preserve">Space to deliver </w:t>
      </w:r>
      <w:r w:rsidRPr="00F457A7">
        <w:rPr>
          <w:lang w:eastAsia="en-US"/>
        </w:rPr>
        <w:t xml:space="preserve">didactic instruction </w:t>
      </w:r>
      <w:r>
        <w:rPr>
          <w:lang w:eastAsia="en-US"/>
        </w:rPr>
        <w:t xml:space="preserve">involves having adequate classroom facilities with audiovisual capabilities.  PFD lacks adequate dedicated classrooms for instruction.  The airport fire station (Fire Station 82) has one classroom that can accommodate </w:t>
      </w:r>
      <w:r w:rsidR="00F6266E">
        <w:rPr>
          <w:lang w:eastAsia="en-US"/>
        </w:rPr>
        <w:t xml:space="preserve">approximately </w:t>
      </w:r>
      <w:r>
        <w:rPr>
          <w:lang w:eastAsia="en-US"/>
        </w:rPr>
        <w:t xml:space="preserve">24 people.  The day rooms at PFD’s two other fire stations serve </w:t>
      </w:r>
      <w:r w:rsidR="00F6266E">
        <w:rPr>
          <w:lang w:eastAsia="en-US"/>
        </w:rPr>
        <w:t>double</w:t>
      </w:r>
      <w:r>
        <w:rPr>
          <w:lang w:eastAsia="en-US"/>
        </w:rPr>
        <w:t xml:space="preserve"> as classrooms.  Large monitors electronically linked through the internet offer simultaneous interactive delivery of lessons to on-duty firefighters.  </w:t>
      </w:r>
    </w:p>
    <w:tbl>
      <w:tblPr>
        <w:tblW w:w="0" w:type="auto"/>
        <w:tblLook w:val="00A0" w:firstRow="1" w:lastRow="0" w:firstColumn="1" w:lastColumn="0" w:noHBand="0" w:noVBand="0"/>
      </w:tblPr>
      <w:tblGrid>
        <w:gridCol w:w="9360"/>
      </w:tblGrid>
      <w:tr w:rsidR="00A841C7" w:rsidRPr="00C1452A" w14:paraId="33718373" w14:textId="77777777" w:rsidTr="00A841C7">
        <w:tc>
          <w:tcPr>
            <w:tcW w:w="9360" w:type="dxa"/>
            <w:shd w:val="clear" w:color="auto" w:fill="D9D9D9" w:themeFill="background1" w:themeFillShade="D9"/>
          </w:tcPr>
          <w:p w14:paraId="48D18191" w14:textId="77777777" w:rsidR="00A841C7" w:rsidRPr="00F6266E" w:rsidRDefault="00A841C7" w:rsidP="00A841C7">
            <w:pPr>
              <w:keepNext/>
              <w:keepLines/>
              <w:spacing w:after="0" w:line="360" w:lineRule="auto"/>
              <w:rPr>
                <w:rFonts w:eastAsia="Times New Roman" w:cs="Calibri"/>
                <w:b/>
              </w:rPr>
            </w:pPr>
            <w:r w:rsidRPr="00F6266E">
              <w:rPr>
                <w:rFonts w:eastAsia="Times New Roman" w:cs="Calibri"/>
                <w:b/>
              </w:rPr>
              <w:t>Recommendation:</w:t>
            </w:r>
          </w:p>
          <w:p w14:paraId="286485E6" w14:textId="77777777" w:rsidR="00A841C7" w:rsidRPr="00C1452A" w:rsidRDefault="00A841C7" w:rsidP="00A51DDE">
            <w:pPr>
              <w:numPr>
                <w:ilvl w:val="0"/>
                <w:numId w:val="25"/>
              </w:numPr>
              <w:spacing w:after="120" w:line="240" w:lineRule="auto"/>
              <w:jc w:val="left"/>
              <w:rPr>
                <w:rFonts w:asciiTheme="majorHAnsi" w:hAnsiTheme="majorHAnsi" w:cs="Arial"/>
                <w:sz w:val="20"/>
                <w:szCs w:val="20"/>
              </w:rPr>
            </w:pPr>
            <w:r w:rsidRPr="00F6266E">
              <w:rPr>
                <w:rFonts w:cs="Calibri"/>
              </w:rPr>
              <w:t>Construct or acquire access to a centrally located fire-training center.</w:t>
            </w:r>
          </w:p>
        </w:tc>
      </w:tr>
    </w:tbl>
    <w:p w14:paraId="24CCA3C7" w14:textId="77777777" w:rsidR="00A841C7" w:rsidRPr="00A25EA2" w:rsidRDefault="00A841C7" w:rsidP="00B05733">
      <w:pPr>
        <w:pStyle w:val="ESCiNormalParagraphChar"/>
        <w:spacing w:after="0"/>
        <w:rPr>
          <w:lang w:eastAsia="en-US"/>
        </w:rPr>
      </w:pPr>
    </w:p>
    <w:p w14:paraId="59B3CA54" w14:textId="77777777" w:rsidR="00A841C7" w:rsidRDefault="00A841C7" w:rsidP="00A841C7">
      <w:pPr>
        <w:pStyle w:val="Heading3"/>
        <w:rPr>
          <w:rFonts w:eastAsia="Times New Roman"/>
          <w:lang w:eastAsia="en-US"/>
        </w:rPr>
      </w:pPr>
      <w:bookmarkStart w:id="186" w:name="_Toc464323585"/>
      <w:r>
        <w:rPr>
          <w:rFonts w:eastAsia="Times New Roman"/>
          <w:lang w:eastAsia="en-US"/>
        </w:rPr>
        <w:t>Training Procedures, M</w:t>
      </w:r>
      <w:r w:rsidRPr="00817349">
        <w:rPr>
          <w:rFonts w:eastAsia="Times New Roman"/>
          <w:lang w:eastAsia="en-US"/>
        </w:rPr>
        <w:t xml:space="preserve">anuals, and </w:t>
      </w:r>
      <w:r>
        <w:rPr>
          <w:rFonts w:eastAsia="Times New Roman"/>
          <w:lang w:eastAsia="en-US"/>
        </w:rPr>
        <w:t>P</w:t>
      </w:r>
      <w:r w:rsidRPr="00817349">
        <w:rPr>
          <w:rFonts w:eastAsia="Times New Roman"/>
          <w:lang w:eastAsia="en-US"/>
        </w:rPr>
        <w:t>rotocols</w:t>
      </w:r>
      <w:bookmarkEnd w:id="186"/>
    </w:p>
    <w:p w14:paraId="6165EBD4" w14:textId="61148A59" w:rsidR="00A841C7" w:rsidRDefault="00A841C7" w:rsidP="00A841C7">
      <w:pPr>
        <w:pStyle w:val="ESCiNormalParagraphChar"/>
      </w:pPr>
      <w:r w:rsidRPr="00A938DC">
        <w:t xml:space="preserve">A training manual </w:t>
      </w:r>
      <w:r>
        <w:t>is the playbook that firefighters use to practice and prepare to operate safely and efficient</w:t>
      </w:r>
      <w:r w:rsidR="00B05733">
        <w:t>ly.  A playbook</w:t>
      </w:r>
      <w:r>
        <w:t xml:space="preserve"> is used</w:t>
      </w:r>
      <w:r w:rsidRPr="00A938DC">
        <w:t xml:space="preserve"> to standardize techniques and processes </w:t>
      </w:r>
      <w:r>
        <w:t xml:space="preserve">for individual companies, fire stations, and between </w:t>
      </w:r>
      <w:r w:rsidRPr="00A938DC">
        <w:t>shifts.</w:t>
      </w:r>
      <w:r>
        <w:t xml:space="preserve">  Within a geographic region with interdependency for most fires and larger emergency incidents, it is appropriate that there be a regional training manual.  In discussions with Tri-Cit</w:t>
      </w:r>
      <w:r w:rsidR="00230016">
        <w:t>ies</w:t>
      </w:r>
      <w:r>
        <w:t xml:space="preserve"> area fire chiefs, there is a willingness to collaborate on a common set or manuals.  </w:t>
      </w:r>
    </w:p>
    <w:tbl>
      <w:tblPr>
        <w:tblW w:w="0" w:type="auto"/>
        <w:tblLook w:val="00A0" w:firstRow="1" w:lastRow="0" w:firstColumn="1" w:lastColumn="0" w:noHBand="0" w:noVBand="0"/>
      </w:tblPr>
      <w:tblGrid>
        <w:gridCol w:w="9360"/>
      </w:tblGrid>
      <w:tr w:rsidR="00A841C7" w:rsidRPr="00C1452A" w14:paraId="4FDCF451" w14:textId="77777777" w:rsidTr="00A841C7">
        <w:tc>
          <w:tcPr>
            <w:tcW w:w="9360" w:type="dxa"/>
            <w:shd w:val="clear" w:color="auto" w:fill="D9D9D9" w:themeFill="background1" w:themeFillShade="D9"/>
          </w:tcPr>
          <w:p w14:paraId="1E1512C3" w14:textId="77777777" w:rsidR="00A841C7" w:rsidRPr="00B05733" w:rsidRDefault="00A841C7" w:rsidP="00A841C7">
            <w:pPr>
              <w:keepNext/>
              <w:keepLines/>
              <w:spacing w:after="0" w:line="360" w:lineRule="auto"/>
              <w:rPr>
                <w:rFonts w:asciiTheme="majorHAnsi" w:eastAsia="Times New Roman" w:hAnsiTheme="majorHAnsi" w:cs="Calibri"/>
                <w:b/>
              </w:rPr>
            </w:pPr>
            <w:r w:rsidRPr="00B05733">
              <w:rPr>
                <w:rFonts w:asciiTheme="majorHAnsi" w:eastAsia="Times New Roman" w:hAnsiTheme="majorHAnsi" w:cs="Calibri"/>
                <w:b/>
              </w:rPr>
              <w:t>Recommendation:</w:t>
            </w:r>
          </w:p>
          <w:p w14:paraId="297D8826" w14:textId="4ADE2A99" w:rsidR="00A841C7" w:rsidRPr="00C1452A" w:rsidRDefault="00A841C7" w:rsidP="00A51DDE">
            <w:pPr>
              <w:numPr>
                <w:ilvl w:val="0"/>
                <w:numId w:val="25"/>
              </w:numPr>
              <w:spacing w:after="120" w:line="240" w:lineRule="auto"/>
              <w:jc w:val="left"/>
              <w:rPr>
                <w:rFonts w:asciiTheme="majorHAnsi" w:hAnsiTheme="majorHAnsi" w:cs="Arial"/>
                <w:sz w:val="20"/>
                <w:szCs w:val="20"/>
              </w:rPr>
            </w:pPr>
            <w:r w:rsidRPr="00B05733">
              <w:rPr>
                <w:rFonts w:asciiTheme="majorHAnsi" w:hAnsiTheme="majorHAnsi" w:cs="Calibri"/>
              </w:rPr>
              <w:t>Develop a common training manual for Tri-Cit</w:t>
            </w:r>
            <w:r w:rsidR="00230016">
              <w:rPr>
                <w:rFonts w:asciiTheme="majorHAnsi" w:hAnsiTheme="majorHAnsi" w:cs="Calibri"/>
              </w:rPr>
              <w:t>ies</w:t>
            </w:r>
            <w:r w:rsidRPr="00B05733">
              <w:rPr>
                <w:rFonts w:asciiTheme="majorHAnsi" w:hAnsiTheme="majorHAnsi" w:cs="Calibri"/>
              </w:rPr>
              <w:t xml:space="preserve"> fire agencies.</w:t>
            </w:r>
          </w:p>
        </w:tc>
      </w:tr>
    </w:tbl>
    <w:p w14:paraId="6A95B172" w14:textId="77777777" w:rsidR="00A841C7" w:rsidRDefault="00A841C7" w:rsidP="00B05733">
      <w:pPr>
        <w:pStyle w:val="ESCiNormalParagraphChar"/>
        <w:spacing w:after="0"/>
      </w:pPr>
    </w:p>
    <w:p w14:paraId="0BC56372" w14:textId="77777777" w:rsidR="00A841C7" w:rsidRDefault="00A841C7" w:rsidP="00A841C7">
      <w:pPr>
        <w:pStyle w:val="ESCiNormalParagraphChar"/>
      </w:pPr>
      <w:r>
        <w:t xml:space="preserve">A single training manual should be broad enough to take in the unique requirements of individual jurisdictions.  While one agency has a need for aerial operations, another will need rural water supply tactical operations.  Meeting the discreet needs of a fire department will encourage buy-in. </w:t>
      </w:r>
    </w:p>
    <w:p w14:paraId="2E84B7A6" w14:textId="77777777" w:rsidR="00A841C7" w:rsidRDefault="00A841C7" w:rsidP="00A841C7">
      <w:pPr>
        <w:pStyle w:val="ESCiNormalParagraphChar"/>
      </w:pPr>
      <w:r>
        <w:t xml:space="preserve">PFD has a series of manuals describing practices for hose, ladders, operating motorized fire apparatus, ropes, tactics, hazardous materials, etc.  Changes will occur over time in how fire departments operate.  It is a best practice to include the adoption date of a manual, a scheduled for review interval, and authorizing signature of the fire chief.  </w:t>
      </w:r>
    </w:p>
    <w:p w14:paraId="20344B60" w14:textId="77777777" w:rsidR="00A841C7" w:rsidRDefault="00A841C7" w:rsidP="00A841C7">
      <w:pPr>
        <w:pStyle w:val="Heading3"/>
        <w:rPr>
          <w:rFonts w:eastAsia="Times New Roman"/>
          <w:lang w:eastAsia="en-US"/>
        </w:rPr>
      </w:pPr>
      <w:bookmarkStart w:id="187" w:name="_Toc464323586"/>
      <w:r>
        <w:rPr>
          <w:rFonts w:eastAsia="Times New Roman"/>
          <w:lang w:eastAsia="en-US"/>
        </w:rPr>
        <w:t>Training Record K</w:t>
      </w:r>
      <w:r w:rsidRPr="00817349">
        <w:rPr>
          <w:rFonts w:eastAsia="Times New Roman"/>
          <w:lang w:eastAsia="en-US"/>
        </w:rPr>
        <w:t>eeping</w:t>
      </w:r>
      <w:bookmarkEnd w:id="187"/>
    </w:p>
    <w:p w14:paraId="113C7486" w14:textId="251C2AC6" w:rsidR="00A841C7" w:rsidRPr="009D18E2" w:rsidRDefault="00A841C7" w:rsidP="00A841C7">
      <w:pPr>
        <w:pStyle w:val="ESCiNormalParagraphChar"/>
      </w:pPr>
      <w:r>
        <w:t>Individual t</w:t>
      </w:r>
      <w:r w:rsidRPr="009D18E2">
        <w:t xml:space="preserve">raining records are </w:t>
      </w:r>
      <w:r>
        <w:t>entered and archived</w:t>
      </w:r>
      <w:r w:rsidRPr="009D18E2">
        <w:t xml:space="preserve"> on</w:t>
      </w:r>
      <w:r>
        <w:t xml:space="preserve"> </w:t>
      </w:r>
      <w:r w:rsidRPr="00E81A66">
        <w:t>ERS (Emergency Reporting System)</w:t>
      </w:r>
      <w:r w:rsidR="00B05733">
        <w:t>, the Department’s</w:t>
      </w:r>
      <w:r>
        <w:t xml:space="preserve"> RMS (</w:t>
      </w:r>
      <w:r w:rsidRPr="009D18E2">
        <w:t>record management system</w:t>
      </w:r>
      <w:r w:rsidR="00B05733">
        <w:t>)</w:t>
      </w:r>
      <w:r>
        <w:t xml:space="preserve">.  </w:t>
      </w:r>
      <w:r w:rsidR="00B05733">
        <w:t>C</w:t>
      </w:r>
      <w:r>
        <w:t xml:space="preserve">ompany-training activities are not logged.  Company officers have responsibility for recording training activity.  In some instances, company officers have been failing to record training.  ERS has the capability to produce </w:t>
      </w:r>
      <w:r w:rsidRPr="009D18E2">
        <w:t>reports showing the t</w:t>
      </w:r>
      <w:r>
        <w:t xml:space="preserve">raining received by individual </w:t>
      </w:r>
      <w:r w:rsidRPr="009D18E2">
        <w:t>employee, category</w:t>
      </w:r>
      <w:r w:rsidR="00B05733">
        <w:t>,</w:t>
      </w:r>
      <w:r w:rsidRPr="009D18E2">
        <w:t xml:space="preserve"> or type of training </w:t>
      </w:r>
      <w:r>
        <w:t xml:space="preserve">received </w:t>
      </w:r>
      <w:r w:rsidRPr="009D18E2">
        <w:t>and number of hours</w:t>
      </w:r>
      <w:r w:rsidR="00B05733">
        <w:t xml:space="preserve"> of instruction</w:t>
      </w:r>
      <w:r w:rsidRPr="009D18E2">
        <w:t xml:space="preserve">.  </w:t>
      </w:r>
      <w:r>
        <w:t>As a tool, the</w:t>
      </w:r>
      <w:r w:rsidRPr="009D18E2">
        <w:t xml:space="preserve"> RMS </w:t>
      </w:r>
      <w:r>
        <w:t>can assist in the development of</w:t>
      </w:r>
      <w:r w:rsidRPr="009D18E2">
        <w:t xml:space="preserve"> training</w:t>
      </w:r>
      <w:r>
        <w:t xml:space="preserve"> activities and certification </w:t>
      </w:r>
      <w:r w:rsidRPr="009D18E2">
        <w:t>plans.</w:t>
      </w:r>
    </w:p>
    <w:p w14:paraId="574EF991" w14:textId="0CED7E55" w:rsidR="00A841C7" w:rsidRDefault="00A841C7" w:rsidP="00A841C7">
      <w:pPr>
        <w:pStyle w:val="ESCiNormalParagraphChar"/>
      </w:pPr>
      <w:r>
        <w:t>In 2015, 56 PFD personnel received a total of 16,800 hours of training.  Fire</w:t>
      </w:r>
      <w:r w:rsidR="00B05733">
        <w:t>-</w:t>
      </w:r>
      <w:r>
        <w:t xml:space="preserve">related training averaged ten hours per month per employee and five hours of EMS training per month per employee.  Other training activities, technical, specialty team, and instruction outside the </w:t>
      </w:r>
      <w:r w:rsidR="00B05733">
        <w:t xml:space="preserve">Department </w:t>
      </w:r>
      <w:r>
        <w:t xml:space="preserve">averaged ten hours per month per employee.  </w:t>
      </w:r>
      <w:r w:rsidR="00957310">
        <w:t>Company officers must be diligent in recording training activity.</w:t>
      </w:r>
    </w:p>
    <w:tbl>
      <w:tblPr>
        <w:tblW w:w="0" w:type="auto"/>
        <w:tblLook w:val="00A0" w:firstRow="1" w:lastRow="0" w:firstColumn="1" w:lastColumn="0" w:noHBand="0" w:noVBand="0"/>
      </w:tblPr>
      <w:tblGrid>
        <w:gridCol w:w="9360"/>
      </w:tblGrid>
      <w:tr w:rsidR="00A51DDE" w:rsidRPr="00C1452A" w14:paraId="61C076DC" w14:textId="77777777" w:rsidTr="00003327">
        <w:tc>
          <w:tcPr>
            <w:tcW w:w="9360" w:type="dxa"/>
            <w:shd w:val="clear" w:color="auto" w:fill="D9D9D9" w:themeFill="background1" w:themeFillShade="D9"/>
          </w:tcPr>
          <w:p w14:paraId="6CB4B1C1" w14:textId="355430DA" w:rsidR="00A51DDE" w:rsidRPr="00A51DDE" w:rsidRDefault="00A51DDE" w:rsidP="00A51DDE">
            <w:pPr>
              <w:keepNext/>
              <w:keepLines/>
              <w:spacing w:after="0" w:line="360" w:lineRule="auto"/>
              <w:rPr>
                <w:rFonts w:asciiTheme="majorHAnsi" w:hAnsiTheme="majorHAnsi" w:cs="Calibri"/>
              </w:rPr>
            </w:pPr>
            <w:r w:rsidRPr="006331CD">
              <w:rPr>
                <w:rFonts w:asciiTheme="majorHAnsi" w:eastAsia="Times New Roman" w:hAnsiTheme="majorHAnsi" w:cs="Calibri"/>
                <w:b/>
              </w:rPr>
              <w:t>Recommendation:</w:t>
            </w:r>
          </w:p>
          <w:p w14:paraId="6B1422D6" w14:textId="77777777" w:rsidR="00A51DDE" w:rsidRPr="00A51DDE" w:rsidRDefault="00A51DDE" w:rsidP="00A51DDE">
            <w:pPr>
              <w:numPr>
                <w:ilvl w:val="0"/>
                <w:numId w:val="25"/>
              </w:numPr>
              <w:spacing w:after="120" w:line="240" w:lineRule="auto"/>
              <w:jc w:val="left"/>
              <w:rPr>
                <w:rFonts w:asciiTheme="majorHAnsi" w:hAnsiTheme="majorHAnsi" w:cs="Calibri"/>
              </w:rPr>
            </w:pPr>
            <w:r w:rsidRPr="00A51DDE">
              <w:rPr>
                <w:rFonts w:asciiTheme="majorHAnsi" w:hAnsiTheme="majorHAnsi" w:cs="Calibri"/>
              </w:rPr>
              <w:t>Memorialize training manuals and policies with adoption date, scheduled review interval, and authorizing signature of the fire chief.</w:t>
            </w:r>
          </w:p>
          <w:p w14:paraId="1D730CD8" w14:textId="001EAC0C" w:rsidR="00A51DDE" w:rsidRPr="006331CD" w:rsidRDefault="00A51DDE" w:rsidP="00A51DDE">
            <w:pPr>
              <w:numPr>
                <w:ilvl w:val="0"/>
                <w:numId w:val="25"/>
              </w:numPr>
              <w:spacing w:after="120" w:line="240" w:lineRule="auto"/>
              <w:jc w:val="left"/>
              <w:rPr>
                <w:rFonts w:asciiTheme="majorHAnsi" w:hAnsiTheme="majorHAnsi" w:cs="Arial"/>
              </w:rPr>
            </w:pPr>
            <w:r>
              <w:rPr>
                <w:rFonts w:asciiTheme="majorHAnsi" w:hAnsiTheme="majorHAnsi" w:cs="Calibri"/>
              </w:rPr>
              <w:t>Company officers must record training activity accurately and consistently</w:t>
            </w:r>
            <w:r w:rsidRPr="006331CD">
              <w:rPr>
                <w:rFonts w:asciiTheme="majorHAnsi" w:hAnsiTheme="majorHAnsi" w:cs="Calibri"/>
              </w:rPr>
              <w:t>.</w:t>
            </w:r>
          </w:p>
        </w:tc>
      </w:tr>
    </w:tbl>
    <w:p w14:paraId="0E143D7A" w14:textId="77777777" w:rsidR="00A51DDE" w:rsidRPr="002F7CC0" w:rsidRDefault="00A51DDE" w:rsidP="00A841C7">
      <w:pPr>
        <w:pStyle w:val="ESCiNormalParagraphChar"/>
      </w:pPr>
    </w:p>
    <w:p w14:paraId="0BC9150F" w14:textId="5E1B5072" w:rsidR="00A841C7" w:rsidRPr="00FD59E0" w:rsidRDefault="00A841C7" w:rsidP="00A841C7">
      <w:pPr>
        <w:pStyle w:val="Heading2"/>
        <w:pageBreakBefore/>
        <w:rPr>
          <w:rFonts w:cs="Calibri"/>
        </w:rPr>
      </w:pPr>
      <w:bookmarkStart w:id="188" w:name="_Toc464323587"/>
      <w:r w:rsidRPr="00FD59E0">
        <w:rPr>
          <w:rFonts w:cs="Calibri"/>
        </w:rPr>
        <w:t>Fire Prevention</w:t>
      </w:r>
      <w:bookmarkEnd w:id="188"/>
    </w:p>
    <w:p w14:paraId="068B2CAE" w14:textId="77777777" w:rsidR="00A841C7" w:rsidRDefault="00A841C7" w:rsidP="00A841C7">
      <w:pPr>
        <w:rPr>
          <w:rFonts w:asciiTheme="majorHAnsi" w:eastAsia="Calibri" w:hAnsiTheme="majorHAnsi" w:cs="Calibri"/>
          <w:lang w:val="en-CA"/>
        </w:rPr>
      </w:pPr>
      <w:r>
        <w:rPr>
          <w:rFonts w:asciiTheme="majorHAnsi" w:eastAsia="Calibri" w:hAnsiTheme="majorHAnsi" w:cs="Calibri"/>
          <w:lang w:val="en-CA"/>
        </w:rPr>
        <w:t>Fire prevention should be the cornerstone for all activities performed by a fire department.  The prevention of fire and loss of life, human suffering (injuries to the public and firefighters), environmental harm, and property damage is the optimum return on investment for fire agencies.  Proactive involvement in construction, code enforcement, and educating the public to prevent destructive fires and training the public to survive them is the best accomplishment of fire prevention.</w:t>
      </w:r>
    </w:p>
    <w:p w14:paraId="243DCA68" w14:textId="77777777" w:rsidR="00A841C7" w:rsidRDefault="00A841C7" w:rsidP="00B05733">
      <w:pPr>
        <w:spacing w:after="0"/>
        <w:rPr>
          <w:rFonts w:asciiTheme="majorHAnsi" w:eastAsia="Calibri" w:hAnsiTheme="majorHAnsi" w:cs="Calibri"/>
          <w:lang w:val="en-CA"/>
        </w:rPr>
      </w:pPr>
      <w:r w:rsidRPr="006F311E">
        <w:rPr>
          <w:rFonts w:asciiTheme="majorHAnsi" w:eastAsia="Calibri" w:hAnsiTheme="majorHAnsi" w:cs="Calibri"/>
          <w:lang w:val="en-CA"/>
        </w:rPr>
        <w:t>The</w:t>
      </w:r>
      <w:r>
        <w:rPr>
          <w:rFonts w:asciiTheme="majorHAnsi" w:eastAsia="Calibri" w:hAnsiTheme="majorHAnsi" w:cs="Calibri"/>
          <w:lang w:val="en-CA"/>
        </w:rPr>
        <w:t>re are five</w:t>
      </w:r>
      <w:r w:rsidRPr="006F311E">
        <w:rPr>
          <w:rFonts w:asciiTheme="majorHAnsi" w:eastAsia="Calibri" w:hAnsiTheme="majorHAnsi" w:cs="Calibri"/>
          <w:lang w:val="en-CA"/>
        </w:rPr>
        <w:t xml:space="preserve"> fundamental components </w:t>
      </w:r>
      <w:r>
        <w:rPr>
          <w:rFonts w:asciiTheme="majorHAnsi" w:eastAsia="Calibri" w:hAnsiTheme="majorHAnsi" w:cs="Calibri"/>
          <w:lang w:val="en-CA"/>
        </w:rPr>
        <w:t xml:space="preserve">that together work to create </w:t>
      </w:r>
      <w:r w:rsidRPr="006F311E">
        <w:rPr>
          <w:rFonts w:asciiTheme="majorHAnsi" w:eastAsia="Calibri" w:hAnsiTheme="majorHAnsi" w:cs="Calibri"/>
          <w:lang w:val="en-CA"/>
        </w:rPr>
        <w:t>an effective fire prevention program</w:t>
      </w:r>
      <w:r>
        <w:rPr>
          <w:rFonts w:asciiTheme="majorHAnsi" w:eastAsia="Calibri" w:hAnsiTheme="majorHAnsi" w:cs="Calibri"/>
          <w:lang w:val="en-CA"/>
        </w:rPr>
        <w:t>:</w:t>
      </w:r>
      <w:r w:rsidRPr="006F311E">
        <w:rPr>
          <w:rFonts w:asciiTheme="majorHAnsi" w:eastAsia="Calibri" w:hAnsiTheme="majorHAnsi" w:cs="Calibri"/>
          <w:lang w:val="en-CA"/>
        </w:rPr>
        <w:t xml:space="preserve"> </w:t>
      </w:r>
    </w:p>
    <w:p w14:paraId="718ABE49" w14:textId="77777777" w:rsidR="00A841C7" w:rsidRDefault="00A841C7" w:rsidP="00D93539">
      <w:pPr>
        <w:pStyle w:val="ListParagraph"/>
        <w:numPr>
          <w:ilvl w:val="0"/>
          <w:numId w:val="17"/>
        </w:numPr>
        <w:rPr>
          <w:rFonts w:asciiTheme="majorHAnsi" w:eastAsia="Calibri" w:hAnsiTheme="majorHAnsi" w:cs="Calibri"/>
          <w:lang w:val="en-CA"/>
        </w:rPr>
      </w:pPr>
      <w:r w:rsidRPr="00EE6E41">
        <w:rPr>
          <w:rFonts w:asciiTheme="majorHAnsi" w:eastAsia="Calibri" w:hAnsiTheme="majorHAnsi" w:cs="Calibri"/>
          <w:lang w:val="en-CA"/>
        </w:rPr>
        <w:t>New construction inspections and involvement</w:t>
      </w:r>
    </w:p>
    <w:p w14:paraId="72B2F3CC" w14:textId="77777777" w:rsidR="00A841C7" w:rsidRDefault="00A841C7" w:rsidP="00D93539">
      <w:pPr>
        <w:pStyle w:val="ListParagraph"/>
        <w:numPr>
          <w:ilvl w:val="0"/>
          <w:numId w:val="17"/>
        </w:numPr>
        <w:rPr>
          <w:rFonts w:asciiTheme="majorHAnsi" w:eastAsia="Calibri" w:hAnsiTheme="majorHAnsi" w:cs="Calibri"/>
          <w:lang w:val="en-CA"/>
        </w:rPr>
      </w:pPr>
      <w:r>
        <w:rPr>
          <w:rFonts w:asciiTheme="majorHAnsi" w:eastAsia="Calibri" w:hAnsiTheme="majorHAnsi" w:cs="Calibri"/>
          <w:lang w:val="en-CA"/>
        </w:rPr>
        <w:t>Code enforcement</w:t>
      </w:r>
    </w:p>
    <w:p w14:paraId="563FCDEC" w14:textId="77777777" w:rsidR="00A841C7" w:rsidRDefault="00A841C7" w:rsidP="00D93539">
      <w:pPr>
        <w:pStyle w:val="ListParagraph"/>
        <w:numPr>
          <w:ilvl w:val="0"/>
          <w:numId w:val="17"/>
        </w:numPr>
        <w:rPr>
          <w:rFonts w:asciiTheme="majorHAnsi" w:eastAsia="Calibri" w:hAnsiTheme="majorHAnsi" w:cs="Calibri"/>
          <w:lang w:val="en-CA"/>
        </w:rPr>
      </w:pPr>
      <w:r>
        <w:rPr>
          <w:rFonts w:asciiTheme="majorHAnsi" w:eastAsia="Calibri" w:hAnsiTheme="majorHAnsi" w:cs="Calibri"/>
          <w:lang w:val="en-CA"/>
        </w:rPr>
        <w:t>Fire safety and public education</w:t>
      </w:r>
    </w:p>
    <w:p w14:paraId="68CBB777" w14:textId="77777777" w:rsidR="00A841C7" w:rsidRDefault="00A841C7" w:rsidP="00D93539">
      <w:pPr>
        <w:pStyle w:val="ListParagraph"/>
        <w:numPr>
          <w:ilvl w:val="0"/>
          <w:numId w:val="17"/>
        </w:numPr>
        <w:rPr>
          <w:rFonts w:asciiTheme="majorHAnsi" w:eastAsia="Calibri" w:hAnsiTheme="majorHAnsi" w:cs="Calibri"/>
          <w:lang w:val="en-CA"/>
        </w:rPr>
      </w:pPr>
      <w:r>
        <w:rPr>
          <w:rFonts w:asciiTheme="majorHAnsi" w:eastAsia="Calibri" w:hAnsiTheme="majorHAnsi" w:cs="Calibri"/>
          <w:lang w:val="en-CA"/>
        </w:rPr>
        <w:t>Fire cause determination</w:t>
      </w:r>
    </w:p>
    <w:p w14:paraId="6A4A3D2D" w14:textId="77777777" w:rsidR="00A841C7" w:rsidRPr="00EE6E41" w:rsidRDefault="00A841C7" w:rsidP="00D93539">
      <w:pPr>
        <w:pStyle w:val="ListParagraph"/>
        <w:numPr>
          <w:ilvl w:val="0"/>
          <w:numId w:val="17"/>
        </w:numPr>
        <w:rPr>
          <w:rFonts w:asciiTheme="majorHAnsi" w:eastAsia="Calibri" w:hAnsiTheme="majorHAnsi" w:cs="Calibri"/>
          <w:lang w:val="en-CA"/>
        </w:rPr>
      </w:pPr>
      <w:r>
        <w:rPr>
          <w:rFonts w:asciiTheme="majorHAnsi" w:eastAsia="Calibri" w:hAnsiTheme="majorHAnsi" w:cs="Calibri"/>
          <w:lang w:val="en-CA"/>
        </w:rPr>
        <w:t>Statistical collection and analysis</w:t>
      </w:r>
    </w:p>
    <w:p w14:paraId="3D19C53C" w14:textId="77777777" w:rsidR="00A841C7" w:rsidRPr="00822A8A" w:rsidRDefault="00A841C7" w:rsidP="00A841C7">
      <w:pPr>
        <w:pStyle w:val="Heading3"/>
        <w:rPr>
          <w:rFonts w:eastAsia="Calibri"/>
          <w:lang w:val="en-CA"/>
        </w:rPr>
      </w:pPr>
      <w:bookmarkStart w:id="189" w:name="_Toc464323588"/>
      <w:r w:rsidRPr="00822A8A">
        <w:rPr>
          <w:rFonts w:eastAsia="Calibri"/>
          <w:lang w:val="en-CA"/>
        </w:rPr>
        <w:t>New Construction Plan Review and Inspection</w:t>
      </w:r>
      <w:bookmarkEnd w:id="189"/>
    </w:p>
    <w:p w14:paraId="20B05921" w14:textId="65613488" w:rsidR="00A841C7" w:rsidRDefault="00A841C7" w:rsidP="00A841C7">
      <w:r>
        <w:rPr>
          <w:rFonts w:asciiTheme="majorHAnsi" w:eastAsia="Calibri" w:hAnsiTheme="majorHAnsi" w:cs="Calibri"/>
          <w:lang w:val="en-CA"/>
        </w:rPr>
        <w:t xml:space="preserve">Plan review and permitting for a new development or building in Pasco is the responsibility of the </w:t>
      </w:r>
      <w:r>
        <w:t>City’s Inspection Services Division.  Once constructed, the City will have the responsibility to protect the structure and building occupants.  As a result, the City and PFD ha</w:t>
      </w:r>
      <w:r w:rsidR="00BC6353">
        <w:t>ve</w:t>
      </w:r>
      <w:r>
        <w:t xml:space="preserve"> an interest and fiduciary duty to ensure that development and building construction meets adopted fire and life safety code.</w:t>
      </w:r>
    </w:p>
    <w:p w14:paraId="285801A9" w14:textId="3E7BE351" w:rsidR="00A841C7" w:rsidRDefault="00A841C7" w:rsidP="00A841C7">
      <w:pPr>
        <w:rPr>
          <w:rFonts w:asciiTheme="majorHAnsi" w:eastAsia="Calibri" w:hAnsiTheme="majorHAnsi" w:cs="Calibri"/>
          <w:lang w:val="en-CA"/>
        </w:rPr>
      </w:pPr>
      <w:r>
        <w:t>Pasco’s issuance of industrial, commercial, and residential new construction permits, along with a wide variety of other construction projects</w:t>
      </w:r>
      <w:r w:rsidR="00BC6353">
        <w:t>,</w:t>
      </w:r>
      <w:r>
        <w:t xml:space="preserve"> continues to remain strong.  The figure below offers a historical review of the number of building permits issued annually for the last </w:t>
      </w:r>
      <w:r w:rsidR="00BC6353">
        <w:t>15</w:t>
      </w:r>
      <w:r>
        <w:t xml:space="preserve"> years. </w:t>
      </w:r>
    </w:p>
    <w:p w14:paraId="53446C7C" w14:textId="67237CE1" w:rsidR="00A841C7" w:rsidRDefault="00A841C7" w:rsidP="00BC6353">
      <w:pPr>
        <w:pStyle w:val="Caption"/>
      </w:pPr>
      <w:bookmarkStart w:id="190" w:name="_Toc464323688"/>
      <w:r w:rsidRPr="007E2767">
        <w:t xml:space="preserve">Figure </w:t>
      </w:r>
      <w:r w:rsidR="00432AD4">
        <w:fldChar w:fldCharType="begin"/>
      </w:r>
      <w:r w:rsidR="00432AD4">
        <w:instrText xml:space="preserve"> SEQ Figure \* ARABIC </w:instrText>
      </w:r>
      <w:r w:rsidR="00432AD4">
        <w:fldChar w:fldCharType="separate"/>
      </w:r>
      <w:r w:rsidR="008209A2">
        <w:rPr>
          <w:noProof/>
        </w:rPr>
        <w:t>46</w:t>
      </w:r>
      <w:r w:rsidR="00432AD4">
        <w:rPr>
          <w:noProof/>
        </w:rPr>
        <w:fldChar w:fldCharType="end"/>
      </w:r>
      <w:r>
        <w:t>: Annual Building Permits Issued, 2001 – 2015</w:t>
      </w:r>
      <w:bookmarkEnd w:id="190"/>
    </w:p>
    <w:p w14:paraId="0D380519" w14:textId="27760FAE" w:rsidR="002A72C1" w:rsidRPr="002A72C1" w:rsidRDefault="002A72C1" w:rsidP="002A72C1">
      <w:pPr>
        <w:jc w:val="center"/>
        <w:rPr>
          <w:lang w:eastAsia="en-US"/>
        </w:rPr>
      </w:pPr>
      <w:r>
        <w:rPr>
          <w:noProof/>
          <w:lang w:eastAsia="en-US"/>
        </w:rPr>
        <w:drawing>
          <wp:inline distT="0" distB="0" distL="0" distR="0" wp14:anchorId="77445375" wp14:editId="1342BA20">
            <wp:extent cx="4572000" cy="2924175"/>
            <wp:effectExtent l="0" t="0" r="0" b="0"/>
            <wp:docPr id="95" name="Chart 95"/>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1C452B64" w14:textId="6BF760ED" w:rsidR="00A841C7" w:rsidRDefault="00A841C7" w:rsidP="00A841C7">
      <w:pPr>
        <w:rPr>
          <w:rFonts w:asciiTheme="majorHAnsi" w:eastAsia="Calibri" w:hAnsiTheme="majorHAnsi" w:cs="Calibri"/>
          <w:lang w:val="en-CA"/>
        </w:rPr>
      </w:pPr>
      <w:r>
        <w:rPr>
          <w:rFonts w:asciiTheme="majorHAnsi" w:eastAsia="Calibri" w:hAnsiTheme="majorHAnsi" w:cs="Calibri"/>
          <w:lang w:val="en-CA"/>
        </w:rPr>
        <w:t>The City adopted the 2012</w:t>
      </w:r>
      <w:r w:rsidRPr="009044D8">
        <w:rPr>
          <w:rFonts w:asciiTheme="majorHAnsi" w:eastAsia="Calibri" w:hAnsiTheme="majorHAnsi" w:cs="Calibri"/>
          <w:lang w:val="en-CA"/>
        </w:rPr>
        <w:t xml:space="preserve"> IBC</w:t>
      </w:r>
      <w:r>
        <w:rPr>
          <w:rFonts w:asciiTheme="majorHAnsi" w:eastAsia="Calibri" w:hAnsiTheme="majorHAnsi" w:cs="Calibri"/>
          <w:lang w:val="en-CA"/>
        </w:rPr>
        <w:t xml:space="preserve"> (</w:t>
      </w:r>
      <w:r w:rsidRPr="009044D8">
        <w:rPr>
          <w:rFonts w:asciiTheme="majorHAnsi" w:eastAsia="Calibri" w:hAnsiTheme="majorHAnsi" w:cs="Calibri"/>
          <w:lang w:val="en-CA"/>
        </w:rPr>
        <w:t>International Building Code</w:t>
      </w:r>
      <w:r>
        <w:rPr>
          <w:rFonts w:asciiTheme="majorHAnsi" w:eastAsia="Calibri" w:hAnsiTheme="majorHAnsi" w:cs="Calibri"/>
          <w:lang w:val="en-CA"/>
        </w:rPr>
        <w:t xml:space="preserve">) and the 2012 </w:t>
      </w:r>
      <w:r w:rsidRPr="009044D8">
        <w:rPr>
          <w:rFonts w:asciiTheme="majorHAnsi" w:eastAsia="Calibri" w:hAnsiTheme="majorHAnsi" w:cs="Calibri"/>
          <w:lang w:val="en-CA"/>
        </w:rPr>
        <w:t>IFC</w:t>
      </w:r>
      <w:r>
        <w:rPr>
          <w:rFonts w:asciiTheme="majorHAnsi" w:eastAsia="Calibri" w:hAnsiTheme="majorHAnsi" w:cs="Calibri"/>
          <w:lang w:val="en-CA"/>
        </w:rPr>
        <w:t xml:space="preserve"> (</w:t>
      </w:r>
      <w:r w:rsidRPr="007D791A">
        <w:rPr>
          <w:rFonts w:asciiTheme="majorHAnsi" w:eastAsia="Calibri" w:hAnsiTheme="majorHAnsi" w:cs="Calibri"/>
          <w:lang w:val="en-CA"/>
        </w:rPr>
        <w:t>International Fire Code</w:t>
      </w:r>
      <w:r>
        <w:rPr>
          <w:rFonts w:asciiTheme="majorHAnsi" w:eastAsia="Calibri" w:hAnsiTheme="majorHAnsi" w:cs="Calibri"/>
          <w:lang w:val="en-CA"/>
        </w:rPr>
        <w:t xml:space="preserve">).  Amendments to the two model codes </w:t>
      </w:r>
      <w:r w:rsidR="00BC6353">
        <w:rPr>
          <w:rFonts w:asciiTheme="majorHAnsi" w:eastAsia="Calibri" w:hAnsiTheme="majorHAnsi" w:cs="Calibri"/>
          <w:lang w:val="en-CA"/>
        </w:rPr>
        <w:t xml:space="preserve">that meet local conditions and requirements </w:t>
      </w:r>
      <w:r>
        <w:rPr>
          <w:rFonts w:asciiTheme="majorHAnsi" w:eastAsia="Calibri" w:hAnsiTheme="majorHAnsi" w:cs="Calibri"/>
          <w:lang w:val="en-CA"/>
        </w:rPr>
        <w:t>have been adopted</w:t>
      </w:r>
      <w:r w:rsidR="00BC6353">
        <w:rPr>
          <w:rFonts w:asciiTheme="majorHAnsi" w:eastAsia="Calibri" w:hAnsiTheme="majorHAnsi" w:cs="Calibri"/>
          <w:lang w:val="en-CA"/>
        </w:rPr>
        <w:t>.   The model codes</w:t>
      </w:r>
      <w:r>
        <w:rPr>
          <w:rFonts w:asciiTheme="majorHAnsi" w:eastAsia="Calibri" w:hAnsiTheme="majorHAnsi" w:cs="Calibri"/>
          <w:lang w:val="en-CA"/>
        </w:rPr>
        <w:t xml:space="preserve"> and local amendments are applied to all new construction projects.  Adoption of the</w:t>
      </w:r>
      <w:r w:rsidRPr="009044D8">
        <w:rPr>
          <w:rFonts w:asciiTheme="majorHAnsi" w:eastAsia="Calibri" w:hAnsiTheme="majorHAnsi" w:cs="Calibri"/>
          <w:lang w:val="en-CA"/>
        </w:rPr>
        <w:t xml:space="preserve"> 2015 </w:t>
      </w:r>
      <w:r>
        <w:rPr>
          <w:rFonts w:asciiTheme="majorHAnsi" w:eastAsia="Calibri" w:hAnsiTheme="majorHAnsi" w:cs="Calibri"/>
          <w:lang w:val="en-CA"/>
        </w:rPr>
        <w:t xml:space="preserve">IBC and IFC </w:t>
      </w:r>
      <w:r w:rsidRPr="009044D8">
        <w:rPr>
          <w:rFonts w:asciiTheme="majorHAnsi" w:eastAsia="Calibri" w:hAnsiTheme="majorHAnsi" w:cs="Calibri"/>
          <w:lang w:val="en-CA"/>
        </w:rPr>
        <w:t xml:space="preserve">code </w:t>
      </w:r>
      <w:r>
        <w:rPr>
          <w:rFonts w:asciiTheme="majorHAnsi" w:eastAsia="Calibri" w:hAnsiTheme="majorHAnsi" w:cs="Calibri"/>
          <w:lang w:val="en-CA"/>
        </w:rPr>
        <w:t>is slated for</w:t>
      </w:r>
      <w:r w:rsidRPr="009044D8">
        <w:rPr>
          <w:rFonts w:asciiTheme="majorHAnsi" w:eastAsia="Calibri" w:hAnsiTheme="majorHAnsi" w:cs="Calibri"/>
          <w:lang w:val="en-CA"/>
        </w:rPr>
        <w:t xml:space="preserve"> July 1, 2016</w:t>
      </w:r>
      <w:r>
        <w:rPr>
          <w:rFonts w:asciiTheme="majorHAnsi" w:eastAsia="Calibri" w:hAnsiTheme="majorHAnsi" w:cs="Calibri"/>
          <w:lang w:val="en-CA"/>
        </w:rPr>
        <w:t xml:space="preserve">.  </w:t>
      </w:r>
    </w:p>
    <w:p w14:paraId="249E6E47" w14:textId="403D6666" w:rsidR="00A841C7" w:rsidRDefault="00A841C7" w:rsidP="00A841C7">
      <w:pPr>
        <w:rPr>
          <w:rFonts w:asciiTheme="majorHAnsi" w:eastAsia="Calibri" w:hAnsiTheme="majorHAnsi" w:cs="Calibri"/>
          <w:lang w:val="en-CA"/>
        </w:rPr>
      </w:pPr>
      <w:r w:rsidRPr="00831B59">
        <w:rPr>
          <w:rFonts w:asciiTheme="majorHAnsi" w:eastAsia="Calibri" w:hAnsiTheme="majorHAnsi" w:cs="Calibri"/>
          <w:lang w:val="en-CA"/>
        </w:rPr>
        <w:t xml:space="preserve">Pasco’s </w:t>
      </w:r>
      <w:r w:rsidRPr="00075925">
        <w:rPr>
          <w:rFonts w:asciiTheme="majorHAnsi" w:eastAsia="Calibri" w:hAnsiTheme="majorHAnsi" w:cs="Calibri"/>
          <w:lang w:val="en-CA"/>
        </w:rPr>
        <w:t xml:space="preserve">Inspection Services Manager and his staff perform reviews of submitted building plans for the </w:t>
      </w:r>
      <w:r>
        <w:rPr>
          <w:rFonts w:asciiTheme="majorHAnsi" w:eastAsia="Calibri" w:hAnsiTheme="majorHAnsi" w:cs="Calibri"/>
          <w:lang w:val="en-CA"/>
        </w:rPr>
        <w:t>City, which may include consultation with a PFD representative for larger projects.  Consultation with P</w:t>
      </w:r>
      <w:r w:rsidRPr="005B47F7">
        <w:rPr>
          <w:rFonts w:asciiTheme="majorHAnsi" w:eastAsia="Calibri" w:hAnsiTheme="majorHAnsi" w:cs="Calibri"/>
          <w:lang w:val="en-CA"/>
        </w:rPr>
        <w:t>FD</w:t>
      </w:r>
      <w:r>
        <w:rPr>
          <w:rFonts w:asciiTheme="majorHAnsi" w:eastAsia="Calibri" w:hAnsiTheme="majorHAnsi" w:cs="Calibri"/>
          <w:lang w:val="en-CA"/>
        </w:rPr>
        <w:t xml:space="preserve"> does not occur on proposed tenant improvements.  The Inspection Services Division conducts on-site compliance inspections during construction.  Recently the PFD added a part-time employee </w:t>
      </w:r>
      <w:r w:rsidR="00BC6353">
        <w:rPr>
          <w:rFonts w:asciiTheme="majorHAnsi" w:eastAsia="Calibri" w:hAnsiTheme="majorHAnsi" w:cs="Calibri"/>
          <w:lang w:val="en-CA"/>
        </w:rPr>
        <w:t>who</w:t>
      </w:r>
      <w:r>
        <w:rPr>
          <w:rFonts w:asciiTheme="majorHAnsi" w:eastAsia="Calibri" w:hAnsiTheme="majorHAnsi" w:cs="Calibri"/>
          <w:lang w:val="en-CA"/>
        </w:rPr>
        <w:t xml:space="preserve"> is available for consultation during the pre-application process.</w:t>
      </w:r>
    </w:p>
    <w:p w14:paraId="6CF96731" w14:textId="77777777" w:rsidR="00A841C7" w:rsidRDefault="00A841C7" w:rsidP="00A841C7">
      <w:pPr>
        <w:rPr>
          <w:rFonts w:asciiTheme="majorHAnsi" w:eastAsia="Calibri" w:hAnsiTheme="majorHAnsi" w:cs="Calibri"/>
          <w:lang w:val="en-CA"/>
        </w:rPr>
      </w:pPr>
      <w:r>
        <w:rPr>
          <w:rFonts w:asciiTheme="majorHAnsi" w:eastAsia="Calibri" w:hAnsiTheme="majorHAnsi" w:cs="Calibri"/>
          <w:lang w:val="en-CA"/>
        </w:rPr>
        <w:t xml:space="preserve">The Inspection Services Manager holds monthly meetings with a PFD battalion chief for the purpose of updates on pending and progress of projects under construction.  During ESCI’s onsite visit, interviewees reported that outside of the monthly meetings, there is an open dialogue between the PFD and </w:t>
      </w:r>
      <w:r w:rsidRPr="00E37D67">
        <w:rPr>
          <w:rFonts w:asciiTheme="majorHAnsi" w:eastAsia="Calibri" w:hAnsiTheme="majorHAnsi" w:cs="Calibri"/>
          <w:lang w:val="en-CA"/>
        </w:rPr>
        <w:t>Inspection Services Manager</w:t>
      </w:r>
      <w:r>
        <w:rPr>
          <w:rFonts w:asciiTheme="majorHAnsi" w:eastAsia="Calibri" w:hAnsiTheme="majorHAnsi" w:cs="Calibri"/>
          <w:lang w:val="en-CA"/>
        </w:rPr>
        <w:t xml:space="preserve"> on any questions or concerns related to construction projects.</w:t>
      </w:r>
    </w:p>
    <w:tbl>
      <w:tblPr>
        <w:tblW w:w="0" w:type="auto"/>
        <w:jc w:val="center"/>
        <w:tblLook w:val="00A0" w:firstRow="1" w:lastRow="0" w:firstColumn="1" w:lastColumn="0" w:noHBand="0" w:noVBand="0"/>
      </w:tblPr>
      <w:tblGrid>
        <w:gridCol w:w="9360"/>
      </w:tblGrid>
      <w:tr w:rsidR="00A841C7" w:rsidRPr="00C1452A" w14:paraId="1C6D0C1C" w14:textId="77777777" w:rsidTr="00A841C7">
        <w:trPr>
          <w:jc w:val="center"/>
        </w:trPr>
        <w:tc>
          <w:tcPr>
            <w:tcW w:w="9360" w:type="dxa"/>
            <w:shd w:val="clear" w:color="auto" w:fill="D9D9D9" w:themeFill="background1" w:themeFillShade="D9"/>
          </w:tcPr>
          <w:p w14:paraId="36F8B4FE" w14:textId="601172A4" w:rsidR="00A841C7" w:rsidRPr="00B97078" w:rsidRDefault="00A841C7" w:rsidP="00A841C7">
            <w:pPr>
              <w:keepNext/>
              <w:keepLines/>
              <w:spacing w:after="0" w:line="360" w:lineRule="auto"/>
              <w:rPr>
                <w:rFonts w:eastAsia="Times New Roman" w:cs="Calibri"/>
                <w:b/>
              </w:rPr>
            </w:pPr>
            <w:r w:rsidRPr="006C16B9">
              <w:rPr>
                <w:rFonts w:asciiTheme="majorHAnsi" w:eastAsia="Times New Roman" w:hAnsiTheme="majorHAnsi" w:cs="Calibri"/>
                <w:b/>
              </w:rPr>
              <w:t>R</w:t>
            </w:r>
            <w:r w:rsidRPr="00B97078">
              <w:rPr>
                <w:rFonts w:eastAsia="Times New Roman" w:cs="Calibri"/>
                <w:b/>
              </w:rPr>
              <w:t>ecommendation:</w:t>
            </w:r>
          </w:p>
          <w:p w14:paraId="7E444737" w14:textId="77777777" w:rsidR="00A841C7" w:rsidRPr="006C16B9" w:rsidRDefault="00A841C7" w:rsidP="007705AA">
            <w:pPr>
              <w:numPr>
                <w:ilvl w:val="0"/>
                <w:numId w:val="25"/>
              </w:numPr>
              <w:spacing w:after="200" w:line="240" w:lineRule="auto"/>
              <w:jc w:val="left"/>
              <w:rPr>
                <w:rFonts w:asciiTheme="majorHAnsi" w:hAnsiTheme="majorHAnsi" w:cs="Arial"/>
              </w:rPr>
            </w:pPr>
            <w:r w:rsidRPr="00B97078">
              <w:rPr>
                <w:rFonts w:cs="Arial"/>
              </w:rPr>
              <w:t>Have PFD representative review commercial tenant improvement applications.</w:t>
            </w:r>
          </w:p>
        </w:tc>
      </w:tr>
    </w:tbl>
    <w:p w14:paraId="1E763CDB" w14:textId="77777777" w:rsidR="00A841C7" w:rsidRDefault="00A841C7" w:rsidP="00B97078">
      <w:pPr>
        <w:spacing w:after="0"/>
        <w:rPr>
          <w:rFonts w:asciiTheme="majorHAnsi" w:eastAsia="Calibri" w:hAnsiTheme="majorHAnsi" w:cs="Calibri"/>
          <w:lang w:val="en-CA"/>
        </w:rPr>
      </w:pPr>
    </w:p>
    <w:p w14:paraId="39095741" w14:textId="161D2B15" w:rsidR="00A841C7" w:rsidRDefault="00A841C7" w:rsidP="00A841C7">
      <w:pPr>
        <w:pStyle w:val="ESCiNormalParagraphChar"/>
        <w:rPr>
          <w:rFonts w:asciiTheme="majorHAnsi" w:eastAsia="Calibri" w:hAnsiTheme="majorHAnsi" w:cs="Calibri"/>
          <w:lang w:val="en-CA"/>
        </w:rPr>
      </w:pPr>
      <w:r>
        <w:rPr>
          <w:lang w:val="en-CA"/>
        </w:rPr>
        <w:t>Advances and</w:t>
      </w:r>
      <w:r w:rsidRPr="002117FD">
        <w:rPr>
          <w:lang w:val="en-CA"/>
        </w:rPr>
        <w:t xml:space="preserve"> an expanding range of construction methods and building products</w:t>
      </w:r>
      <w:r>
        <w:rPr>
          <w:lang w:val="en-CA"/>
        </w:rPr>
        <w:t xml:space="preserve"> are now being</w:t>
      </w:r>
      <w:r w:rsidRPr="002117FD">
        <w:rPr>
          <w:lang w:val="en-CA"/>
        </w:rPr>
        <w:t xml:space="preserve"> widely </w:t>
      </w:r>
      <w:r>
        <w:rPr>
          <w:lang w:val="en-CA"/>
        </w:rPr>
        <w:t>used</w:t>
      </w:r>
      <w:r w:rsidRPr="002117FD">
        <w:rPr>
          <w:lang w:val="en-CA"/>
        </w:rPr>
        <w:t xml:space="preserve"> by builders </w:t>
      </w:r>
      <w:r>
        <w:rPr>
          <w:lang w:val="en-CA"/>
        </w:rPr>
        <w:t>for</w:t>
      </w:r>
      <w:r w:rsidRPr="002117FD">
        <w:rPr>
          <w:lang w:val="en-CA"/>
        </w:rPr>
        <w:t xml:space="preserve"> economy and functionality</w:t>
      </w:r>
      <w:r>
        <w:rPr>
          <w:lang w:val="en-CA"/>
        </w:rPr>
        <w:t xml:space="preserve">.  This is </w:t>
      </w:r>
      <w:r w:rsidRPr="002117FD">
        <w:rPr>
          <w:lang w:val="en-CA"/>
        </w:rPr>
        <w:t xml:space="preserve">particularly </w:t>
      </w:r>
      <w:r>
        <w:rPr>
          <w:lang w:val="en-CA"/>
        </w:rPr>
        <w:t xml:space="preserve">true of </w:t>
      </w:r>
      <w:r w:rsidRPr="002117FD">
        <w:rPr>
          <w:lang w:val="en-CA"/>
        </w:rPr>
        <w:t xml:space="preserve">wooden truss roofing systems and wood </w:t>
      </w:r>
      <w:r>
        <w:rPr>
          <w:lang w:val="en-CA"/>
        </w:rPr>
        <w:t xml:space="preserve">floor </w:t>
      </w:r>
      <w:r w:rsidRPr="002117FD">
        <w:rPr>
          <w:lang w:val="en-CA"/>
        </w:rPr>
        <w:t xml:space="preserve">I-joists </w:t>
      </w:r>
      <w:r>
        <w:rPr>
          <w:lang w:val="en-CA"/>
        </w:rPr>
        <w:t>commonly referred to as</w:t>
      </w:r>
      <w:r w:rsidR="00B97078">
        <w:rPr>
          <w:lang w:val="en-CA"/>
        </w:rPr>
        <w:t xml:space="preserve"> </w:t>
      </w:r>
      <w:r w:rsidRPr="002117FD">
        <w:rPr>
          <w:lang w:val="en-CA"/>
        </w:rPr>
        <w:t>lightweight construction</w:t>
      </w:r>
      <w:r w:rsidR="00B97078">
        <w:rPr>
          <w:lang w:val="en-CA"/>
        </w:rPr>
        <w:t>.</w:t>
      </w:r>
      <w:r>
        <w:rPr>
          <w:lang w:val="en-CA"/>
        </w:rPr>
        <w:t xml:space="preserve">  L</w:t>
      </w:r>
      <w:r>
        <w:rPr>
          <w:rFonts w:asciiTheme="majorHAnsi" w:eastAsia="Calibri" w:hAnsiTheme="majorHAnsi" w:cs="Calibri"/>
          <w:lang w:val="en-CA"/>
        </w:rPr>
        <w:t>i</w:t>
      </w:r>
      <w:r w:rsidRPr="002117FD">
        <w:rPr>
          <w:rFonts w:asciiTheme="majorHAnsi" w:eastAsia="Calibri" w:hAnsiTheme="majorHAnsi" w:cs="Calibri"/>
          <w:lang w:val="en-CA"/>
        </w:rPr>
        <w:t xml:space="preserve">ghtweight </w:t>
      </w:r>
      <w:r>
        <w:rPr>
          <w:rFonts w:asciiTheme="majorHAnsi" w:eastAsia="Calibri" w:hAnsiTheme="majorHAnsi" w:cs="Calibri"/>
          <w:lang w:val="en-CA"/>
        </w:rPr>
        <w:t xml:space="preserve">construction </w:t>
      </w:r>
      <w:r w:rsidRPr="00F8400E">
        <w:rPr>
          <w:rFonts w:asciiTheme="majorHAnsi" w:eastAsia="Calibri" w:hAnsiTheme="majorHAnsi" w:cs="Calibri"/>
          <w:lang w:val="en-CA"/>
        </w:rPr>
        <w:t>owe</w:t>
      </w:r>
      <w:r>
        <w:rPr>
          <w:rFonts w:asciiTheme="majorHAnsi" w:eastAsia="Calibri" w:hAnsiTheme="majorHAnsi" w:cs="Calibri"/>
          <w:lang w:val="en-CA"/>
        </w:rPr>
        <w:t>s its</w:t>
      </w:r>
      <w:r w:rsidRPr="00F8400E">
        <w:rPr>
          <w:rFonts w:asciiTheme="majorHAnsi" w:eastAsia="Calibri" w:hAnsiTheme="majorHAnsi" w:cs="Calibri"/>
          <w:lang w:val="en-CA"/>
        </w:rPr>
        <w:t xml:space="preserve"> beginning, at least in part, to a publication developed by the Douglas Fir Plywood Association</w:t>
      </w:r>
      <w:r>
        <w:rPr>
          <w:rFonts w:asciiTheme="majorHAnsi" w:eastAsia="Calibri" w:hAnsiTheme="majorHAnsi" w:cs="Calibri"/>
          <w:lang w:val="en-CA"/>
        </w:rPr>
        <w:t xml:space="preserve"> and first began appearing nearly 50</w:t>
      </w:r>
      <w:r w:rsidRPr="002117FD">
        <w:rPr>
          <w:rFonts w:asciiTheme="majorHAnsi" w:eastAsia="Calibri" w:hAnsiTheme="majorHAnsi" w:cs="Calibri"/>
          <w:lang w:val="en-CA"/>
        </w:rPr>
        <w:t xml:space="preserve"> years ago</w:t>
      </w:r>
      <w:r>
        <w:rPr>
          <w:rFonts w:asciiTheme="majorHAnsi" w:eastAsia="Calibri" w:hAnsiTheme="majorHAnsi" w:cs="Calibri"/>
          <w:lang w:val="en-CA"/>
        </w:rPr>
        <w:t>.</w:t>
      </w:r>
      <w:r>
        <w:rPr>
          <w:rStyle w:val="FootnoteReference"/>
          <w:rFonts w:asciiTheme="majorHAnsi" w:eastAsia="Calibri" w:hAnsiTheme="majorHAnsi"/>
          <w:lang w:val="en-CA"/>
        </w:rPr>
        <w:footnoteReference w:id="26"/>
      </w:r>
      <w:r>
        <w:rPr>
          <w:rFonts w:asciiTheme="majorHAnsi" w:eastAsia="Calibri" w:hAnsiTheme="majorHAnsi" w:cs="Calibri"/>
          <w:lang w:val="en-CA"/>
        </w:rPr>
        <w:t xml:space="preserve">  </w:t>
      </w:r>
      <w:r w:rsidRPr="002117FD">
        <w:rPr>
          <w:rFonts w:asciiTheme="majorHAnsi" w:eastAsia="Calibri" w:hAnsiTheme="majorHAnsi" w:cs="Calibri"/>
          <w:lang w:val="en-CA"/>
        </w:rPr>
        <w:t xml:space="preserve">From an engineering perspective, lightweight materials and construction techniques often outperform traditional dimensional lumber and assembly methods. </w:t>
      </w:r>
      <w:r>
        <w:rPr>
          <w:rFonts w:asciiTheme="majorHAnsi" w:eastAsia="Calibri" w:hAnsiTheme="majorHAnsi" w:cs="Calibri"/>
          <w:lang w:val="en-CA"/>
        </w:rPr>
        <w:t xml:space="preserve"> A downside of lightweight construction is that lightweight constructed trusses and I-joists can quickly collapse during a fire.  Because of the potential risk</w:t>
      </w:r>
      <w:r w:rsidR="00B97078">
        <w:rPr>
          <w:rFonts w:asciiTheme="majorHAnsi" w:eastAsia="Calibri" w:hAnsiTheme="majorHAnsi" w:cs="Calibri"/>
          <w:lang w:val="en-CA"/>
        </w:rPr>
        <w:t>,</w:t>
      </w:r>
      <w:r>
        <w:rPr>
          <w:rFonts w:asciiTheme="majorHAnsi" w:eastAsia="Calibri" w:hAnsiTheme="majorHAnsi" w:cs="Calibri"/>
          <w:lang w:val="en-CA"/>
        </w:rPr>
        <w:t xml:space="preserve"> </w:t>
      </w:r>
      <w:r w:rsidRPr="002117FD">
        <w:rPr>
          <w:rFonts w:asciiTheme="majorHAnsi" w:eastAsia="Calibri" w:hAnsiTheme="majorHAnsi" w:cs="Calibri"/>
          <w:lang w:val="en-CA"/>
        </w:rPr>
        <w:t xml:space="preserve">New York </w:t>
      </w:r>
      <w:r w:rsidR="00B97078">
        <w:rPr>
          <w:rFonts w:asciiTheme="majorHAnsi" w:eastAsia="Calibri" w:hAnsiTheme="majorHAnsi" w:cs="Calibri"/>
          <w:lang w:val="en-CA"/>
        </w:rPr>
        <w:t xml:space="preserve">State </w:t>
      </w:r>
      <w:r w:rsidRPr="002117FD">
        <w:rPr>
          <w:rFonts w:asciiTheme="majorHAnsi" w:eastAsia="Calibri" w:hAnsiTheme="majorHAnsi" w:cs="Calibri"/>
          <w:lang w:val="en-CA"/>
        </w:rPr>
        <w:t xml:space="preserve">enacted a law mandating property owners inform first-responders when they build or rehabilitate a building using "truss-type" pre-engineered wood or timber. </w:t>
      </w:r>
      <w:r>
        <w:rPr>
          <w:rFonts w:asciiTheme="majorHAnsi" w:eastAsia="Calibri" w:hAnsiTheme="majorHAnsi" w:cs="Calibri"/>
          <w:lang w:val="en-CA"/>
        </w:rPr>
        <w:t xml:space="preserve"> This information must be stated </w:t>
      </w:r>
      <w:r w:rsidRPr="002117FD">
        <w:rPr>
          <w:rFonts w:asciiTheme="majorHAnsi" w:eastAsia="Calibri" w:hAnsiTheme="majorHAnsi" w:cs="Calibri"/>
          <w:lang w:val="en-CA"/>
        </w:rPr>
        <w:t xml:space="preserve">on </w:t>
      </w:r>
      <w:r>
        <w:rPr>
          <w:rFonts w:asciiTheme="majorHAnsi" w:eastAsia="Calibri" w:hAnsiTheme="majorHAnsi" w:cs="Calibri"/>
          <w:lang w:val="en-CA"/>
        </w:rPr>
        <w:t>the</w:t>
      </w:r>
      <w:r w:rsidRPr="002117FD">
        <w:rPr>
          <w:rFonts w:asciiTheme="majorHAnsi" w:eastAsia="Calibri" w:hAnsiTheme="majorHAnsi" w:cs="Calibri"/>
          <w:lang w:val="en-CA"/>
        </w:rPr>
        <w:t xml:space="preserve"> building permit application if truss</w:t>
      </w:r>
      <w:r>
        <w:rPr>
          <w:rFonts w:asciiTheme="majorHAnsi" w:eastAsia="Calibri" w:hAnsiTheme="majorHAnsi" w:cs="Calibri"/>
          <w:lang w:val="en-CA"/>
        </w:rPr>
        <w:t xml:space="preserve"> (lightweight)</w:t>
      </w:r>
      <w:r w:rsidRPr="002117FD">
        <w:rPr>
          <w:rFonts w:asciiTheme="majorHAnsi" w:eastAsia="Calibri" w:hAnsiTheme="majorHAnsi" w:cs="Calibri"/>
          <w:lang w:val="en-CA"/>
        </w:rPr>
        <w:t xml:space="preserve"> construction method is being used</w:t>
      </w:r>
      <w:r w:rsidR="00B97078">
        <w:rPr>
          <w:rFonts w:asciiTheme="majorHAnsi" w:eastAsia="Calibri" w:hAnsiTheme="majorHAnsi" w:cs="Calibri"/>
          <w:lang w:val="en-CA"/>
        </w:rPr>
        <w:t>.  For this reason</w:t>
      </w:r>
      <w:r>
        <w:rPr>
          <w:rFonts w:asciiTheme="majorHAnsi" w:eastAsia="Calibri" w:hAnsiTheme="majorHAnsi" w:cs="Calibri"/>
          <w:lang w:val="en-CA"/>
        </w:rPr>
        <w:t xml:space="preserve"> and others, we recommend that a summary list of projects under construction including information on the construction methods be circulated to PFD personnel.  Tours of larger building projects during the construction phase will allow PFD personnel to observe construction methods.</w:t>
      </w:r>
    </w:p>
    <w:tbl>
      <w:tblPr>
        <w:tblW w:w="0" w:type="auto"/>
        <w:jc w:val="center"/>
        <w:tblLook w:val="00A0" w:firstRow="1" w:lastRow="0" w:firstColumn="1" w:lastColumn="0" w:noHBand="0" w:noVBand="0"/>
      </w:tblPr>
      <w:tblGrid>
        <w:gridCol w:w="9360"/>
      </w:tblGrid>
      <w:tr w:rsidR="00A841C7" w:rsidRPr="00C1452A" w14:paraId="144FE9AD" w14:textId="77777777" w:rsidTr="00A841C7">
        <w:trPr>
          <w:jc w:val="center"/>
        </w:trPr>
        <w:tc>
          <w:tcPr>
            <w:tcW w:w="9360" w:type="dxa"/>
            <w:shd w:val="clear" w:color="auto" w:fill="D9D9D9" w:themeFill="background1" w:themeFillShade="D9"/>
          </w:tcPr>
          <w:p w14:paraId="36652D35" w14:textId="77777777" w:rsidR="00A841C7" w:rsidRPr="00B97078" w:rsidRDefault="00A841C7" w:rsidP="00A841C7">
            <w:pPr>
              <w:keepNext/>
              <w:keepLines/>
              <w:spacing w:after="0" w:line="360" w:lineRule="auto"/>
              <w:rPr>
                <w:rFonts w:eastAsia="Times New Roman" w:cs="Calibri"/>
                <w:b/>
              </w:rPr>
            </w:pPr>
            <w:r w:rsidRPr="00B97078">
              <w:rPr>
                <w:rFonts w:eastAsia="Times New Roman" w:cs="Calibri"/>
                <w:b/>
              </w:rPr>
              <w:t>Recommendations:</w:t>
            </w:r>
          </w:p>
          <w:p w14:paraId="628426DD" w14:textId="77777777" w:rsidR="00A841C7" w:rsidRPr="00B97078" w:rsidRDefault="00A841C7" w:rsidP="007705AA">
            <w:pPr>
              <w:numPr>
                <w:ilvl w:val="0"/>
                <w:numId w:val="25"/>
              </w:numPr>
              <w:spacing w:after="120" w:line="240" w:lineRule="auto"/>
              <w:jc w:val="left"/>
              <w:rPr>
                <w:rFonts w:cs="Arial"/>
              </w:rPr>
            </w:pPr>
            <w:r w:rsidRPr="00B97078">
              <w:rPr>
                <w:rFonts w:cs="Arial"/>
              </w:rPr>
              <w:t>On-duty personnel tour larger building projects during the construction phase.</w:t>
            </w:r>
          </w:p>
          <w:p w14:paraId="02D3D99C" w14:textId="77777777" w:rsidR="00A841C7" w:rsidRPr="006C16B9" w:rsidRDefault="00A841C7" w:rsidP="007705AA">
            <w:pPr>
              <w:numPr>
                <w:ilvl w:val="0"/>
                <w:numId w:val="25"/>
              </w:numPr>
              <w:spacing w:after="200" w:line="360" w:lineRule="auto"/>
              <w:jc w:val="left"/>
              <w:rPr>
                <w:rFonts w:asciiTheme="majorHAnsi" w:hAnsiTheme="majorHAnsi" w:cs="Arial"/>
              </w:rPr>
            </w:pPr>
            <w:r w:rsidRPr="00B97078">
              <w:rPr>
                <w:rFonts w:cs="Calibri"/>
              </w:rPr>
              <w:t>Distribute a summary of active construction projects to PFD personnel.</w:t>
            </w:r>
          </w:p>
        </w:tc>
      </w:tr>
    </w:tbl>
    <w:p w14:paraId="58C44793" w14:textId="77777777" w:rsidR="00A841C7" w:rsidRDefault="00A841C7" w:rsidP="00B97078">
      <w:pPr>
        <w:pStyle w:val="ESCiNormalParagraphChar"/>
        <w:spacing w:after="0"/>
        <w:rPr>
          <w:rFonts w:asciiTheme="majorHAnsi" w:eastAsia="Calibri" w:hAnsiTheme="majorHAnsi" w:cs="Calibri"/>
          <w:lang w:val="en-CA"/>
        </w:rPr>
      </w:pPr>
    </w:p>
    <w:p w14:paraId="7CFAA5F2" w14:textId="77777777" w:rsidR="00A841C7" w:rsidRDefault="00A841C7" w:rsidP="00A841C7">
      <w:pPr>
        <w:pStyle w:val="Heading3"/>
        <w:rPr>
          <w:rFonts w:eastAsia="Times New Roman"/>
          <w:lang w:eastAsia="en-US"/>
        </w:rPr>
      </w:pPr>
      <w:bookmarkStart w:id="191" w:name="_Toc464323589"/>
      <w:r>
        <w:rPr>
          <w:rFonts w:eastAsia="Times New Roman"/>
          <w:lang w:eastAsia="en-US"/>
        </w:rPr>
        <w:t>Code E</w:t>
      </w:r>
      <w:r w:rsidRPr="00C30483">
        <w:rPr>
          <w:rFonts w:eastAsia="Times New Roman"/>
          <w:lang w:eastAsia="en-US"/>
        </w:rPr>
        <w:t>nforcement</w:t>
      </w:r>
      <w:bookmarkEnd w:id="191"/>
    </w:p>
    <w:p w14:paraId="36BD230F" w14:textId="77777777" w:rsidR="00A841C7" w:rsidRDefault="00A841C7" w:rsidP="00B97078">
      <w:pPr>
        <w:spacing w:after="0"/>
        <w:rPr>
          <w:lang w:eastAsia="en-US"/>
        </w:rPr>
      </w:pPr>
      <w:r w:rsidRPr="00C30483">
        <w:rPr>
          <w:lang w:eastAsia="en-US"/>
        </w:rPr>
        <w:t xml:space="preserve">Consider that a new building in a community becomes a benefit and a liability for </w:t>
      </w:r>
      <w:r>
        <w:rPr>
          <w:lang w:eastAsia="en-US"/>
        </w:rPr>
        <w:t xml:space="preserve">the </w:t>
      </w:r>
      <w:r w:rsidRPr="00C30483">
        <w:rPr>
          <w:lang w:eastAsia="en-US"/>
        </w:rPr>
        <w:t xml:space="preserve">entire life of the structure.  It is in the best interest of </w:t>
      </w:r>
      <w:r>
        <w:rPr>
          <w:lang w:eastAsia="en-US"/>
        </w:rPr>
        <w:t xml:space="preserve">the owner of the structure, occupants, and others that frequent the building for it to continue to meet fire and life safety standards. </w:t>
      </w:r>
      <w:r w:rsidRPr="00C30483">
        <w:rPr>
          <w:lang w:eastAsia="en-US"/>
        </w:rPr>
        <w:t xml:space="preserve"> </w:t>
      </w:r>
      <w:r>
        <w:rPr>
          <w:lang w:eastAsia="en-US"/>
        </w:rPr>
        <w:t>Regular fire and life safety inspections and correcting deficiencies have proven to reduce the frequency of fire incidents, loss of life, and damages.</w:t>
      </w:r>
    </w:p>
    <w:p w14:paraId="10F6D0E4" w14:textId="77777777" w:rsidR="00A841C7" w:rsidRPr="008F2E46" w:rsidRDefault="00A841C7" w:rsidP="00A841C7">
      <w:pPr>
        <w:pStyle w:val="NoSpacing"/>
        <w:rPr>
          <w:i/>
          <w:lang w:eastAsia="en-US"/>
        </w:rPr>
      </w:pPr>
      <w:r w:rsidRPr="008F2E46">
        <w:rPr>
          <w:i/>
          <w:lang w:eastAsia="en-US"/>
        </w:rPr>
        <w:t>Jurisdictions conducting inspections in almost all public structures had much lower fire losses than those that did not; the fire rate in jurisdictions without code enforcement was more than twice as high as those with code enforcement.</w:t>
      </w:r>
      <w:r>
        <w:rPr>
          <w:rStyle w:val="FootnoteReference"/>
          <w:i/>
          <w:lang w:eastAsia="en-US"/>
        </w:rPr>
        <w:footnoteReference w:id="27"/>
      </w:r>
    </w:p>
    <w:p w14:paraId="67B87785" w14:textId="00CDB90E" w:rsidR="00A841C7" w:rsidRDefault="00A841C7" w:rsidP="00A841C7">
      <w:pPr>
        <w:rPr>
          <w:lang w:eastAsia="en-US"/>
        </w:rPr>
      </w:pPr>
      <w:r>
        <w:rPr>
          <w:lang w:eastAsia="en-US"/>
        </w:rPr>
        <w:t>The same study found that o</w:t>
      </w:r>
      <w:r w:rsidRPr="00967C99">
        <w:rPr>
          <w:lang w:eastAsia="en-US"/>
        </w:rPr>
        <w:t>f the jurisdictions with inspection programs, those that used suppression companies for a majority of inspections had lower fire rates than those using only dedicated fire inspectors.</w:t>
      </w:r>
      <w:r w:rsidR="001C4A9F">
        <w:rPr>
          <w:lang w:eastAsia="en-US"/>
        </w:rPr>
        <w:t xml:space="preserve"> The collective bargaining agreement currently precludes fire personnel from conducting code enforcement inspections.</w:t>
      </w:r>
    </w:p>
    <w:p w14:paraId="2ACE081A" w14:textId="065489A8" w:rsidR="00A841C7" w:rsidRDefault="00A841C7" w:rsidP="00A841C7">
      <w:pPr>
        <w:rPr>
          <w:lang w:eastAsia="en-US"/>
        </w:rPr>
      </w:pPr>
      <w:r w:rsidRPr="007173C7">
        <w:rPr>
          <w:lang w:eastAsia="en-US"/>
        </w:rPr>
        <w:t>In January 2015,</w:t>
      </w:r>
      <w:r>
        <w:rPr>
          <w:lang w:eastAsia="en-US"/>
        </w:rPr>
        <w:t xml:space="preserve"> the City of Pasco reactivated </w:t>
      </w:r>
      <w:r w:rsidRPr="007173C7">
        <w:rPr>
          <w:lang w:eastAsia="en-US"/>
        </w:rPr>
        <w:t>a Fire Safety Inspection Program through the City's Inspection Services Division.  The program has a stated goal to increase fire safety throughout the City</w:t>
      </w:r>
      <w:r>
        <w:rPr>
          <w:lang w:eastAsia="en-US"/>
        </w:rPr>
        <w:t xml:space="preserve"> and dovetail efforts of the </w:t>
      </w:r>
      <w:r w:rsidR="00B97078">
        <w:rPr>
          <w:lang w:eastAsia="en-US"/>
        </w:rPr>
        <w:t xml:space="preserve">Pasco </w:t>
      </w:r>
      <w:r>
        <w:rPr>
          <w:lang w:eastAsia="en-US"/>
        </w:rPr>
        <w:t>Fire Department in working toward the City Council’s goal to maintain the Class 5 fi</w:t>
      </w:r>
      <w:r w:rsidR="00B97078">
        <w:rPr>
          <w:lang w:eastAsia="en-US"/>
        </w:rPr>
        <w:t>re insurance rating and lower</w:t>
      </w:r>
      <w:r>
        <w:rPr>
          <w:lang w:eastAsia="en-US"/>
        </w:rPr>
        <w:t xml:space="preserve"> it over the next few years.</w:t>
      </w:r>
      <w:r>
        <w:rPr>
          <w:rStyle w:val="FootnoteReference"/>
          <w:lang w:eastAsia="en-US"/>
        </w:rPr>
        <w:footnoteReference w:id="28"/>
      </w:r>
      <w:r w:rsidRPr="007173C7">
        <w:rPr>
          <w:lang w:eastAsia="en-US"/>
        </w:rPr>
        <w:t xml:space="preserve">  </w:t>
      </w:r>
      <w:r w:rsidR="002A72C1">
        <w:rPr>
          <w:lang w:eastAsia="en-US"/>
        </w:rPr>
        <w:t>The program applies</w:t>
      </w:r>
      <w:r w:rsidRPr="007173C7">
        <w:rPr>
          <w:lang w:eastAsia="en-US"/>
        </w:rPr>
        <w:t xml:space="preserve"> to businesses and multiple-family units.  The City Council determined to reinitiate a fire inspection program in 2014 following a highly publicized public process.  The City of Pasco had not had a formal Fire Safety Inspection Program since 1987.</w:t>
      </w:r>
    </w:p>
    <w:p w14:paraId="3D199EAB" w14:textId="0341C077" w:rsidR="00A841C7" w:rsidRDefault="00A841C7" w:rsidP="00A841C7">
      <w:pPr>
        <w:rPr>
          <w:lang w:eastAsia="en-US"/>
        </w:rPr>
      </w:pPr>
      <w:r w:rsidRPr="00C30483">
        <w:rPr>
          <w:lang w:eastAsia="en-US"/>
        </w:rPr>
        <w:t xml:space="preserve">Fire code enforcement and administration is the responsibility </w:t>
      </w:r>
      <w:r>
        <w:rPr>
          <w:lang w:eastAsia="en-US"/>
        </w:rPr>
        <w:t xml:space="preserve">of the </w:t>
      </w:r>
      <w:r w:rsidRPr="00967C99">
        <w:rPr>
          <w:lang w:eastAsia="en-US"/>
        </w:rPr>
        <w:t xml:space="preserve">Inspection Services Division </w:t>
      </w:r>
      <w:r>
        <w:rPr>
          <w:lang w:eastAsia="en-US"/>
        </w:rPr>
        <w:t xml:space="preserve">with the </w:t>
      </w:r>
      <w:r w:rsidRPr="00053DE9">
        <w:rPr>
          <w:lang w:eastAsia="en-US"/>
        </w:rPr>
        <w:t xml:space="preserve">Inspection Services Manager </w:t>
      </w:r>
      <w:r>
        <w:rPr>
          <w:lang w:eastAsia="en-US"/>
        </w:rPr>
        <w:t xml:space="preserve">holding the title of </w:t>
      </w:r>
      <w:r w:rsidRPr="00C30483">
        <w:rPr>
          <w:lang w:eastAsia="en-US"/>
        </w:rPr>
        <w:t>fire marshal</w:t>
      </w:r>
      <w:r>
        <w:rPr>
          <w:lang w:eastAsia="en-US"/>
        </w:rPr>
        <w:t xml:space="preserve">.  </w:t>
      </w:r>
      <w:r w:rsidR="001C4A9F">
        <w:rPr>
          <w:lang w:eastAsia="en-US"/>
        </w:rPr>
        <w:t>C</w:t>
      </w:r>
      <w:r>
        <w:rPr>
          <w:lang w:eastAsia="en-US"/>
        </w:rPr>
        <w:t>ertified inspectors are devoted to the inspection program to</w:t>
      </w:r>
      <w:r w:rsidRPr="00053DE9">
        <w:rPr>
          <w:lang w:eastAsia="en-US"/>
        </w:rPr>
        <w:t xml:space="preserve"> verify and enforce fire and life safety code compliance</w:t>
      </w:r>
      <w:r>
        <w:rPr>
          <w:lang w:eastAsia="en-US"/>
        </w:rPr>
        <w:t xml:space="preserve">. </w:t>
      </w:r>
      <w:r w:rsidRPr="00053DE9">
        <w:rPr>
          <w:lang w:eastAsia="en-US"/>
        </w:rPr>
        <w:t xml:space="preserve"> </w:t>
      </w:r>
      <w:r>
        <w:rPr>
          <w:lang w:eastAsia="en-US"/>
        </w:rPr>
        <w:t>Inspections of existing occupancies classified as moderate risk are bi-annual</w:t>
      </w:r>
      <w:r w:rsidR="00B97078">
        <w:rPr>
          <w:lang w:eastAsia="en-US"/>
        </w:rPr>
        <w:t>;</w:t>
      </w:r>
      <w:r>
        <w:rPr>
          <w:lang w:eastAsia="en-US"/>
        </w:rPr>
        <w:t xml:space="preserve"> high-risk occupancies are </w:t>
      </w:r>
      <w:r w:rsidR="00B97078">
        <w:rPr>
          <w:lang w:eastAsia="en-US"/>
        </w:rPr>
        <w:t xml:space="preserve">inspected </w:t>
      </w:r>
      <w:r>
        <w:rPr>
          <w:lang w:eastAsia="en-US"/>
        </w:rPr>
        <w:t>annua</w:t>
      </w:r>
      <w:r w:rsidR="00B97078">
        <w:rPr>
          <w:lang w:eastAsia="en-US"/>
        </w:rPr>
        <w:t>l</w:t>
      </w:r>
      <w:r>
        <w:rPr>
          <w:lang w:eastAsia="en-US"/>
        </w:rPr>
        <w:t>l</w:t>
      </w:r>
      <w:r w:rsidR="00B97078">
        <w:rPr>
          <w:lang w:eastAsia="en-US"/>
        </w:rPr>
        <w:t>y</w:t>
      </w:r>
      <w:r>
        <w:rPr>
          <w:lang w:eastAsia="en-US"/>
        </w:rPr>
        <w:t xml:space="preserve">.  The program includes a biennial rental inspection for all properties offered to the public.  Of the 2,236 rental units inspected in 2014, 15 rental units failed and three properties were brought into code compliance.  </w:t>
      </w:r>
    </w:p>
    <w:p w14:paraId="1AE8DC11" w14:textId="2DB8A900" w:rsidR="00A841C7" w:rsidRDefault="00A841C7" w:rsidP="00A841C7">
      <w:pPr>
        <w:spacing w:after="120"/>
        <w:rPr>
          <w:lang w:eastAsia="en-US"/>
        </w:rPr>
      </w:pPr>
      <w:r>
        <w:rPr>
          <w:lang w:eastAsia="en-US"/>
        </w:rPr>
        <w:t xml:space="preserve">Prior to the </w:t>
      </w:r>
      <w:r w:rsidRPr="00C17EED">
        <w:rPr>
          <w:lang w:eastAsia="en-US"/>
        </w:rPr>
        <w:t xml:space="preserve">issuance of </w:t>
      </w:r>
      <w:r>
        <w:rPr>
          <w:lang w:eastAsia="en-US"/>
        </w:rPr>
        <w:t>a City business</w:t>
      </w:r>
      <w:r w:rsidRPr="00C17EED">
        <w:rPr>
          <w:lang w:eastAsia="en-US"/>
        </w:rPr>
        <w:t xml:space="preserve"> license,</w:t>
      </w:r>
      <w:r w:rsidRPr="00C17EED">
        <w:t xml:space="preserve"> </w:t>
      </w:r>
      <w:r>
        <w:t>an inspector from the Inspection Services Division inspects each new business</w:t>
      </w:r>
      <w:r>
        <w:rPr>
          <w:lang w:eastAsia="en-US"/>
        </w:rPr>
        <w:t xml:space="preserve">.  At the time of the final inspection, a determination is made categorizing </w:t>
      </w:r>
      <w:r w:rsidRPr="00C17EED">
        <w:rPr>
          <w:lang w:eastAsia="en-US"/>
        </w:rPr>
        <w:t xml:space="preserve">the business </w:t>
      </w:r>
      <w:r>
        <w:rPr>
          <w:lang w:eastAsia="en-US"/>
        </w:rPr>
        <w:t>as a</w:t>
      </w:r>
      <w:r w:rsidRPr="00C17EED">
        <w:rPr>
          <w:lang w:eastAsia="en-US"/>
        </w:rPr>
        <w:t xml:space="preserve"> </w:t>
      </w:r>
      <w:r w:rsidR="00B97078" w:rsidRPr="00C17EED">
        <w:rPr>
          <w:lang w:eastAsia="en-US"/>
        </w:rPr>
        <w:t>low, moderate, or high</w:t>
      </w:r>
      <w:r w:rsidRPr="00C17EED">
        <w:rPr>
          <w:lang w:eastAsia="en-US"/>
        </w:rPr>
        <w:t>-risk</w:t>
      </w:r>
      <w:r>
        <w:rPr>
          <w:lang w:eastAsia="en-US"/>
        </w:rPr>
        <w:t xml:space="preserve"> </w:t>
      </w:r>
      <w:r w:rsidRPr="00C17EED">
        <w:rPr>
          <w:lang w:eastAsia="en-US"/>
        </w:rPr>
        <w:t>occupancy</w:t>
      </w:r>
      <w:r>
        <w:rPr>
          <w:lang w:eastAsia="en-US"/>
        </w:rPr>
        <w:t>.  Factors</w:t>
      </w:r>
      <w:r w:rsidRPr="00C17EED">
        <w:rPr>
          <w:lang w:eastAsia="en-US"/>
        </w:rPr>
        <w:t xml:space="preserve"> </w:t>
      </w:r>
      <w:r>
        <w:rPr>
          <w:lang w:eastAsia="en-US"/>
        </w:rPr>
        <w:t xml:space="preserve">are the </w:t>
      </w:r>
      <w:r w:rsidRPr="00C17EED">
        <w:rPr>
          <w:lang w:eastAsia="en-US"/>
        </w:rPr>
        <w:t>occupancy</w:t>
      </w:r>
      <w:r>
        <w:rPr>
          <w:lang w:eastAsia="en-US"/>
        </w:rPr>
        <w:t xml:space="preserve"> (business type)</w:t>
      </w:r>
      <w:r w:rsidRPr="00C17EED">
        <w:rPr>
          <w:lang w:eastAsia="en-US"/>
        </w:rPr>
        <w:t xml:space="preserve">, type of </w:t>
      </w:r>
      <w:r>
        <w:rPr>
          <w:lang w:eastAsia="en-US"/>
        </w:rPr>
        <w:t xml:space="preserve">building </w:t>
      </w:r>
      <w:r w:rsidRPr="00C17EED">
        <w:rPr>
          <w:lang w:eastAsia="en-US"/>
        </w:rPr>
        <w:t>construction, size</w:t>
      </w:r>
      <w:r>
        <w:rPr>
          <w:lang w:eastAsia="en-US"/>
        </w:rPr>
        <w:t xml:space="preserve"> of building</w:t>
      </w:r>
      <w:r w:rsidRPr="00C17EED">
        <w:rPr>
          <w:lang w:eastAsia="en-US"/>
        </w:rPr>
        <w:t xml:space="preserve">, </w:t>
      </w:r>
      <w:r>
        <w:rPr>
          <w:lang w:eastAsia="en-US"/>
        </w:rPr>
        <w:t xml:space="preserve">building </w:t>
      </w:r>
      <w:r w:rsidRPr="00C17EED">
        <w:rPr>
          <w:lang w:eastAsia="en-US"/>
        </w:rPr>
        <w:t>use</w:t>
      </w:r>
      <w:r w:rsidR="00B97078">
        <w:rPr>
          <w:lang w:eastAsia="en-US"/>
        </w:rPr>
        <w:t>,</w:t>
      </w:r>
      <w:r w:rsidRPr="00C17EED">
        <w:rPr>
          <w:lang w:eastAsia="en-US"/>
        </w:rPr>
        <w:t xml:space="preserve"> and </w:t>
      </w:r>
      <w:r>
        <w:rPr>
          <w:lang w:eastAsia="en-US"/>
        </w:rPr>
        <w:t xml:space="preserve">built-in </w:t>
      </w:r>
      <w:r w:rsidRPr="00C17EED">
        <w:rPr>
          <w:lang w:eastAsia="en-US"/>
        </w:rPr>
        <w:t>fire protection systems.</w:t>
      </w:r>
      <w:r>
        <w:rPr>
          <w:lang w:eastAsia="en-US"/>
        </w:rPr>
        <w:t xml:space="preserve">  Examples of risks are:</w:t>
      </w:r>
    </w:p>
    <w:p w14:paraId="724F38C3" w14:textId="77777777" w:rsidR="00A841C7" w:rsidRDefault="00A841C7" w:rsidP="007705AA">
      <w:pPr>
        <w:pStyle w:val="ListParagraph"/>
        <w:numPr>
          <w:ilvl w:val="0"/>
          <w:numId w:val="25"/>
        </w:numPr>
        <w:spacing w:after="120" w:line="240" w:lineRule="auto"/>
        <w:contextualSpacing w:val="0"/>
        <w:rPr>
          <w:lang w:eastAsia="en-US"/>
        </w:rPr>
      </w:pPr>
      <w:r w:rsidRPr="008E7894">
        <w:rPr>
          <w:lang w:eastAsia="en-US"/>
        </w:rPr>
        <w:t>Moderate</w:t>
      </w:r>
      <w:r>
        <w:rPr>
          <w:lang w:eastAsia="en-US"/>
        </w:rPr>
        <w:t xml:space="preserve"> risk – R</w:t>
      </w:r>
      <w:r w:rsidRPr="008E7894">
        <w:rPr>
          <w:lang w:eastAsia="en-US"/>
        </w:rPr>
        <w:t xml:space="preserve">estaurants, contractors, landscapers with equipment, feed stores, small chemical and storage areas, large retail stores, markets, </w:t>
      </w:r>
      <w:r>
        <w:rPr>
          <w:lang w:eastAsia="en-US"/>
        </w:rPr>
        <w:t xml:space="preserve">and </w:t>
      </w:r>
      <w:r w:rsidRPr="008E7894">
        <w:rPr>
          <w:lang w:eastAsia="en-US"/>
        </w:rPr>
        <w:t>taverns</w:t>
      </w:r>
    </w:p>
    <w:p w14:paraId="644180B5" w14:textId="77777777" w:rsidR="00A841C7" w:rsidRDefault="00A841C7" w:rsidP="007705AA">
      <w:pPr>
        <w:pStyle w:val="ListParagraph"/>
        <w:numPr>
          <w:ilvl w:val="0"/>
          <w:numId w:val="25"/>
        </w:numPr>
        <w:spacing w:after="120" w:line="240" w:lineRule="auto"/>
        <w:contextualSpacing w:val="0"/>
        <w:rPr>
          <w:lang w:eastAsia="en-US"/>
        </w:rPr>
      </w:pPr>
      <w:r w:rsidRPr="008E7894">
        <w:rPr>
          <w:lang w:eastAsia="en-US"/>
        </w:rPr>
        <w:t xml:space="preserve">High </w:t>
      </w:r>
      <w:r>
        <w:rPr>
          <w:lang w:eastAsia="en-US"/>
        </w:rPr>
        <w:t xml:space="preserve">risk – </w:t>
      </w:r>
      <w:r w:rsidRPr="008E7894">
        <w:rPr>
          <w:lang w:eastAsia="en-US"/>
        </w:rPr>
        <w:t>Food processing plants, chemical plants, agricultural warehouses, auto repair shops, auto body shops, lumberyards, fueling and gas storage and distribution centers</w:t>
      </w:r>
    </w:p>
    <w:p w14:paraId="3FF380F0" w14:textId="77777777" w:rsidR="00A841C7" w:rsidRDefault="00A841C7" w:rsidP="00A841C7">
      <w:pPr>
        <w:pStyle w:val="ListParagraph"/>
        <w:spacing w:after="120" w:line="240" w:lineRule="auto"/>
        <w:contextualSpacing w:val="0"/>
        <w:rPr>
          <w:lang w:eastAsia="en-US"/>
        </w:rPr>
      </w:pPr>
    </w:p>
    <w:p w14:paraId="7BA64137" w14:textId="2379306F" w:rsidR="00A841C7" w:rsidRDefault="00A841C7" w:rsidP="00A841C7">
      <w:pPr>
        <w:pStyle w:val="ESCiNormalParagraphChar"/>
      </w:pPr>
      <w:r>
        <w:rPr>
          <w:spacing w:val="1"/>
        </w:rPr>
        <w:t>There are approximately 1,200 inspectable o</w:t>
      </w:r>
      <w:r>
        <w:t>ccup</w:t>
      </w:r>
      <w:r>
        <w:rPr>
          <w:spacing w:val="-2"/>
        </w:rPr>
        <w:t>a</w:t>
      </w:r>
      <w:r>
        <w:t>nci</w:t>
      </w:r>
      <w:r>
        <w:rPr>
          <w:spacing w:val="1"/>
        </w:rPr>
        <w:t>e</w:t>
      </w:r>
      <w:r>
        <w:t xml:space="preserve">s in Pasco.  Of that number, an estimate is that </w:t>
      </w:r>
      <w:r w:rsidRPr="00687F2F">
        <w:t>1</w:t>
      </w:r>
      <w:r>
        <w:t>,</w:t>
      </w:r>
      <w:r w:rsidRPr="00687F2F">
        <w:t>000</w:t>
      </w:r>
      <w:r>
        <w:t xml:space="preserve"> are</w:t>
      </w:r>
      <w:r w:rsidRPr="00687F2F">
        <w:t xml:space="preserve"> </w:t>
      </w:r>
      <w:r>
        <w:t xml:space="preserve">moderate risk and 200 are high-risk businesses.  There were roughly 800 business inspections completed in 2015.  </w:t>
      </w:r>
    </w:p>
    <w:tbl>
      <w:tblPr>
        <w:tblW w:w="0" w:type="auto"/>
        <w:tblLook w:val="00A0" w:firstRow="1" w:lastRow="0" w:firstColumn="1" w:lastColumn="0" w:noHBand="0" w:noVBand="0"/>
      </w:tblPr>
      <w:tblGrid>
        <w:gridCol w:w="9360"/>
      </w:tblGrid>
      <w:tr w:rsidR="00A841C7" w:rsidRPr="00C1452A" w14:paraId="149C0DD4" w14:textId="77777777" w:rsidTr="00A841C7">
        <w:tc>
          <w:tcPr>
            <w:tcW w:w="9360" w:type="dxa"/>
            <w:shd w:val="clear" w:color="auto" w:fill="D9D9D9" w:themeFill="background1" w:themeFillShade="D9"/>
          </w:tcPr>
          <w:p w14:paraId="3420C681" w14:textId="77777777" w:rsidR="00A841C7" w:rsidRPr="00B97078" w:rsidRDefault="00A841C7" w:rsidP="00A841C7">
            <w:pPr>
              <w:keepNext/>
              <w:keepLines/>
              <w:spacing w:after="0" w:line="360" w:lineRule="auto"/>
              <w:rPr>
                <w:rFonts w:eastAsia="Times New Roman" w:cs="Calibri"/>
                <w:b/>
              </w:rPr>
            </w:pPr>
            <w:r w:rsidRPr="00B97078">
              <w:rPr>
                <w:rFonts w:eastAsia="Times New Roman" w:cs="Calibri"/>
                <w:b/>
              </w:rPr>
              <w:t>Recommendation:</w:t>
            </w:r>
          </w:p>
          <w:p w14:paraId="686C0F83" w14:textId="1039FCCE" w:rsidR="00A841C7" w:rsidRPr="006C16B9" w:rsidRDefault="00A841C7" w:rsidP="00A51DDE">
            <w:pPr>
              <w:numPr>
                <w:ilvl w:val="0"/>
                <w:numId w:val="25"/>
              </w:numPr>
              <w:spacing w:after="200" w:line="240" w:lineRule="auto"/>
              <w:jc w:val="left"/>
              <w:rPr>
                <w:rFonts w:asciiTheme="majorHAnsi" w:hAnsiTheme="majorHAnsi" w:cs="Arial"/>
              </w:rPr>
            </w:pPr>
            <w:r w:rsidRPr="00B97078">
              <w:rPr>
                <w:rFonts w:cs="Calibri"/>
              </w:rPr>
              <w:t>Involve on-duty suppression crews in fire and life safety inspections.</w:t>
            </w:r>
            <w:r w:rsidR="001C4A9F">
              <w:rPr>
                <w:rFonts w:cs="Calibri"/>
              </w:rPr>
              <w:t xml:space="preserve">  This must be negotiated in the current collective bargaining agreement.</w:t>
            </w:r>
          </w:p>
        </w:tc>
      </w:tr>
    </w:tbl>
    <w:p w14:paraId="41CB2D72" w14:textId="77777777" w:rsidR="00A841C7" w:rsidRDefault="00A841C7" w:rsidP="00A841C7">
      <w:pPr>
        <w:pStyle w:val="ESCiNormalParagraphChar"/>
        <w:spacing w:after="120" w:line="240" w:lineRule="auto"/>
        <w:rPr>
          <w:lang w:eastAsia="en-US"/>
        </w:rPr>
      </w:pPr>
    </w:p>
    <w:p w14:paraId="2A9B476E" w14:textId="587A9F42" w:rsidR="00A841C7" w:rsidRDefault="00A841C7" w:rsidP="00A841C7">
      <w:pPr>
        <w:pStyle w:val="ESCiNormalParagraphChar"/>
      </w:pPr>
      <w:r>
        <w:t>F</w:t>
      </w:r>
      <w:r w:rsidRPr="000B7D9E">
        <w:t xml:space="preserve">irefighters are capable of </w:t>
      </w:r>
      <w:r w:rsidR="00B97078">
        <w:t>conducting</w:t>
      </w:r>
      <w:r w:rsidRPr="000B7D9E">
        <w:t xml:space="preserve"> </w:t>
      </w:r>
      <w:r>
        <w:t>straightforward</w:t>
      </w:r>
      <w:r w:rsidR="00B97078">
        <w:t>,</w:t>
      </w:r>
      <w:r>
        <w:t xml:space="preserve"> uncomplicated fire and life safety</w:t>
      </w:r>
      <w:r w:rsidRPr="000B7D9E">
        <w:t xml:space="preserve"> inspections</w:t>
      </w:r>
      <w:r>
        <w:t xml:space="preserve">.  However, even seemingly “simple” </w:t>
      </w:r>
      <w:r w:rsidRPr="000B7D9E">
        <w:t>fire code compliance inspections can be complicated.</w:t>
      </w:r>
      <w:r>
        <w:t xml:space="preserve">  Having on-duty personnel participate in high-risk fire and life safety inspections allows them to observe the situation they could face in the event of a fire.  Time spent by on-duty personnel inspections could be leveraged to devel</w:t>
      </w:r>
      <w:r w:rsidR="00B97078">
        <w:t>op a pre-incident fire plan.</w:t>
      </w:r>
    </w:p>
    <w:p w14:paraId="221018B6" w14:textId="77777777" w:rsidR="00A841C7" w:rsidRDefault="00A841C7" w:rsidP="00A841C7">
      <w:pPr>
        <w:pStyle w:val="Heading3"/>
        <w:rPr>
          <w:rFonts w:eastAsia="Times New Roman"/>
          <w:lang w:eastAsia="en-US"/>
        </w:rPr>
      </w:pPr>
      <w:bookmarkStart w:id="192" w:name="_Toc464323590"/>
      <w:r w:rsidRPr="000655B0">
        <w:rPr>
          <w:rFonts w:eastAsia="Times New Roman"/>
          <w:lang w:eastAsia="en-US"/>
        </w:rPr>
        <w:t>Fire and Life-</w:t>
      </w:r>
      <w:r>
        <w:rPr>
          <w:rFonts w:eastAsia="Times New Roman"/>
          <w:lang w:eastAsia="en-US"/>
        </w:rPr>
        <w:t>Safety Public Education Program</w:t>
      </w:r>
      <w:bookmarkEnd w:id="192"/>
    </w:p>
    <w:p w14:paraId="5E90B81C" w14:textId="77777777" w:rsidR="00A841C7" w:rsidRDefault="00A841C7" w:rsidP="00A841C7">
      <w:pPr>
        <w:pStyle w:val="ESCiNormalParagraphChar"/>
      </w:pPr>
      <w:r>
        <w:t xml:space="preserve">The purpose of public </w:t>
      </w:r>
      <w:r w:rsidRPr="00DE14D0">
        <w:t xml:space="preserve">fire and life safety education </w:t>
      </w:r>
      <w:r>
        <w:t xml:space="preserve">is to </w:t>
      </w:r>
      <w:r w:rsidRPr="00DE14D0">
        <w:t>minimiz</w:t>
      </w:r>
      <w:r>
        <w:t>e</w:t>
      </w:r>
      <w:r w:rsidRPr="00DE14D0">
        <w:t xml:space="preserve"> the number of emergencies </w:t>
      </w:r>
      <w:r>
        <w:t xml:space="preserve">and </w:t>
      </w:r>
      <w:r w:rsidRPr="00DE14D0">
        <w:t>train</w:t>
      </w:r>
      <w:r>
        <w:t>ing</w:t>
      </w:r>
      <w:r w:rsidRPr="00DE14D0">
        <w:t xml:space="preserve"> the community </w:t>
      </w:r>
      <w:r>
        <w:t>in</w:t>
      </w:r>
      <w:r w:rsidRPr="00DE14D0">
        <w:t xml:space="preserve"> appropriate actions </w:t>
      </w:r>
      <w:r>
        <w:t xml:space="preserve">to take should </w:t>
      </w:r>
      <w:r w:rsidRPr="00DE14D0">
        <w:t>an emergency occur.  Life and fire safety education provides the best chance for minimizing the effects of fire, injury and illness to the community.</w:t>
      </w:r>
      <w:r>
        <w:t xml:space="preserve">  Additionally, public education can correlate to firefighter safety.  As an example, arriving at the scene of a house fire, the first arriving fire officer finds that the residents have all evacuated safely and are accounted for in a meeting location.  Their actions have accomplished the first priority of the fire department, life safety, and the firefighters can concentrate on fire suppression.  </w:t>
      </w:r>
    </w:p>
    <w:p w14:paraId="70F3FAA3" w14:textId="77777777" w:rsidR="00A841C7" w:rsidRDefault="00A841C7" w:rsidP="00A841C7">
      <w:pPr>
        <w:pStyle w:val="ESCiNormalParagraphChar"/>
      </w:pPr>
      <w:r>
        <w:t xml:space="preserve">Public fire and life safety can be a simple or an in-depth </w:t>
      </w:r>
      <w:r w:rsidRPr="001F4C70">
        <w:t xml:space="preserve">program </w:t>
      </w:r>
      <w:r>
        <w:t xml:space="preserve">covering a variety of topics.  Example topics include: fire extinguisher-training, smoke detector education and installation, CPR, first aid courses, fall prevention, home fire safety, fire prevention materials in multiple languages, fire brigade training for business, and many others.  Even the largest fire departments cannot cover all fire and life safety topics and so a fire department needs to decide where to direct resources.  </w:t>
      </w:r>
    </w:p>
    <w:p w14:paraId="5AE331B4" w14:textId="69D0A528" w:rsidR="00A841C7" w:rsidRDefault="00A841C7" w:rsidP="00A841C7">
      <w:pPr>
        <w:pStyle w:val="ESCiNormalParagraphChar"/>
      </w:pPr>
      <w:r>
        <w:t>Official establishment of PFD’s p</w:t>
      </w:r>
      <w:r w:rsidRPr="00463FC6">
        <w:t xml:space="preserve">ublic </w:t>
      </w:r>
      <w:r>
        <w:t>e</w:t>
      </w:r>
      <w:r w:rsidRPr="00463FC6">
        <w:t xml:space="preserve">ducation program </w:t>
      </w:r>
      <w:r>
        <w:t xml:space="preserve">occurred </w:t>
      </w:r>
      <w:r w:rsidR="001C4A9F">
        <w:t>recently</w:t>
      </w:r>
      <w:r w:rsidRPr="00463FC6">
        <w:t>.</w:t>
      </w:r>
      <w:r>
        <w:t xml:space="preserve">  Historically, PFD’s public education program was</w:t>
      </w:r>
      <w:r w:rsidRPr="00463FC6">
        <w:t xml:space="preserve"> </w:t>
      </w:r>
      <w:r>
        <w:t>limited to providing</w:t>
      </w:r>
      <w:r w:rsidRPr="00463FC6">
        <w:t xml:space="preserve"> </w:t>
      </w:r>
      <w:r>
        <w:t>annual E.D.I.T.H. (</w:t>
      </w:r>
      <w:r w:rsidRPr="00463FC6">
        <w:t>Exit Drills in the Home</w:t>
      </w:r>
      <w:r>
        <w:t>)</w:t>
      </w:r>
      <w:r w:rsidRPr="00463FC6">
        <w:t xml:space="preserve"> education to </w:t>
      </w:r>
      <w:r w:rsidR="00AC6C9C">
        <w:t>first</w:t>
      </w:r>
      <w:r>
        <w:t xml:space="preserve"> </w:t>
      </w:r>
      <w:r w:rsidRPr="00463FC6">
        <w:t xml:space="preserve">and </w:t>
      </w:r>
      <w:r w:rsidR="00AC6C9C">
        <w:t>third</w:t>
      </w:r>
      <w:r w:rsidRPr="00463FC6">
        <w:t xml:space="preserve"> grade </w:t>
      </w:r>
      <w:r>
        <w:t xml:space="preserve">elementary </w:t>
      </w:r>
      <w:r w:rsidRPr="00463FC6">
        <w:t>students</w:t>
      </w:r>
      <w:r>
        <w:t xml:space="preserve">.  Estimates are that 3,000 students participate in the program annually but there </w:t>
      </w:r>
      <w:r w:rsidRPr="005356FE">
        <w:t xml:space="preserve">is little data on </w:t>
      </w:r>
      <w:r>
        <w:t xml:space="preserve">previous education </w:t>
      </w:r>
      <w:r w:rsidRPr="005356FE">
        <w:t>actions, outcomes, or effectiveness</w:t>
      </w:r>
      <w:r>
        <w:t xml:space="preserve"> before this year</w:t>
      </w:r>
      <w:r w:rsidRPr="005356FE">
        <w:t>.</w:t>
      </w:r>
      <w:r>
        <w:t xml:space="preserve">  </w:t>
      </w:r>
    </w:p>
    <w:p w14:paraId="58F6B535" w14:textId="77777777" w:rsidR="00A841C7" w:rsidRDefault="00A841C7" w:rsidP="00AC6C9C">
      <w:pPr>
        <w:pStyle w:val="ESCiNormalParagraphChar"/>
        <w:keepNext/>
        <w:spacing w:after="0"/>
      </w:pPr>
      <w:r w:rsidRPr="00463FC6">
        <w:t>Since July 2015</w:t>
      </w:r>
      <w:r>
        <w:t>, public education activities have included:</w:t>
      </w:r>
    </w:p>
    <w:p w14:paraId="0B92A4E6" w14:textId="3FA9B5AE" w:rsidR="00A841C7" w:rsidRDefault="00A841C7" w:rsidP="007705AA">
      <w:pPr>
        <w:pStyle w:val="ESCiNormalParagraphChar"/>
        <w:numPr>
          <w:ilvl w:val="0"/>
          <w:numId w:val="25"/>
        </w:numPr>
        <w:spacing w:after="120" w:line="240" w:lineRule="auto"/>
      </w:pPr>
      <w:r w:rsidRPr="00C2009D">
        <w:t xml:space="preserve">Senior </w:t>
      </w:r>
      <w:r w:rsidR="00AC6C9C">
        <w:t xml:space="preserve">citizen </w:t>
      </w:r>
      <w:r>
        <w:t>s</w:t>
      </w:r>
      <w:r w:rsidRPr="00C2009D">
        <w:t xml:space="preserve">moke </w:t>
      </w:r>
      <w:r>
        <w:t>a</w:t>
      </w:r>
      <w:r w:rsidRPr="00C2009D">
        <w:t>larm program in cooperation with the American Red Cross</w:t>
      </w:r>
      <w:r>
        <w:t xml:space="preserve">.  The </w:t>
      </w:r>
      <w:r w:rsidRPr="00C2009D">
        <w:t xml:space="preserve">program installs smoke detectors and/or batteries and provides in-home </w:t>
      </w:r>
      <w:r>
        <w:t>voluntary</w:t>
      </w:r>
      <w:r w:rsidRPr="00C2009D">
        <w:t xml:space="preserve"> fire safety inspection</w:t>
      </w:r>
      <w:r>
        <w:t>s.</w:t>
      </w:r>
    </w:p>
    <w:p w14:paraId="13CCBB96" w14:textId="6CABB3AB" w:rsidR="00A841C7" w:rsidRDefault="00A841C7" w:rsidP="007705AA">
      <w:pPr>
        <w:pStyle w:val="ESCiNormalParagraphChar"/>
        <w:numPr>
          <w:ilvl w:val="0"/>
          <w:numId w:val="25"/>
        </w:numPr>
        <w:spacing w:after="120" w:line="240" w:lineRule="auto"/>
      </w:pPr>
      <w:r>
        <w:t>Monthly PSAs</w:t>
      </w:r>
      <w:r w:rsidRPr="00C2009D">
        <w:t xml:space="preserve"> in </w:t>
      </w:r>
      <w:r>
        <w:t>collaboration</w:t>
      </w:r>
      <w:r w:rsidRPr="00C2009D">
        <w:t xml:space="preserve"> with </w:t>
      </w:r>
      <w:r>
        <w:t>a</w:t>
      </w:r>
      <w:r w:rsidRPr="00C2009D">
        <w:t xml:space="preserve"> local radio station</w:t>
      </w:r>
      <w:r w:rsidR="00AC6C9C">
        <w:t>.</w:t>
      </w:r>
    </w:p>
    <w:p w14:paraId="30452D87" w14:textId="121890B3" w:rsidR="00A841C7" w:rsidRDefault="00A841C7" w:rsidP="007705AA">
      <w:pPr>
        <w:pStyle w:val="ESCiNormalParagraphChar"/>
        <w:numPr>
          <w:ilvl w:val="0"/>
          <w:numId w:val="25"/>
        </w:numPr>
        <w:spacing w:after="120" w:line="240" w:lineRule="auto"/>
      </w:pPr>
      <w:r>
        <w:t>P</w:t>
      </w:r>
      <w:r w:rsidRPr="009F1B7B">
        <w:t>articipat</w:t>
      </w:r>
      <w:r>
        <w:t xml:space="preserve">ion </w:t>
      </w:r>
      <w:r w:rsidRPr="009F1B7B">
        <w:t xml:space="preserve">in community events </w:t>
      </w:r>
      <w:r>
        <w:t>including Cinco De Mayo festivities</w:t>
      </w:r>
      <w:r w:rsidR="00AC6C9C">
        <w:t>.</w:t>
      </w:r>
    </w:p>
    <w:p w14:paraId="68F06B2F" w14:textId="5373D3F4" w:rsidR="00A841C7" w:rsidRDefault="00A841C7" w:rsidP="007705AA">
      <w:pPr>
        <w:pStyle w:val="ESCiNormalParagraphChar"/>
        <w:numPr>
          <w:ilvl w:val="0"/>
          <w:numId w:val="25"/>
        </w:numPr>
        <w:spacing w:after="120" w:line="240" w:lineRule="auto"/>
      </w:pPr>
      <w:r>
        <w:t>F</w:t>
      </w:r>
      <w:r w:rsidRPr="00C2009D">
        <w:t>ire station tours</w:t>
      </w:r>
      <w:r w:rsidR="00AC6C9C">
        <w:t>.</w:t>
      </w:r>
    </w:p>
    <w:p w14:paraId="6A4CCD6D" w14:textId="1D9728EF" w:rsidR="00A841C7" w:rsidRDefault="00A841C7" w:rsidP="00AC6C9C">
      <w:pPr>
        <w:pStyle w:val="ESCiNormalParagraphChar"/>
        <w:numPr>
          <w:ilvl w:val="0"/>
          <w:numId w:val="25"/>
        </w:numPr>
        <w:spacing w:after="240" w:line="240" w:lineRule="auto"/>
      </w:pPr>
      <w:r>
        <w:t>P</w:t>
      </w:r>
      <w:r w:rsidRPr="009F1B7B">
        <w:t xml:space="preserve">ublic </w:t>
      </w:r>
      <w:r>
        <w:t xml:space="preserve">fire </w:t>
      </w:r>
      <w:r w:rsidRPr="009F1B7B">
        <w:t xml:space="preserve">safety </w:t>
      </w:r>
      <w:r>
        <w:t>presentations</w:t>
      </w:r>
      <w:r w:rsidR="00AC6C9C">
        <w:t>.</w:t>
      </w:r>
    </w:p>
    <w:p w14:paraId="1F71C942" w14:textId="6A88E689" w:rsidR="00A841C7" w:rsidRDefault="00A841C7" w:rsidP="00A841C7">
      <w:pPr>
        <w:pStyle w:val="ESCiNormalParagraphChar"/>
      </w:pPr>
      <w:r>
        <w:t xml:space="preserve">The process of collaborating and </w:t>
      </w:r>
      <w:r w:rsidRPr="009F1B7B">
        <w:t xml:space="preserve">regionalizing </w:t>
      </w:r>
      <w:r>
        <w:t>the public education</w:t>
      </w:r>
      <w:r w:rsidRPr="009F1B7B">
        <w:t xml:space="preserve"> </w:t>
      </w:r>
      <w:r>
        <w:t>activities</w:t>
      </w:r>
      <w:r w:rsidRPr="009F1B7B">
        <w:t xml:space="preserve"> </w:t>
      </w:r>
      <w:r>
        <w:t>with fire departments in</w:t>
      </w:r>
      <w:r w:rsidRPr="009F1B7B">
        <w:t xml:space="preserve"> the Tri-Cities area </w:t>
      </w:r>
      <w:r>
        <w:t>has begun.  Planning for a regional</w:t>
      </w:r>
      <w:r w:rsidRPr="009F1B7B">
        <w:t xml:space="preserve"> </w:t>
      </w:r>
      <w:r w:rsidR="00AC6C9C" w:rsidRPr="009F1B7B">
        <w:t>community risk reduc</w:t>
      </w:r>
      <w:r w:rsidRPr="009F1B7B">
        <w:t xml:space="preserve">tion program </w:t>
      </w:r>
      <w:r>
        <w:t>is set to kick-off in late</w:t>
      </w:r>
      <w:r w:rsidRPr="009F1B7B">
        <w:t xml:space="preserve"> 2016 and </w:t>
      </w:r>
      <w:r>
        <w:t>run into fiscal year 2017</w:t>
      </w:r>
      <w:r w:rsidRPr="009F1B7B">
        <w:t>.</w:t>
      </w:r>
      <w:r>
        <w:t xml:space="preserve">  Blurr</w:t>
      </w:r>
      <w:r w:rsidR="00AC6C9C">
        <w:t>ed</w:t>
      </w:r>
      <w:r>
        <w:t xml:space="preserve"> geopolitical boundaries in the Tri-Cities area makes it appropriate that some public education activities be delivered regionally.</w:t>
      </w:r>
    </w:p>
    <w:p w14:paraId="6B42A9B6" w14:textId="01D84C04" w:rsidR="00A841C7" w:rsidRDefault="00A841C7" w:rsidP="00A841C7">
      <w:pPr>
        <w:pStyle w:val="ESCiNormalParagraphChar"/>
      </w:pPr>
      <w:r>
        <w:t xml:space="preserve">The </w:t>
      </w:r>
      <w:r w:rsidRPr="0094163D">
        <w:t>Public Education Committee creates monthly report</w:t>
      </w:r>
      <w:r>
        <w:t>s</w:t>
      </w:r>
      <w:r w:rsidRPr="0094163D">
        <w:t xml:space="preserve"> </w:t>
      </w:r>
      <w:r>
        <w:t xml:space="preserve">documenting </w:t>
      </w:r>
      <w:r w:rsidRPr="0094163D">
        <w:t>public education activities</w:t>
      </w:r>
      <w:r>
        <w:t xml:space="preserve">.  PFD has three certified public fire educators assigned to the program.  </w:t>
      </w:r>
      <w:r w:rsidRPr="001F2277">
        <w:t xml:space="preserve">Fire </w:t>
      </w:r>
      <w:r>
        <w:t>educators</w:t>
      </w:r>
      <w:r w:rsidRPr="001F2277">
        <w:t xml:space="preserve"> receive a specialist incentive of </w:t>
      </w:r>
      <w:r w:rsidR="00AC6C9C">
        <w:t>2</w:t>
      </w:r>
      <w:r w:rsidRPr="001F2277">
        <w:t xml:space="preserve"> percent of top-step firefighter</w:t>
      </w:r>
      <w:r>
        <w:t xml:space="preserve"> pay.</w:t>
      </w:r>
    </w:p>
    <w:p w14:paraId="59248D23" w14:textId="77777777" w:rsidR="00716EA9" w:rsidRPr="00716EA9" w:rsidRDefault="00716EA9" w:rsidP="00716EA9">
      <w:pPr>
        <w:pStyle w:val="Heading3"/>
        <w:rPr>
          <w:rFonts w:eastAsia="Times New Roman"/>
          <w:lang w:eastAsia="en-US"/>
        </w:rPr>
      </w:pPr>
      <w:bookmarkStart w:id="193" w:name="_Toc405875774"/>
      <w:bookmarkStart w:id="194" w:name="_Toc464323591"/>
      <w:r w:rsidRPr="00716EA9">
        <w:rPr>
          <w:rFonts w:eastAsia="Times New Roman"/>
          <w:lang w:eastAsia="en-US"/>
        </w:rPr>
        <w:t>Community Risk Reduction</w:t>
      </w:r>
      <w:bookmarkEnd w:id="193"/>
      <w:bookmarkEnd w:id="194"/>
    </w:p>
    <w:p w14:paraId="6A475E24" w14:textId="549E4580" w:rsidR="00716EA9" w:rsidRDefault="00716EA9" w:rsidP="00716EA9">
      <w:r>
        <w:t xml:space="preserve">A significant trend in the fire service nationally is a concept called Community Risk Reduction (CRR). </w:t>
      </w:r>
      <w:r w:rsidRPr="00A2159A">
        <w:t>CRR is an integrated approach to risk management that marries emergency operations and prevention strategies into a more cohesive approach to reducing risks in any community.</w:t>
      </w:r>
      <w:r>
        <w:t xml:space="preserve">  It includes the fire department partnering with the community, non-profit organizations, and private sector agencies with a mission nexus to an identified community risk. </w:t>
      </w:r>
    </w:p>
    <w:p w14:paraId="4EF37088" w14:textId="77777777" w:rsidR="00716EA9" w:rsidRDefault="00716EA9" w:rsidP="00716EA9">
      <w:r>
        <w:t>The concept starts with the fire department mining data to quantify community risk.  Once the community risks have been identified, they are prioritized based on frequency of emergency service demand or consequence (to the victim, to the community, to the local economy).  Upon prioritizing the risks, strategies are developed to mitigate the risks.  These strategies are incorporated into a CRR plan, which integrates resources across the fire department, partner agencies and the community to implement the various strategies in an integrated way.  After plan implementation, the results are reviewed to determine the impact on the risks.  Adjustments are made, as necessary, based on the results and the process is refined and continuously re-implemented.</w:t>
      </w:r>
    </w:p>
    <w:p w14:paraId="6C30E8FF" w14:textId="5BE937E9" w:rsidR="00716EA9" w:rsidRDefault="00716EA9" w:rsidP="00716EA9">
      <w:r>
        <w:t xml:space="preserve">The risks are not limited to structure fires.  They can include falls, drowning, interface exposure, or any risk requiring fire department response.  Risk can also be localized by station area.  Station captains, </w:t>
      </w:r>
      <w:r w:rsidRPr="00BE6710">
        <w:t>in collaboration with fire prevention staff</w:t>
      </w:r>
      <w:r>
        <w:t>, can develop and manage a station-specific CRR plan as a subset of the fire department’s plan.</w:t>
      </w:r>
    </w:p>
    <w:tbl>
      <w:tblPr>
        <w:tblW w:w="0" w:type="auto"/>
        <w:tblLook w:val="00A0" w:firstRow="1" w:lastRow="0" w:firstColumn="1" w:lastColumn="0" w:noHBand="0" w:noVBand="0"/>
      </w:tblPr>
      <w:tblGrid>
        <w:gridCol w:w="9360"/>
      </w:tblGrid>
      <w:tr w:rsidR="00716EA9" w:rsidRPr="00C1452A" w14:paraId="0D591998" w14:textId="77777777" w:rsidTr="00003327">
        <w:tc>
          <w:tcPr>
            <w:tcW w:w="9360" w:type="dxa"/>
            <w:shd w:val="clear" w:color="auto" w:fill="D9D9D9" w:themeFill="background1" w:themeFillShade="D9"/>
          </w:tcPr>
          <w:p w14:paraId="38D86AFF" w14:textId="77777777" w:rsidR="00716EA9" w:rsidRPr="00B97078" w:rsidRDefault="00716EA9" w:rsidP="00003327">
            <w:pPr>
              <w:keepNext/>
              <w:keepLines/>
              <w:spacing w:after="0" w:line="360" w:lineRule="auto"/>
              <w:rPr>
                <w:rFonts w:eastAsia="Times New Roman" w:cs="Calibri"/>
                <w:b/>
              </w:rPr>
            </w:pPr>
            <w:r w:rsidRPr="00B97078">
              <w:rPr>
                <w:rFonts w:eastAsia="Times New Roman" w:cs="Calibri"/>
                <w:b/>
              </w:rPr>
              <w:t>Recommendation:</w:t>
            </w:r>
          </w:p>
          <w:p w14:paraId="618D85F6" w14:textId="19DAA76E" w:rsidR="00716EA9" w:rsidRPr="006C16B9" w:rsidRDefault="00716EA9" w:rsidP="00716EA9">
            <w:pPr>
              <w:numPr>
                <w:ilvl w:val="0"/>
                <w:numId w:val="25"/>
              </w:numPr>
              <w:spacing w:after="200" w:line="240" w:lineRule="auto"/>
              <w:jc w:val="left"/>
              <w:rPr>
                <w:rFonts w:asciiTheme="majorHAnsi" w:hAnsiTheme="majorHAnsi" w:cs="Arial"/>
              </w:rPr>
            </w:pPr>
            <w:r>
              <w:rPr>
                <w:rFonts w:cs="Calibri"/>
              </w:rPr>
              <w:t xml:space="preserve">Develop a comprehensive Community Risk Reduction plan.  Use </w:t>
            </w:r>
            <w:r w:rsidRPr="00716EA9">
              <w:rPr>
                <w:rFonts w:cs="Calibri"/>
                <w:i/>
              </w:rPr>
              <w:t>Vision 20/20</w:t>
            </w:r>
            <w:r>
              <w:rPr>
                <w:rFonts w:cs="Calibri"/>
              </w:rPr>
              <w:t xml:space="preserve"> as a resource.</w:t>
            </w:r>
          </w:p>
        </w:tc>
      </w:tr>
    </w:tbl>
    <w:p w14:paraId="61E8F4C4" w14:textId="34B0AC38" w:rsidR="001C4A9F" w:rsidRDefault="001C4A9F" w:rsidP="00A841C7">
      <w:pPr>
        <w:pStyle w:val="ESCiNormalParagraphChar"/>
      </w:pPr>
    </w:p>
    <w:p w14:paraId="78CBA25A" w14:textId="09F25679" w:rsidR="00716EA9" w:rsidRDefault="00716EA9" w:rsidP="00A841C7">
      <w:pPr>
        <w:pStyle w:val="ESCiNormalParagraphChar"/>
      </w:pPr>
    </w:p>
    <w:p w14:paraId="30EC2797" w14:textId="77777777" w:rsidR="00716EA9" w:rsidRDefault="00716EA9" w:rsidP="00A841C7">
      <w:pPr>
        <w:pStyle w:val="ESCiNormalParagraphChar"/>
      </w:pPr>
    </w:p>
    <w:tbl>
      <w:tblPr>
        <w:tblW w:w="0" w:type="auto"/>
        <w:jc w:val="center"/>
        <w:shd w:val="clear" w:color="auto" w:fill="E5B8B7" w:themeFill="accent2" w:themeFillTint="66"/>
        <w:tblLook w:val="00A0" w:firstRow="1" w:lastRow="0" w:firstColumn="1" w:lastColumn="0" w:noHBand="0" w:noVBand="0"/>
      </w:tblPr>
      <w:tblGrid>
        <w:gridCol w:w="9360"/>
      </w:tblGrid>
      <w:tr w:rsidR="00A841C7" w:rsidRPr="00C1452A" w14:paraId="24173DB4" w14:textId="77777777" w:rsidTr="00A841C7">
        <w:trPr>
          <w:jc w:val="center"/>
        </w:trPr>
        <w:tc>
          <w:tcPr>
            <w:tcW w:w="9360" w:type="dxa"/>
            <w:shd w:val="clear" w:color="auto" w:fill="E5B8B7" w:themeFill="accent2" w:themeFillTint="66"/>
          </w:tcPr>
          <w:p w14:paraId="7775A8EB" w14:textId="77777777" w:rsidR="00A841C7" w:rsidRPr="00AC6C9C" w:rsidRDefault="00A841C7" w:rsidP="00A841C7">
            <w:pPr>
              <w:keepNext/>
              <w:keepLines/>
              <w:spacing w:after="0" w:line="360" w:lineRule="auto"/>
              <w:rPr>
                <w:rFonts w:eastAsia="Times New Roman" w:cs="Calibri"/>
                <w:b/>
              </w:rPr>
            </w:pPr>
            <w:r w:rsidRPr="00AC6C9C">
              <w:rPr>
                <w:rFonts w:eastAsia="Times New Roman" w:cs="Calibri"/>
                <w:b/>
              </w:rPr>
              <w:t>Kudos:</w:t>
            </w:r>
          </w:p>
          <w:p w14:paraId="77DE3EAC" w14:textId="7E3A371B" w:rsidR="00A841C7" w:rsidRPr="006C16B9" w:rsidRDefault="00A841C7" w:rsidP="007705AA">
            <w:pPr>
              <w:numPr>
                <w:ilvl w:val="0"/>
                <w:numId w:val="25"/>
              </w:numPr>
              <w:spacing w:after="240" w:line="240" w:lineRule="auto"/>
              <w:jc w:val="left"/>
              <w:rPr>
                <w:rFonts w:asciiTheme="majorHAnsi" w:hAnsiTheme="majorHAnsi" w:cs="Arial"/>
              </w:rPr>
            </w:pPr>
            <w:r w:rsidRPr="00AC6C9C">
              <w:rPr>
                <w:rFonts w:cs="Calibri"/>
              </w:rPr>
              <w:t xml:space="preserve">PFD and the City of Pasco are commended for their commitment and investment in fire and life safety education.  Evidence is the assignment of </w:t>
            </w:r>
            <w:r w:rsidR="001C4A9F">
              <w:rPr>
                <w:rFonts w:cs="Calibri"/>
              </w:rPr>
              <w:t>four</w:t>
            </w:r>
            <w:r w:rsidRPr="00AC6C9C">
              <w:rPr>
                <w:rFonts w:cs="Calibri"/>
              </w:rPr>
              <w:t xml:space="preserve"> public educators </w:t>
            </w:r>
            <w:r w:rsidR="001C4A9F">
              <w:rPr>
                <w:rFonts w:cs="Calibri"/>
              </w:rPr>
              <w:t xml:space="preserve">on shift </w:t>
            </w:r>
            <w:r w:rsidRPr="00AC6C9C">
              <w:rPr>
                <w:rFonts w:cs="Calibri"/>
              </w:rPr>
              <w:t>to the program.</w:t>
            </w:r>
            <w:r w:rsidRPr="00B1409A">
              <w:rPr>
                <w:rFonts w:asciiTheme="majorHAnsi" w:hAnsiTheme="majorHAnsi" w:cs="Calibri"/>
              </w:rPr>
              <w:t xml:space="preserve"> </w:t>
            </w:r>
          </w:p>
        </w:tc>
      </w:tr>
    </w:tbl>
    <w:p w14:paraId="2AA6E78D" w14:textId="77777777" w:rsidR="00A841C7" w:rsidRDefault="00A841C7" w:rsidP="00A841C7">
      <w:pPr>
        <w:pStyle w:val="Heading3"/>
        <w:rPr>
          <w:rFonts w:eastAsia="Times New Roman" w:cs="Times New Roman"/>
          <w:szCs w:val="24"/>
          <w:lang w:eastAsia="en-US"/>
        </w:rPr>
      </w:pPr>
      <w:bookmarkStart w:id="195" w:name="_Toc464323592"/>
      <w:r w:rsidRPr="000655B0">
        <w:rPr>
          <w:rFonts w:eastAsia="Times New Roman"/>
          <w:lang w:eastAsia="en-US"/>
        </w:rPr>
        <w:t>F</w:t>
      </w:r>
      <w:r>
        <w:rPr>
          <w:rFonts w:eastAsia="Times New Roman"/>
          <w:lang w:eastAsia="en-US"/>
        </w:rPr>
        <w:t>ire Investigation Program</w:t>
      </w:r>
      <w:bookmarkEnd w:id="195"/>
    </w:p>
    <w:p w14:paraId="600DD8CC" w14:textId="5127AC66" w:rsidR="00A841C7" w:rsidRDefault="00A841C7" w:rsidP="00AC6C9C">
      <w:pPr>
        <w:pStyle w:val="ESCiNormalParagraphChar"/>
        <w:spacing w:after="0"/>
        <w:rPr>
          <w:lang w:eastAsia="en-US"/>
        </w:rPr>
      </w:pPr>
      <w:r>
        <w:rPr>
          <w:lang w:eastAsia="en-US"/>
        </w:rPr>
        <w:t xml:space="preserve">According to </w:t>
      </w:r>
      <w:r w:rsidRPr="00AC6C9C">
        <w:rPr>
          <w:i/>
          <w:lang w:eastAsia="en-US"/>
        </w:rPr>
        <w:t>NFPA</w:t>
      </w:r>
      <w:r w:rsidR="00AC6C9C" w:rsidRPr="00AC6C9C">
        <w:rPr>
          <w:i/>
          <w:lang w:eastAsia="en-US"/>
        </w:rPr>
        <w:t xml:space="preserve"> Standard</w:t>
      </w:r>
      <w:r w:rsidRPr="00AC6C9C">
        <w:rPr>
          <w:i/>
          <w:lang w:eastAsia="en-US"/>
        </w:rPr>
        <w:t xml:space="preserve"> 921</w:t>
      </w:r>
      <w:r>
        <w:rPr>
          <w:lang w:eastAsia="en-US"/>
        </w:rPr>
        <w:t>,</w:t>
      </w:r>
      <w:r>
        <w:rPr>
          <w:rStyle w:val="FootnoteReference"/>
          <w:lang w:eastAsia="en-US"/>
        </w:rPr>
        <w:footnoteReference w:id="29"/>
      </w:r>
      <w:r>
        <w:rPr>
          <w:lang w:eastAsia="en-US"/>
        </w:rPr>
        <w:t xml:space="preserve"> there are four possible determinations when investigating the causes of fire:</w:t>
      </w:r>
    </w:p>
    <w:p w14:paraId="0E42FC61" w14:textId="77AC87D3" w:rsidR="00A841C7" w:rsidRPr="005A4CF5" w:rsidRDefault="00AC6C9C" w:rsidP="00A841C7">
      <w:pPr>
        <w:pStyle w:val="Textbullet"/>
        <w:rPr>
          <w:rFonts w:asciiTheme="majorHAnsi" w:hAnsiTheme="majorHAnsi"/>
          <w:lang w:eastAsia="en-US"/>
        </w:rPr>
      </w:pPr>
      <w:r w:rsidRPr="005A4CF5">
        <w:rPr>
          <w:rFonts w:asciiTheme="majorHAnsi" w:hAnsiTheme="majorHAnsi"/>
          <w:lang w:eastAsia="en-US"/>
        </w:rPr>
        <w:t>Accidental fire cause</w:t>
      </w:r>
    </w:p>
    <w:p w14:paraId="3AD8C8CA" w14:textId="29BB7F83" w:rsidR="00A841C7" w:rsidRPr="005A4CF5" w:rsidRDefault="00AC6C9C" w:rsidP="00A841C7">
      <w:pPr>
        <w:pStyle w:val="Textbullet"/>
        <w:rPr>
          <w:rFonts w:asciiTheme="majorHAnsi" w:hAnsiTheme="majorHAnsi"/>
          <w:lang w:eastAsia="en-US"/>
        </w:rPr>
      </w:pPr>
      <w:r w:rsidRPr="005A4CF5">
        <w:rPr>
          <w:rFonts w:asciiTheme="majorHAnsi" w:hAnsiTheme="majorHAnsi"/>
          <w:lang w:eastAsia="en-US"/>
        </w:rPr>
        <w:t>Natural fire cause</w:t>
      </w:r>
    </w:p>
    <w:p w14:paraId="299BC606" w14:textId="395F5C8F" w:rsidR="00A841C7" w:rsidRPr="005A4CF5" w:rsidRDefault="00A841C7" w:rsidP="00A841C7">
      <w:pPr>
        <w:pStyle w:val="Textbullet"/>
        <w:rPr>
          <w:rFonts w:asciiTheme="majorHAnsi" w:hAnsiTheme="majorHAnsi"/>
          <w:lang w:eastAsia="en-US"/>
        </w:rPr>
      </w:pPr>
      <w:r w:rsidRPr="005A4CF5">
        <w:rPr>
          <w:rFonts w:asciiTheme="majorHAnsi" w:hAnsiTheme="majorHAnsi"/>
          <w:lang w:eastAsia="en-US"/>
        </w:rPr>
        <w:t>Incendi</w:t>
      </w:r>
      <w:r w:rsidR="00AC6C9C" w:rsidRPr="005A4CF5">
        <w:rPr>
          <w:rFonts w:asciiTheme="majorHAnsi" w:hAnsiTheme="majorHAnsi"/>
          <w:lang w:eastAsia="en-US"/>
        </w:rPr>
        <w:t>ary fire cause</w:t>
      </w:r>
    </w:p>
    <w:p w14:paraId="5F596F60" w14:textId="69B3E395" w:rsidR="00A841C7" w:rsidRPr="00AC6C9C" w:rsidRDefault="00AC6C9C" w:rsidP="00AC6C9C">
      <w:pPr>
        <w:pStyle w:val="Textbullet"/>
        <w:spacing w:after="240"/>
        <w:contextualSpacing w:val="0"/>
        <w:rPr>
          <w:rFonts w:asciiTheme="majorHAnsi" w:hAnsiTheme="majorHAnsi"/>
          <w:lang w:eastAsia="en-US"/>
        </w:rPr>
      </w:pPr>
      <w:r w:rsidRPr="005A4CF5">
        <w:rPr>
          <w:rFonts w:asciiTheme="majorHAnsi" w:hAnsiTheme="majorHAnsi"/>
          <w:lang w:eastAsia="en-US"/>
        </w:rPr>
        <w:t>Undetermined fire cause</w:t>
      </w:r>
    </w:p>
    <w:p w14:paraId="0512A479" w14:textId="67880D6E" w:rsidR="00A841C7" w:rsidRDefault="00A841C7" w:rsidP="00A841C7">
      <w:pPr>
        <w:pStyle w:val="ESCiNormalParagraphChar"/>
        <w:rPr>
          <w:lang w:eastAsia="en-US"/>
        </w:rPr>
      </w:pPr>
      <w:r w:rsidRPr="005A4CF5">
        <w:rPr>
          <w:rFonts w:asciiTheme="majorHAnsi" w:hAnsiTheme="majorHAnsi"/>
          <w:lang w:eastAsia="en-US"/>
        </w:rPr>
        <w:t xml:space="preserve">Accurately determining the cause of fires often provides clues to preventing future incidents.  </w:t>
      </w:r>
      <w:r>
        <w:rPr>
          <w:rFonts w:asciiTheme="majorHAnsi" w:hAnsiTheme="majorHAnsi"/>
          <w:lang w:eastAsia="en-US"/>
        </w:rPr>
        <w:t>Identifying f</w:t>
      </w:r>
      <w:r w:rsidRPr="00DB25E5">
        <w:rPr>
          <w:lang w:eastAsia="en-US"/>
        </w:rPr>
        <w:t xml:space="preserve">ires </w:t>
      </w:r>
      <w:r>
        <w:rPr>
          <w:lang w:eastAsia="en-US"/>
        </w:rPr>
        <w:t xml:space="preserve">that </w:t>
      </w:r>
      <w:r w:rsidRPr="00DB25E5">
        <w:rPr>
          <w:lang w:eastAsia="en-US"/>
        </w:rPr>
        <w:t>are set intentionally</w:t>
      </w:r>
      <w:r>
        <w:rPr>
          <w:lang w:eastAsia="en-US"/>
        </w:rPr>
        <w:t xml:space="preserve"> (incendiary)</w:t>
      </w:r>
      <w:r w:rsidRPr="00DB25E5">
        <w:rPr>
          <w:lang w:eastAsia="en-US"/>
        </w:rPr>
        <w:t xml:space="preserve">, </w:t>
      </w:r>
      <w:r>
        <w:rPr>
          <w:lang w:eastAsia="en-US"/>
        </w:rPr>
        <w:t xml:space="preserve">along with the </w:t>
      </w:r>
      <w:r w:rsidRPr="00DB25E5">
        <w:rPr>
          <w:lang w:eastAsia="en-US"/>
        </w:rPr>
        <w:t xml:space="preserve">identification and/or prosecution of the responsible </w:t>
      </w:r>
      <w:r>
        <w:rPr>
          <w:lang w:eastAsia="en-US"/>
        </w:rPr>
        <w:t>parties</w:t>
      </w:r>
      <w:r w:rsidR="00AC6C9C">
        <w:rPr>
          <w:lang w:eastAsia="en-US"/>
        </w:rPr>
        <w:t>,</w:t>
      </w:r>
      <w:r w:rsidRPr="00DB25E5">
        <w:rPr>
          <w:lang w:eastAsia="en-US"/>
        </w:rPr>
        <w:t xml:space="preserve"> </w:t>
      </w:r>
      <w:r>
        <w:rPr>
          <w:lang w:eastAsia="en-US"/>
        </w:rPr>
        <w:t>can</w:t>
      </w:r>
      <w:r w:rsidRPr="00DB25E5">
        <w:rPr>
          <w:lang w:eastAsia="en-US"/>
        </w:rPr>
        <w:t xml:space="preserve"> prevent additional fires.</w:t>
      </w:r>
      <w:r>
        <w:rPr>
          <w:lang w:eastAsia="en-US"/>
        </w:rPr>
        <w:t xml:space="preserve"> </w:t>
      </w:r>
      <w:r w:rsidRPr="00DB25E5">
        <w:rPr>
          <w:lang w:eastAsia="en-US"/>
        </w:rPr>
        <w:t xml:space="preserve"> </w:t>
      </w:r>
      <w:r>
        <w:rPr>
          <w:lang w:eastAsia="en-US"/>
        </w:rPr>
        <w:t>If</w:t>
      </w:r>
      <w:r w:rsidRPr="00DB25E5">
        <w:rPr>
          <w:lang w:eastAsia="en-US"/>
        </w:rPr>
        <w:t xml:space="preserve"> the cause of a fire is </w:t>
      </w:r>
      <w:r>
        <w:rPr>
          <w:lang w:eastAsia="en-US"/>
        </w:rPr>
        <w:t xml:space="preserve">natural or </w:t>
      </w:r>
      <w:r w:rsidRPr="00DB25E5">
        <w:rPr>
          <w:lang w:eastAsia="en-US"/>
        </w:rPr>
        <w:t xml:space="preserve">accidental, it is also of great </w:t>
      </w:r>
      <w:r>
        <w:rPr>
          <w:lang w:eastAsia="en-US"/>
        </w:rPr>
        <w:t>value</w:t>
      </w:r>
      <w:r w:rsidRPr="00DB25E5">
        <w:rPr>
          <w:lang w:eastAsia="en-US"/>
        </w:rPr>
        <w:t xml:space="preserve"> </w:t>
      </w:r>
      <w:r>
        <w:rPr>
          <w:lang w:eastAsia="en-US"/>
        </w:rPr>
        <w:t>in</w:t>
      </w:r>
      <w:r w:rsidRPr="00DB25E5">
        <w:rPr>
          <w:lang w:eastAsia="en-US"/>
        </w:rPr>
        <w:t xml:space="preserve"> knowing and understanding </w:t>
      </w:r>
      <w:r w:rsidR="00AC6C9C">
        <w:rPr>
          <w:lang w:eastAsia="en-US"/>
        </w:rPr>
        <w:t>its</w:t>
      </w:r>
      <w:r>
        <w:rPr>
          <w:lang w:eastAsia="en-US"/>
        </w:rPr>
        <w:t xml:space="preserve"> origin.  It is of value in identifying where</w:t>
      </w:r>
      <w:r w:rsidRPr="00DB25E5">
        <w:rPr>
          <w:lang w:eastAsia="en-US"/>
        </w:rPr>
        <w:t xml:space="preserve"> </w:t>
      </w:r>
      <w:r>
        <w:rPr>
          <w:lang w:eastAsia="en-US"/>
        </w:rPr>
        <w:t xml:space="preserve">to direct </w:t>
      </w:r>
      <w:r w:rsidRPr="00DB25E5">
        <w:rPr>
          <w:lang w:eastAsia="en-US"/>
        </w:rPr>
        <w:t xml:space="preserve">fire prevention and public education </w:t>
      </w:r>
      <w:r>
        <w:rPr>
          <w:lang w:eastAsia="en-US"/>
        </w:rPr>
        <w:t>efforts</w:t>
      </w:r>
      <w:r w:rsidRPr="00DB25E5">
        <w:rPr>
          <w:lang w:eastAsia="en-US"/>
        </w:rPr>
        <w:t xml:space="preserve"> to </w:t>
      </w:r>
      <w:r>
        <w:rPr>
          <w:lang w:eastAsia="en-US"/>
        </w:rPr>
        <w:t xml:space="preserve">reduce or </w:t>
      </w:r>
      <w:r w:rsidRPr="00DB25E5">
        <w:rPr>
          <w:lang w:eastAsia="en-US"/>
        </w:rPr>
        <w:t>prevent reoccurrence</w:t>
      </w:r>
      <w:r>
        <w:rPr>
          <w:lang w:eastAsia="en-US"/>
        </w:rPr>
        <w:t>s</w:t>
      </w:r>
      <w:r w:rsidRPr="00DB25E5">
        <w:rPr>
          <w:lang w:eastAsia="en-US"/>
        </w:rPr>
        <w:t>.</w:t>
      </w:r>
    </w:p>
    <w:p w14:paraId="373C6D54" w14:textId="30526A7A" w:rsidR="00A841C7" w:rsidRDefault="00A841C7" w:rsidP="00A841C7">
      <w:pPr>
        <w:pStyle w:val="ESCiNormalParagraphChar"/>
      </w:pPr>
      <w:r w:rsidRPr="001F2277">
        <w:t xml:space="preserve">PFD has four internal personnel available for fire cause determination.  There is one fire investigator </w:t>
      </w:r>
      <w:r>
        <w:t xml:space="preserve">assigned to each </w:t>
      </w:r>
      <w:r w:rsidRPr="001F2277">
        <w:t>shift</w:t>
      </w:r>
      <w:r w:rsidR="002A72C1">
        <w:t xml:space="preserve"> and a program manager on days</w:t>
      </w:r>
      <w:r w:rsidRPr="001F2277">
        <w:t xml:space="preserve">.  </w:t>
      </w:r>
      <w:r>
        <w:t xml:space="preserve">Two of the fire investigators have certification from the </w:t>
      </w:r>
      <w:r w:rsidRPr="007A569F">
        <w:t>National Association of Fire Investigators</w:t>
      </w:r>
      <w:r>
        <w:t xml:space="preserve">, </w:t>
      </w:r>
      <w:r w:rsidRPr="007A569F">
        <w:t>National Certification Board</w:t>
      </w:r>
      <w:r>
        <w:t xml:space="preserve"> as</w:t>
      </w:r>
      <w:r w:rsidRPr="007A569F">
        <w:t xml:space="preserve"> Certified Fire and Explosion Investigators (CFEI)</w:t>
      </w:r>
      <w:r>
        <w:t xml:space="preserve"> and two are in the process of being certified.  </w:t>
      </w:r>
      <w:r w:rsidRPr="001F2277">
        <w:t xml:space="preserve">Fire investigators receive a specialist incentive of </w:t>
      </w:r>
      <w:r w:rsidR="00AC6C9C">
        <w:t>2</w:t>
      </w:r>
      <w:r w:rsidRPr="001F2277">
        <w:t xml:space="preserve"> percent of top-step firefighter</w:t>
      </w:r>
      <w:r>
        <w:t>.</w:t>
      </w:r>
    </w:p>
    <w:p w14:paraId="243B1246" w14:textId="22BF10C8" w:rsidR="00A841C7" w:rsidRDefault="00A841C7" w:rsidP="00A841C7">
      <w:pPr>
        <w:pStyle w:val="ESCiNormalParagraphChar"/>
      </w:pPr>
      <w:r w:rsidRPr="001D749B">
        <w:t>The</w:t>
      </w:r>
      <w:r>
        <w:t xml:space="preserve">re is a depth of internal and external resources available to PFD fire investigators.  </w:t>
      </w:r>
      <w:r w:rsidRPr="001D749B">
        <w:t>PFD participate</w:t>
      </w:r>
      <w:r>
        <w:t>s</w:t>
      </w:r>
      <w:r w:rsidRPr="001D749B">
        <w:t xml:space="preserve"> in the Tri-County Fire Investigation Task Force</w:t>
      </w:r>
      <w:r>
        <w:t xml:space="preserve"> and collaborates</w:t>
      </w:r>
      <w:r w:rsidRPr="001D749B">
        <w:t xml:space="preserve"> </w:t>
      </w:r>
      <w:r>
        <w:t xml:space="preserve">with the law enforcement </w:t>
      </w:r>
      <w:r w:rsidRPr="001D749B">
        <w:t>on investigations.  P</w:t>
      </w:r>
      <w:r>
        <w:t>asco Police Department</w:t>
      </w:r>
      <w:r w:rsidR="00AC6C9C">
        <w:t xml:space="preserve"> (PPD)</w:t>
      </w:r>
      <w:r w:rsidRPr="001D749B">
        <w:t xml:space="preserve"> has </w:t>
      </w:r>
      <w:r>
        <w:t xml:space="preserve">assigned </w:t>
      </w:r>
      <w:r w:rsidRPr="001D749B">
        <w:t xml:space="preserve">an investigator </w:t>
      </w:r>
      <w:r>
        <w:t>to work with PFD investigators on fire investigations</w:t>
      </w:r>
      <w:r w:rsidRPr="001D749B">
        <w:t>.</w:t>
      </w:r>
      <w:r>
        <w:t xml:space="preserve">  Equipment is available </w:t>
      </w:r>
      <w:r w:rsidRPr="008F4CB1">
        <w:t>for investigations,</w:t>
      </w:r>
      <w:r>
        <w:t xml:space="preserve"> as are additional personnel for larger fire incidents.  PFD investigators are responsible for </w:t>
      </w:r>
      <w:r w:rsidRPr="00F31917">
        <w:t xml:space="preserve">photographing </w:t>
      </w:r>
      <w:r>
        <w:t>and scene documentation.  A</w:t>
      </w:r>
      <w:r w:rsidRPr="001A4E77">
        <w:t xml:space="preserve">s a part of fire investigations, </w:t>
      </w:r>
      <w:r w:rsidRPr="00CF3483">
        <w:t xml:space="preserve">the </w:t>
      </w:r>
      <w:r w:rsidR="00AC6C9C">
        <w:t>PPD</w:t>
      </w:r>
      <w:r w:rsidRPr="00CF3483">
        <w:t xml:space="preserve"> </w:t>
      </w:r>
      <w:r>
        <w:t xml:space="preserve">secures and manages physical evidence that is collected. </w:t>
      </w:r>
    </w:p>
    <w:p w14:paraId="0938CA58" w14:textId="2D80910A" w:rsidR="00A841C7" w:rsidRPr="001D749B" w:rsidRDefault="00A841C7" w:rsidP="00A841C7">
      <w:pPr>
        <w:pStyle w:val="ESCiNormalParagraphChar"/>
      </w:pPr>
      <w:r>
        <w:t xml:space="preserve">Over the past </w:t>
      </w:r>
      <w:r w:rsidR="00AC6C9C">
        <w:t>12</w:t>
      </w:r>
      <w:r>
        <w:t xml:space="preserve"> months (April 26, 2015</w:t>
      </w:r>
      <w:r w:rsidR="00AC6C9C">
        <w:t>,</w:t>
      </w:r>
      <w:r>
        <w:t xml:space="preserve"> to April 25, 2016), there were</w:t>
      </w:r>
      <w:r w:rsidRPr="001A4E77">
        <w:t xml:space="preserve"> 277 reported fires</w:t>
      </w:r>
      <w:r>
        <w:t>.  Per R</w:t>
      </w:r>
      <w:r w:rsidR="002A72C1">
        <w:t xml:space="preserve">evised </w:t>
      </w:r>
      <w:r>
        <w:t>C</w:t>
      </w:r>
      <w:r w:rsidR="002A72C1">
        <w:t xml:space="preserve">ode of </w:t>
      </w:r>
      <w:r>
        <w:t>W</w:t>
      </w:r>
      <w:r w:rsidR="002A72C1">
        <w:t>ashington (RCW)</w:t>
      </w:r>
      <w:r>
        <w:t>, PFD investigates each fire to determine cause.</w:t>
      </w:r>
      <w:r w:rsidR="00AC6C9C" w:rsidRPr="00AC6C9C">
        <w:rPr>
          <w:rStyle w:val="FootnoteReference"/>
        </w:rPr>
        <w:t xml:space="preserve"> </w:t>
      </w:r>
      <w:r w:rsidR="00AC6C9C">
        <w:rPr>
          <w:rStyle w:val="FootnoteReference"/>
        </w:rPr>
        <w:footnoteReference w:id="30"/>
      </w:r>
      <w:r>
        <w:t xml:space="preserve">  Of the 277 reported fires, four were determined to be of natural cause, 49 incendiary, and 44 of undetermined origin.  Some investigations are less formal and only documented in the PFD’s RMS (Record Management System) by the </w:t>
      </w:r>
      <w:r w:rsidR="006551FE">
        <w:t>i</w:t>
      </w:r>
      <w:r>
        <w:t xml:space="preserve">ncident </w:t>
      </w:r>
      <w:r w:rsidR="006551FE">
        <w:t>c</w:t>
      </w:r>
      <w:r>
        <w:t xml:space="preserve">ommander.  A certified investigator investigates those fires considered to be of suspicious origin, having significant loss, or by determination of the </w:t>
      </w:r>
      <w:r w:rsidR="006551FE">
        <w:t>incident com</w:t>
      </w:r>
      <w:r w:rsidR="002A72C1">
        <w:t>m</w:t>
      </w:r>
      <w:r w:rsidR="006551FE">
        <w:t>ander</w:t>
      </w:r>
      <w:r w:rsidRPr="00E1447A">
        <w:t>.</w:t>
      </w:r>
    </w:p>
    <w:p w14:paraId="62B74D4F" w14:textId="77777777" w:rsidR="00A841C7" w:rsidRDefault="00A841C7" w:rsidP="00A841C7">
      <w:pPr>
        <w:pStyle w:val="Heading3"/>
        <w:rPr>
          <w:rFonts w:eastAsia="Times New Roman"/>
          <w:lang w:eastAsia="en-US"/>
        </w:rPr>
      </w:pPr>
      <w:bookmarkStart w:id="196" w:name="_Toc464323593"/>
      <w:r>
        <w:rPr>
          <w:rFonts w:eastAsia="Times New Roman"/>
          <w:lang w:eastAsia="en-US"/>
        </w:rPr>
        <w:t>Pre-incident P</w:t>
      </w:r>
      <w:r w:rsidRPr="000655B0">
        <w:rPr>
          <w:rFonts w:eastAsia="Times New Roman"/>
          <w:lang w:eastAsia="en-US"/>
        </w:rPr>
        <w:t>lanning</w:t>
      </w:r>
      <w:bookmarkEnd w:id="196"/>
    </w:p>
    <w:p w14:paraId="2D1DCA82" w14:textId="2A29ED09" w:rsidR="00A841C7" w:rsidRDefault="00A841C7" w:rsidP="00A841C7">
      <w:pPr>
        <w:pStyle w:val="ESCiNormalParagraphChar"/>
        <w:rPr>
          <w:lang w:eastAsia="en-US"/>
        </w:rPr>
      </w:pPr>
      <w:r w:rsidRPr="00F56FA2">
        <w:rPr>
          <w:lang w:eastAsia="en-US"/>
        </w:rPr>
        <w:t xml:space="preserve">Pre-incident plans </w:t>
      </w:r>
      <w:r>
        <w:rPr>
          <w:lang w:eastAsia="en-US"/>
        </w:rPr>
        <w:t xml:space="preserve">give firefighters </w:t>
      </w:r>
      <w:r w:rsidRPr="00F56FA2">
        <w:rPr>
          <w:lang w:eastAsia="en-US"/>
        </w:rPr>
        <w:t>information on specific structures</w:t>
      </w:r>
      <w:r w:rsidR="006551FE">
        <w:rPr>
          <w:lang w:eastAsia="en-US"/>
        </w:rPr>
        <w:t xml:space="preserve"> and</w:t>
      </w:r>
      <w:r w:rsidRPr="00F56FA2">
        <w:rPr>
          <w:lang w:eastAsia="en-US"/>
        </w:rPr>
        <w:t xml:space="preserve"> processes</w:t>
      </w:r>
      <w:r>
        <w:rPr>
          <w:lang w:eastAsia="en-US"/>
        </w:rPr>
        <w:t xml:space="preserve"> and are a tool for firefighters to engage in strategy and tactical tabletop discussions</w:t>
      </w:r>
      <w:r w:rsidRPr="00F56FA2">
        <w:rPr>
          <w:lang w:eastAsia="en-US"/>
        </w:rPr>
        <w:t xml:space="preserve"> before an emergency occurs.  Pre-incident planning involves evaluating protection systems, building construction, contents, and operating procedures that may </w:t>
      </w:r>
      <w:r>
        <w:rPr>
          <w:lang w:eastAsia="en-US"/>
        </w:rPr>
        <w:t>influence</w:t>
      </w:r>
      <w:r w:rsidRPr="00F56FA2">
        <w:rPr>
          <w:lang w:eastAsia="en-US"/>
        </w:rPr>
        <w:t xml:space="preserve"> emergency operations.  </w:t>
      </w:r>
    </w:p>
    <w:p w14:paraId="6AEEABE6" w14:textId="77777777" w:rsidR="00A841C7" w:rsidRDefault="00A841C7" w:rsidP="00A841C7">
      <w:pPr>
        <w:pStyle w:val="ESCiNormalParagraphChar"/>
      </w:pPr>
      <w:r w:rsidRPr="00C86913">
        <w:t>A firefighter typically works in an alien environment of heat, darkness, confusion, and extreme danger.  Often, a firefighter’s first visit to a building is when he or she is summoned to an emergency at the facility; the very time that the internal environment of the structure may be at its worst.  Contrary to Hollywood’s portrayal of the inside of a building on fire, visibility is likely to be nearly zero due to smoke.  A lack of familiarity with the layout of a structure can easily cause a firefighter to become disoriented and subsequently suffer injury.</w:t>
      </w:r>
    </w:p>
    <w:p w14:paraId="61458C1E" w14:textId="680C7541" w:rsidR="00A841C7" w:rsidRDefault="00A841C7" w:rsidP="00A841C7">
      <w:pPr>
        <w:pStyle w:val="ESCiNormalParagraphChar"/>
      </w:pPr>
      <w:r w:rsidRPr="00C86913">
        <w:t xml:space="preserve">It is important that firefighters and command staff have accurate information readily at hand to identify hazards, direct tactical operations, and understand the proper use of built-in fire resistive features of structures.  </w:t>
      </w:r>
      <w:r>
        <w:t xml:space="preserve">This is </w:t>
      </w:r>
      <w:r w:rsidRPr="00C86913">
        <w:t xml:space="preserve">accomplished by </w:t>
      </w:r>
      <w:r>
        <w:t xml:space="preserve">routinely </w:t>
      </w:r>
      <w:r w:rsidRPr="00C86913">
        <w:t>touring structures, developing pre-incident plans, and conducting tactical exercises — either on-site or tabletop.</w:t>
      </w:r>
      <w:r>
        <w:t xml:space="preserve">  </w:t>
      </w:r>
      <w:r w:rsidRPr="00F56FA2">
        <w:t xml:space="preserve">The standards set forth in </w:t>
      </w:r>
      <w:r w:rsidRPr="006551FE">
        <w:rPr>
          <w:i/>
        </w:rPr>
        <w:t>NFPA 1620, Standard for Pre-Incident Planning</w:t>
      </w:r>
      <w:r w:rsidRPr="00F56FA2">
        <w:t>, guide the development of pre-incident plans.</w:t>
      </w:r>
      <w:r>
        <w:t xml:space="preserve">  To have value</w:t>
      </w:r>
      <w:r w:rsidR="006551FE">
        <w:t>,</w:t>
      </w:r>
      <w:r>
        <w:t xml:space="preserve"> p</w:t>
      </w:r>
      <w:r w:rsidRPr="00F56FA2">
        <w:t xml:space="preserve">re-incident plans </w:t>
      </w:r>
      <w:r>
        <w:t>need to</w:t>
      </w:r>
      <w:r w:rsidRPr="00F56FA2">
        <w:t xml:space="preserve"> be </w:t>
      </w:r>
      <w:r>
        <w:t>current</w:t>
      </w:r>
      <w:r w:rsidRPr="00F56FA2">
        <w:t xml:space="preserve">.  </w:t>
      </w:r>
      <w:r>
        <w:t xml:space="preserve">Pre-plans should be </w:t>
      </w:r>
      <w:r w:rsidRPr="00F56FA2">
        <w:t xml:space="preserve">distributed to all mutual/automatic aid partners.  </w:t>
      </w:r>
    </w:p>
    <w:p w14:paraId="441D3496" w14:textId="0B78EA3F" w:rsidR="00A841C7" w:rsidRDefault="00A841C7" w:rsidP="00A841C7">
      <w:pPr>
        <w:pStyle w:val="ESCiNormalParagraphChar"/>
      </w:pPr>
      <w:r w:rsidRPr="00C86913">
        <w:t xml:space="preserve">An ideal pre-incident planning system uses standardized forms and protocols.  Data </w:t>
      </w:r>
      <w:r w:rsidR="006551FE">
        <w:t xml:space="preserve">is collected </w:t>
      </w:r>
      <w:r>
        <w:t>i</w:t>
      </w:r>
      <w:r w:rsidRPr="00C86913">
        <w:t>n a consistent format</w:t>
      </w:r>
      <w:r>
        <w:t xml:space="preserve"> and </w:t>
      </w:r>
      <w:r w:rsidRPr="00C86913">
        <w:t>presented in a manner that permits commanders and emergency workers to retrieve it quickly and easily.  All require the use of consistent methods for collection, verification, storage, presentation, and update of emergency plans.</w:t>
      </w:r>
    </w:p>
    <w:p w14:paraId="2F774898" w14:textId="38BF27F0" w:rsidR="00A841C7" w:rsidRDefault="00A841C7" w:rsidP="00A841C7">
      <w:pPr>
        <w:pStyle w:val="ESCiNormalParagraphChar"/>
      </w:pPr>
      <w:r>
        <w:t xml:space="preserve">PFD pre-fire plan development is in its infancy with first plan iterations designed as a one-page overview of buildings for company officers.  </w:t>
      </w:r>
      <w:r w:rsidRPr="007A624E">
        <w:t xml:space="preserve">Final format and design of pre-fire incident plans has not yet occurred.   </w:t>
      </w:r>
      <w:r>
        <w:t xml:space="preserve">Deployed pre-fire plans will be available in emergency response vehicle MDTs (mobile data computers/terminals).  A sample is </w:t>
      </w:r>
      <w:r w:rsidR="006551FE">
        <w:t xml:space="preserve">provided </w:t>
      </w:r>
      <w:r>
        <w:t>below.</w:t>
      </w:r>
    </w:p>
    <w:p w14:paraId="0E28AA7E" w14:textId="1B18E697" w:rsidR="00A841C7" w:rsidRPr="007E2767" w:rsidRDefault="00A841C7" w:rsidP="006551FE">
      <w:pPr>
        <w:pStyle w:val="Caption"/>
        <w:rPr>
          <w:rFonts w:eastAsia="Times New Roman"/>
        </w:rPr>
      </w:pPr>
      <w:bookmarkStart w:id="197" w:name="_Toc464323689"/>
      <w:r w:rsidRPr="007E2767">
        <w:t xml:space="preserve">Figure </w:t>
      </w:r>
      <w:r w:rsidR="00432AD4">
        <w:fldChar w:fldCharType="begin"/>
      </w:r>
      <w:r w:rsidR="00432AD4">
        <w:instrText xml:space="preserve"> SEQ Figure \* ARABIC </w:instrText>
      </w:r>
      <w:r w:rsidR="00432AD4">
        <w:fldChar w:fldCharType="separate"/>
      </w:r>
      <w:r w:rsidR="008209A2">
        <w:rPr>
          <w:noProof/>
        </w:rPr>
        <w:t>47</w:t>
      </w:r>
      <w:r w:rsidR="00432AD4">
        <w:rPr>
          <w:noProof/>
        </w:rPr>
        <w:fldChar w:fldCharType="end"/>
      </w:r>
      <w:r>
        <w:t>: PFD Pre-Incident Plan Template</w:t>
      </w:r>
      <w:bookmarkEnd w:id="197"/>
    </w:p>
    <w:p w14:paraId="49214AE3" w14:textId="77777777" w:rsidR="00A841C7" w:rsidRPr="00C86913" w:rsidRDefault="00A841C7" w:rsidP="00A841C7">
      <w:pPr>
        <w:pStyle w:val="ESCiNormalParagraphChar"/>
        <w:jc w:val="center"/>
      </w:pPr>
      <w:r>
        <w:rPr>
          <w:noProof/>
          <w:lang w:eastAsia="en-US"/>
        </w:rPr>
        <w:drawing>
          <wp:inline distT="0" distB="0" distL="0" distR="0" wp14:anchorId="52FC4E5C" wp14:editId="330785E5">
            <wp:extent cx="5212080" cy="3948870"/>
            <wp:effectExtent l="0" t="0" r="762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extLst>
                        <a:ext uri="{BEBA8EAE-BF5A-486C-A8C5-ECC9F3942E4B}">
                          <a14:imgProps xmlns:a14="http://schemas.microsoft.com/office/drawing/2010/main">
                            <a14:imgLayer r:embed="rId70">
                              <a14:imgEffect>
                                <a14:sharpenSoften amount="75000"/>
                              </a14:imgEffect>
                            </a14:imgLayer>
                          </a14:imgProps>
                        </a:ext>
                      </a:extLst>
                    </a:blip>
                    <a:stretch>
                      <a:fillRect/>
                    </a:stretch>
                  </pic:blipFill>
                  <pic:spPr>
                    <a:xfrm>
                      <a:off x="0" y="0"/>
                      <a:ext cx="5212080" cy="3948870"/>
                    </a:xfrm>
                    <a:prstGeom prst="rect">
                      <a:avLst/>
                    </a:prstGeom>
                  </pic:spPr>
                </pic:pic>
              </a:graphicData>
            </a:graphic>
          </wp:inline>
        </w:drawing>
      </w:r>
    </w:p>
    <w:tbl>
      <w:tblPr>
        <w:tblW w:w="0" w:type="auto"/>
        <w:tblLook w:val="00A0" w:firstRow="1" w:lastRow="0" w:firstColumn="1" w:lastColumn="0" w:noHBand="0" w:noVBand="0"/>
      </w:tblPr>
      <w:tblGrid>
        <w:gridCol w:w="9360"/>
      </w:tblGrid>
      <w:tr w:rsidR="00A841C7" w:rsidRPr="00C1452A" w14:paraId="00FC7A11" w14:textId="77777777" w:rsidTr="00A841C7">
        <w:tc>
          <w:tcPr>
            <w:tcW w:w="9360" w:type="dxa"/>
            <w:shd w:val="clear" w:color="auto" w:fill="D9D9D9" w:themeFill="background1" w:themeFillShade="D9"/>
          </w:tcPr>
          <w:p w14:paraId="1D42B943" w14:textId="42A87390" w:rsidR="00A841C7" w:rsidRPr="006551FE" w:rsidRDefault="00A841C7" w:rsidP="00A841C7">
            <w:pPr>
              <w:keepNext/>
              <w:keepLines/>
              <w:spacing w:after="0" w:line="360" w:lineRule="auto"/>
              <w:rPr>
                <w:rFonts w:eastAsia="Times New Roman" w:cs="Calibri"/>
                <w:b/>
              </w:rPr>
            </w:pPr>
            <w:r w:rsidRPr="006551FE">
              <w:rPr>
                <w:rFonts w:eastAsia="Times New Roman" w:cs="Calibri"/>
                <w:b/>
              </w:rPr>
              <w:t>Recommendation</w:t>
            </w:r>
            <w:r w:rsidR="006551FE" w:rsidRPr="006551FE">
              <w:rPr>
                <w:rFonts w:eastAsia="Times New Roman" w:cs="Calibri"/>
                <w:b/>
              </w:rPr>
              <w:t>s</w:t>
            </w:r>
            <w:r w:rsidRPr="006551FE">
              <w:rPr>
                <w:rFonts w:eastAsia="Times New Roman" w:cs="Calibri"/>
                <w:b/>
              </w:rPr>
              <w:t>:</w:t>
            </w:r>
          </w:p>
          <w:p w14:paraId="23CA0E2B" w14:textId="77777777" w:rsidR="00A841C7" w:rsidRPr="006551FE" w:rsidRDefault="00A841C7" w:rsidP="007705AA">
            <w:pPr>
              <w:numPr>
                <w:ilvl w:val="0"/>
                <w:numId w:val="25"/>
              </w:numPr>
              <w:spacing w:after="120" w:line="240" w:lineRule="auto"/>
              <w:jc w:val="left"/>
              <w:rPr>
                <w:rFonts w:cs="Arial"/>
              </w:rPr>
            </w:pPr>
            <w:r w:rsidRPr="006551FE">
              <w:rPr>
                <w:rFonts w:cs="Calibri"/>
              </w:rPr>
              <w:t>Create a procedure for pre-incident plan development.</w:t>
            </w:r>
          </w:p>
          <w:p w14:paraId="198E3E65" w14:textId="77777777" w:rsidR="00A841C7" w:rsidRPr="006C16B9" w:rsidRDefault="00A841C7" w:rsidP="007705AA">
            <w:pPr>
              <w:numPr>
                <w:ilvl w:val="0"/>
                <w:numId w:val="25"/>
              </w:numPr>
              <w:spacing w:after="120" w:line="240" w:lineRule="auto"/>
              <w:jc w:val="left"/>
              <w:rPr>
                <w:rFonts w:asciiTheme="majorHAnsi" w:hAnsiTheme="majorHAnsi" w:cs="Arial"/>
              </w:rPr>
            </w:pPr>
            <w:r w:rsidRPr="006551FE">
              <w:rPr>
                <w:rFonts w:cs="Calibri"/>
              </w:rPr>
              <w:t>Set a goal and objectives for completion of pre-incident plans.</w:t>
            </w:r>
          </w:p>
        </w:tc>
      </w:tr>
    </w:tbl>
    <w:p w14:paraId="70E39BB0" w14:textId="77777777" w:rsidR="00A841C7" w:rsidRDefault="00A841C7" w:rsidP="00A841C7">
      <w:pPr>
        <w:pStyle w:val="ESCiNormalParagraphChar"/>
        <w:rPr>
          <w:lang w:eastAsia="en-US"/>
        </w:rPr>
      </w:pPr>
    </w:p>
    <w:p w14:paraId="66D8B402" w14:textId="77777777" w:rsidR="00A841C7" w:rsidRDefault="00A841C7" w:rsidP="00A841C7">
      <w:pPr>
        <w:pStyle w:val="Heading3"/>
        <w:rPr>
          <w:rFonts w:eastAsia="Times New Roman"/>
          <w:lang w:eastAsia="en-US"/>
        </w:rPr>
      </w:pPr>
      <w:bookmarkStart w:id="198" w:name="_Toc464323594"/>
      <w:r>
        <w:rPr>
          <w:rFonts w:eastAsia="Times New Roman"/>
          <w:lang w:eastAsia="en-US"/>
        </w:rPr>
        <w:t>Statistical Collection and A</w:t>
      </w:r>
      <w:r w:rsidRPr="000655B0">
        <w:rPr>
          <w:rFonts w:eastAsia="Times New Roman"/>
          <w:lang w:eastAsia="en-US"/>
        </w:rPr>
        <w:t>nalysis</w:t>
      </w:r>
      <w:bookmarkEnd w:id="198"/>
    </w:p>
    <w:p w14:paraId="227EACE3" w14:textId="77777777" w:rsidR="00A841C7" w:rsidRDefault="00A841C7" w:rsidP="00A841C7">
      <w:pPr>
        <w:pStyle w:val="ESCiNormalParagraphChar"/>
      </w:pPr>
      <w:r>
        <w:t>The U.S. Fire Administration states that, “A compelling reason for documenting fire and EMS incidents is a legal requirement.”</w:t>
      </w:r>
      <w:r>
        <w:rPr>
          <w:rStyle w:val="FootnoteReference"/>
        </w:rPr>
        <w:footnoteReference w:id="31"/>
      </w:r>
      <w:r>
        <w:t xml:space="preserve">  Insurance companies, victims, regulatory agencies, and others may require documentation of the facts surrounding an incident.  </w:t>
      </w:r>
    </w:p>
    <w:p w14:paraId="70BB331D" w14:textId="6190A7E8" w:rsidR="00A841C7" w:rsidRDefault="00A841C7" w:rsidP="00A841C7">
      <w:r>
        <w:t xml:space="preserve">Incident reports of fire response can yield a bevy of insight.  Proffering elementary data in fire department annual reports is common.  However, the details can be beneficial to fire departments by yielding information into </w:t>
      </w:r>
      <w:r w:rsidRPr="00DA7DD6">
        <w:t xml:space="preserve">the origin of fires, how people are </w:t>
      </w:r>
      <w:r>
        <w:t xml:space="preserve">being </w:t>
      </w:r>
      <w:r w:rsidRPr="00DA7DD6">
        <w:t xml:space="preserve">injured, </w:t>
      </w:r>
      <w:r w:rsidR="006551FE">
        <w:t xml:space="preserve">and </w:t>
      </w:r>
      <w:r w:rsidRPr="00DA7DD6">
        <w:t xml:space="preserve">the geographic locations where events are occurring </w:t>
      </w:r>
      <w:r>
        <w:t xml:space="preserve">in a jurisdiction, among other evidence.  </w:t>
      </w:r>
    </w:p>
    <w:p w14:paraId="58A4D7A5" w14:textId="72882500" w:rsidR="00A841C7" w:rsidRDefault="00A841C7" w:rsidP="00A841C7">
      <w:r>
        <w:t>PFD uses</w:t>
      </w:r>
      <w:r w:rsidRPr="00DA7DD6">
        <w:t xml:space="preserve"> Emergency Reporting System</w:t>
      </w:r>
      <w:r>
        <w:t xml:space="preserve"> as a</w:t>
      </w:r>
      <w:r w:rsidR="006551FE">
        <w:t>n RMS</w:t>
      </w:r>
      <w:r>
        <w:t xml:space="preserve"> for recording incident data.  Analysis of response data occurs in-house.  An annual report is prepared for </w:t>
      </w:r>
      <w:r w:rsidRPr="00DA7DD6">
        <w:t xml:space="preserve">the </w:t>
      </w:r>
      <w:r>
        <w:t xml:space="preserve">Pasco </w:t>
      </w:r>
      <w:r w:rsidRPr="00DA7DD6">
        <w:t xml:space="preserve">City Council.  </w:t>
      </w:r>
      <w:r>
        <w:t>Analysis</w:t>
      </w:r>
      <w:r w:rsidRPr="00DA7DD6">
        <w:t xml:space="preserve"> is typically done </w:t>
      </w:r>
      <w:r>
        <w:t>by the PFD staff for a three-</w:t>
      </w:r>
      <w:r w:rsidRPr="00DA7DD6">
        <w:t xml:space="preserve">year </w:t>
      </w:r>
      <w:r>
        <w:t xml:space="preserve">historical period (although PFD has the ability to search further) </w:t>
      </w:r>
      <w:r w:rsidRPr="00294586">
        <w:t xml:space="preserve">to </w:t>
      </w:r>
      <w:r>
        <w:t>identif</w:t>
      </w:r>
      <w:r w:rsidR="006551FE">
        <w:t xml:space="preserve">y trends or areas of concern.  </w:t>
      </w:r>
      <w:r>
        <w:t xml:space="preserve">PFD’s </w:t>
      </w:r>
      <w:r w:rsidRPr="00DA7DD6">
        <w:t xml:space="preserve">RMS has limited analytical capabilities and </w:t>
      </w:r>
      <w:r>
        <w:t>PFD makes use of it to the software’s ability</w:t>
      </w:r>
      <w:r w:rsidRPr="00DA7DD6">
        <w:t xml:space="preserve">.  Occasionally, </w:t>
      </w:r>
      <w:r>
        <w:t>PFD has used the services of an outside specialist to validate RMS data and to assist in identifying/validating</w:t>
      </w:r>
      <w:r w:rsidRPr="00DA7DD6">
        <w:t xml:space="preserve"> trends.</w:t>
      </w:r>
    </w:p>
    <w:p w14:paraId="46F1B560" w14:textId="65436965" w:rsidR="00A841C7" w:rsidRDefault="00A841C7" w:rsidP="00A841C7">
      <w:r>
        <w:t>The fire investigation team conducts informal analysis of fire investigation data</w:t>
      </w:r>
      <w:r w:rsidRPr="00B36102">
        <w:t xml:space="preserve">.  </w:t>
      </w:r>
      <w:r>
        <w:t>This analysis has proven effective.  On several occasions, this informal analysis has assisted the Pasco PD</w:t>
      </w:r>
      <w:r w:rsidR="006551FE">
        <w:t>,</w:t>
      </w:r>
      <w:r>
        <w:t xml:space="preserve"> including the investigation and prosecution of a nuisance </w:t>
      </w:r>
      <w:r w:rsidRPr="00B36102">
        <w:t xml:space="preserve">burner.  </w:t>
      </w:r>
      <w:r>
        <w:t xml:space="preserve">The fire </w:t>
      </w:r>
      <w:r w:rsidRPr="00B36102">
        <w:t xml:space="preserve">investigation program is relatively new to </w:t>
      </w:r>
      <w:r>
        <w:t>PFD</w:t>
      </w:r>
      <w:r w:rsidRPr="00B36102">
        <w:t xml:space="preserve">, and they are working </w:t>
      </w:r>
      <w:r>
        <w:t>to</w:t>
      </w:r>
      <w:r w:rsidRPr="00B36102">
        <w:t xml:space="preserve"> formal</w:t>
      </w:r>
      <w:r>
        <w:t>ize</w:t>
      </w:r>
      <w:r w:rsidRPr="00B36102">
        <w:t xml:space="preserve"> the data analysis process.</w:t>
      </w:r>
    </w:p>
    <w:tbl>
      <w:tblPr>
        <w:tblW w:w="0" w:type="auto"/>
        <w:tblLook w:val="00A0" w:firstRow="1" w:lastRow="0" w:firstColumn="1" w:lastColumn="0" w:noHBand="0" w:noVBand="0"/>
      </w:tblPr>
      <w:tblGrid>
        <w:gridCol w:w="9360"/>
      </w:tblGrid>
      <w:tr w:rsidR="00A841C7" w:rsidRPr="00C1452A" w14:paraId="1A85775A" w14:textId="77777777" w:rsidTr="00A841C7">
        <w:tc>
          <w:tcPr>
            <w:tcW w:w="9360" w:type="dxa"/>
            <w:shd w:val="clear" w:color="auto" w:fill="D9D9D9" w:themeFill="background1" w:themeFillShade="D9"/>
          </w:tcPr>
          <w:p w14:paraId="41C7F4F3" w14:textId="77777777" w:rsidR="00A841C7" w:rsidRPr="006551FE" w:rsidRDefault="00A841C7" w:rsidP="00A841C7">
            <w:pPr>
              <w:keepNext/>
              <w:keepLines/>
              <w:spacing w:after="0" w:line="360" w:lineRule="auto"/>
              <w:rPr>
                <w:rFonts w:eastAsia="Times New Roman" w:cs="Calibri"/>
                <w:b/>
              </w:rPr>
            </w:pPr>
            <w:r w:rsidRPr="006551FE">
              <w:rPr>
                <w:rFonts w:eastAsia="Times New Roman" w:cs="Calibri"/>
                <w:b/>
              </w:rPr>
              <w:t>Recommendation:</w:t>
            </w:r>
          </w:p>
          <w:p w14:paraId="2F0CD649" w14:textId="77777777" w:rsidR="00A841C7" w:rsidRPr="006C16B9" w:rsidRDefault="00A841C7" w:rsidP="007705AA">
            <w:pPr>
              <w:numPr>
                <w:ilvl w:val="0"/>
                <w:numId w:val="25"/>
              </w:numPr>
              <w:spacing w:after="200" w:line="360" w:lineRule="auto"/>
              <w:jc w:val="left"/>
              <w:rPr>
                <w:rFonts w:asciiTheme="majorHAnsi" w:hAnsiTheme="majorHAnsi" w:cs="Arial"/>
              </w:rPr>
            </w:pPr>
            <w:r w:rsidRPr="006551FE">
              <w:rPr>
                <w:rFonts w:cs="Calibri"/>
              </w:rPr>
              <w:t>Complete formalization of the fire investigation and incident analysis process.</w:t>
            </w:r>
          </w:p>
        </w:tc>
      </w:tr>
    </w:tbl>
    <w:p w14:paraId="0D408074" w14:textId="77777777" w:rsidR="00A841C7" w:rsidRDefault="00A841C7" w:rsidP="006551FE">
      <w:pPr>
        <w:spacing w:after="0"/>
      </w:pPr>
    </w:p>
    <w:p w14:paraId="7E8CA3ED" w14:textId="756C44F4" w:rsidR="00A841C7" w:rsidRPr="00FD59E0" w:rsidRDefault="00A841C7" w:rsidP="00A841C7">
      <w:pPr>
        <w:spacing w:after="200"/>
        <w:rPr>
          <w:rFonts w:eastAsia="Cambria" w:cs="Calibri"/>
        </w:rPr>
      </w:pPr>
      <w:r>
        <w:t>Similar to plans review, fire and life safety inspections, fire cause determination, and analysis, PFD and the City have made constructive strides by dedicating personnel resources to their public education program.  The next step is to draft procedures and policies outlining how information and data from each program area is captured, analyzed</w:t>
      </w:r>
      <w:r w:rsidR="006551FE">
        <w:t>,</w:t>
      </w:r>
      <w:r>
        <w:t xml:space="preserve"> and reported.</w:t>
      </w:r>
    </w:p>
    <w:bookmarkEnd w:id="173"/>
    <w:p w14:paraId="48FC6589" w14:textId="77777777" w:rsidR="002461E7" w:rsidRDefault="002461E7" w:rsidP="00A841C7">
      <w:pPr>
        <w:spacing w:after="200"/>
        <w:jc w:val="left"/>
        <w:rPr>
          <w:rFonts w:eastAsiaTheme="majorEastAsia" w:cs="Calibri"/>
          <w:bCs/>
          <w:caps/>
          <w:color w:val="808080" w:themeColor="background1" w:themeShade="80"/>
          <w:sz w:val="24"/>
          <w:szCs w:val="26"/>
        </w:rPr>
      </w:pPr>
      <w:r>
        <w:rPr>
          <w:rFonts w:cs="Calibri"/>
        </w:rPr>
        <w:br w:type="page"/>
      </w:r>
    </w:p>
    <w:p w14:paraId="15D0129D" w14:textId="77777777" w:rsidR="00817349" w:rsidRPr="00817349" w:rsidRDefault="00817349" w:rsidP="00817349">
      <w:pPr>
        <w:pStyle w:val="Heading2"/>
        <w:rPr>
          <w:rFonts w:cs="Calibri"/>
        </w:rPr>
      </w:pPr>
      <w:bookmarkStart w:id="199" w:name="_Toc464323595"/>
      <w:r w:rsidRPr="00817349">
        <w:rPr>
          <w:rFonts w:cs="Calibri"/>
        </w:rPr>
        <w:t>Fire Department Planning</w:t>
      </w:r>
      <w:bookmarkEnd w:id="199"/>
    </w:p>
    <w:p w14:paraId="568C22FE" w14:textId="1D4C73E8" w:rsidR="00140AB4" w:rsidRDefault="00140AB4" w:rsidP="00140AB4">
      <w:pPr>
        <w:rPr>
          <w:lang w:eastAsia="en-US"/>
        </w:rPr>
      </w:pPr>
      <w:r>
        <w:rPr>
          <w:lang w:eastAsia="en-US"/>
        </w:rPr>
        <w:t>The fire service nationally creates and gathers large volumes of data in the performance of their duties, both from their emergency response activities and in preparation for and anticipation of large</w:t>
      </w:r>
      <w:r w:rsidR="001A2ADD">
        <w:rPr>
          <w:lang w:eastAsia="en-US"/>
        </w:rPr>
        <w:t>-</w:t>
      </w:r>
      <w:r>
        <w:rPr>
          <w:lang w:eastAsia="en-US"/>
        </w:rPr>
        <w:t xml:space="preserve">scale disasters.  However, many of these same organizations do not analyze the data sufficiently to evaluate effectiveness and adjust as necessary to become more effective or efficient. The Pasco Fire Department is an exception to this unfortunate trend.  While there are areas for improvement, PFD does quite a lot, </w:t>
      </w:r>
      <w:r w:rsidR="002A72C1">
        <w:rPr>
          <w:lang w:eastAsia="en-US"/>
        </w:rPr>
        <w:t>given the resource constraints it faces</w:t>
      </w:r>
      <w:r>
        <w:rPr>
          <w:lang w:eastAsia="en-US"/>
        </w:rPr>
        <w:t>.</w:t>
      </w:r>
    </w:p>
    <w:p w14:paraId="31D52A2B" w14:textId="4C399BF0" w:rsidR="004D3AE5" w:rsidRDefault="004D3AE5" w:rsidP="00140AB4">
      <w:pPr>
        <w:rPr>
          <w:lang w:eastAsia="en-US"/>
        </w:rPr>
      </w:pPr>
      <w:r>
        <w:rPr>
          <w:lang w:eastAsia="en-US"/>
        </w:rPr>
        <w:t>There are two major types of planning fire departments should employ: emergency pre</w:t>
      </w:r>
      <w:r w:rsidR="001A2ADD">
        <w:rPr>
          <w:lang w:eastAsia="en-US"/>
        </w:rPr>
        <w:t>paredness and response planning</w:t>
      </w:r>
      <w:r>
        <w:rPr>
          <w:lang w:eastAsia="en-US"/>
        </w:rPr>
        <w:t xml:space="preserve"> and administrative planning for the future of the organization. Each of these are described </w:t>
      </w:r>
      <w:r w:rsidR="001A2ADD">
        <w:rPr>
          <w:lang w:eastAsia="en-US"/>
        </w:rPr>
        <w:t>in the following pages</w:t>
      </w:r>
      <w:r>
        <w:rPr>
          <w:lang w:eastAsia="en-US"/>
        </w:rPr>
        <w:t>, as well as how PFD fares in these major categories.</w:t>
      </w:r>
    </w:p>
    <w:p w14:paraId="2DE3A316" w14:textId="2B5E5329" w:rsidR="004D3AE5" w:rsidRDefault="004D3AE5" w:rsidP="004D3AE5">
      <w:pPr>
        <w:pStyle w:val="Heading3"/>
        <w:rPr>
          <w:lang w:eastAsia="en-US"/>
        </w:rPr>
      </w:pPr>
      <w:bookmarkStart w:id="200" w:name="_Toc464323596"/>
      <w:r>
        <w:rPr>
          <w:lang w:eastAsia="en-US"/>
        </w:rPr>
        <w:t>E</w:t>
      </w:r>
      <w:r w:rsidRPr="004D3AE5">
        <w:rPr>
          <w:lang w:eastAsia="en-US"/>
        </w:rPr>
        <w:t xml:space="preserve">mergency </w:t>
      </w:r>
      <w:r>
        <w:rPr>
          <w:lang w:eastAsia="en-US"/>
        </w:rPr>
        <w:t>P</w:t>
      </w:r>
      <w:r w:rsidRPr="004D3AE5">
        <w:rPr>
          <w:lang w:eastAsia="en-US"/>
        </w:rPr>
        <w:t xml:space="preserve">reparedness </w:t>
      </w:r>
      <w:r>
        <w:rPr>
          <w:lang w:eastAsia="en-US"/>
        </w:rPr>
        <w:t>&amp;</w:t>
      </w:r>
      <w:r w:rsidRPr="004D3AE5">
        <w:rPr>
          <w:lang w:eastAsia="en-US"/>
        </w:rPr>
        <w:t xml:space="preserve"> </w:t>
      </w:r>
      <w:r>
        <w:rPr>
          <w:lang w:eastAsia="en-US"/>
        </w:rPr>
        <w:t>R</w:t>
      </w:r>
      <w:r w:rsidRPr="004D3AE5">
        <w:rPr>
          <w:lang w:eastAsia="en-US"/>
        </w:rPr>
        <w:t xml:space="preserve">esponse </w:t>
      </w:r>
      <w:r>
        <w:rPr>
          <w:lang w:eastAsia="en-US"/>
        </w:rPr>
        <w:t>P</w:t>
      </w:r>
      <w:r w:rsidRPr="004D3AE5">
        <w:rPr>
          <w:lang w:eastAsia="en-US"/>
        </w:rPr>
        <w:t>lanning</w:t>
      </w:r>
      <w:bookmarkEnd w:id="200"/>
    </w:p>
    <w:p w14:paraId="5CA90C42" w14:textId="2B1D5236" w:rsidR="004D3AE5" w:rsidRDefault="004D3AE5" w:rsidP="004D3AE5">
      <w:pPr>
        <w:rPr>
          <w:lang w:eastAsia="en-US"/>
        </w:rPr>
      </w:pPr>
      <w:r>
        <w:rPr>
          <w:lang w:eastAsia="en-US"/>
        </w:rPr>
        <w:t>As emergency r</w:t>
      </w:r>
      <w:r w:rsidR="001A2ADD">
        <w:rPr>
          <w:lang w:eastAsia="en-US"/>
        </w:rPr>
        <w:t>esponse agencies, fire department</w:t>
      </w:r>
      <w:r>
        <w:rPr>
          <w:lang w:eastAsia="en-US"/>
        </w:rPr>
        <w:t>s must thoroughly understand their community risks.  These risks must be quantified</w:t>
      </w:r>
      <w:r w:rsidR="00E7724E">
        <w:rPr>
          <w:lang w:eastAsia="en-US"/>
        </w:rPr>
        <w:t>.  There are numerous risk/consequence or risk/probability matrices available</w:t>
      </w:r>
      <w:r w:rsidR="00106145">
        <w:rPr>
          <w:lang w:eastAsia="en-US"/>
        </w:rPr>
        <w:t>;</w:t>
      </w:r>
      <w:r>
        <w:rPr>
          <w:lang w:eastAsia="en-US"/>
        </w:rPr>
        <w:t xml:space="preserve"> </w:t>
      </w:r>
      <w:r w:rsidR="00E7724E">
        <w:rPr>
          <w:lang w:eastAsia="en-US"/>
        </w:rPr>
        <w:t xml:space="preserve">but regardless of the labels on the axes, they </w:t>
      </w:r>
      <w:r>
        <w:rPr>
          <w:lang w:eastAsia="en-US"/>
        </w:rPr>
        <w:t xml:space="preserve">usually </w:t>
      </w:r>
      <w:r w:rsidR="00E7724E">
        <w:rPr>
          <w:lang w:eastAsia="en-US"/>
        </w:rPr>
        <w:t xml:space="preserve">fall </w:t>
      </w:r>
      <w:r>
        <w:rPr>
          <w:lang w:eastAsia="en-US"/>
        </w:rPr>
        <w:t>in</w:t>
      </w:r>
      <w:r w:rsidR="00E7724E">
        <w:rPr>
          <w:lang w:eastAsia="en-US"/>
        </w:rPr>
        <w:t>to</w:t>
      </w:r>
      <w:r>
        <w:rPr>
          <w:lang w:eastAsia="en-US"/>
        </w:rPr>
        <w:t xml:space="preserve"> one of the </w:t>
      </w:r>
      <w:r w:rsidR="00E7724E">
        <w:rPr>
          <w:lang w:eastAsia="en-US"/>
        </w:rPr>
        <w:t>quadrants</w:t>
      </w:r>
      <w:r w:rsidR="00CC6CA3">
        <w:rPr>
          <w:lang w:eastAsia="en-US"/>
        </w:rPr>
        <w:t xml:space="preserve"> in the following figure.</w:t>
      </w:r>
    </w:p>
    <w:p w14:paraId="5A147516" w14:textId="1EC46ADC" w:rsidR="003640F7" w:rsidRDefault="003640F7" w:rsidP="009F6573">
      <w:pPr>
        <w:pStyle w:val="Caption"/>
      </w:pPr>
      <w:bookmarkStart w:id="201" w:name="_Toc464323690"/>
      <w:r>
        <w:t xml:space="preserve">Figure </w:t>
      </w:r>
      <w:r w:rsidR="00432AD4">
        <w:fldChar w:fldCharType="begin"/>
      </w:r>
      <w:r w:rsidR="00432AD4">
        <w:instrText xml:space="preserve"> SEQ Figure \* ARABIC </w:instrText>
      </w:r>
      <w:r w:rsidR="00432AD4">
        <w:fldChar w:fldCharType="separate"/>
      </w:r>
      <w:r w:rsidR="008209A2">
        <w:rPr>
          <w:noProof/>
        </w:rPr>
        <w:t>48</w:t>
      </w:r>
      <w:r w:rsidR="00432AD4">
        <w:rPr>
          <w:noProof/>
        </w:rPr>
        <w:fldChar w:fldCharType="end"/>
      </w:r>
      <w:r>
        <w:t>: Risk/Probability Matrix</w:t>
      </w:r>
      <w:r>
        <w:rPr>
          <w:rStyle w:val="FootnoteReference"/>
        </w:rPr>
        <w:footnoteReference w:id="32"/>
      </w:r>
      <w:bookmarkEnd w:id="201"/>
    </w:p>
    <w:p w14:paraId="596C7E26" w14:textId="47E69A97" w:rsidR="004D3AE5" w:rsidRDefault="00A96430" w:rsidP="00A96430">
      <w:pPr>
        <w:jc w:val="center"/>
        <w:rPr>
          <w:lang w:eastAsia="en-US"/>
        </w:rPr>
      </w:pPr>
      <w:r w:rsidRPr="00A96430">
        <w:rPr>
          <w:noProof/>
          <w:lang w:eastAsia="en-US"/>
        </w:rPr>
        <w:drawing>
          <wp:inline distT="0" distB="0" distL="0" distR="0" wp14:anchorId="4345181A" wp14:editId="065CCB87">
            <wp:extent cx="2852462" cy="2713634"/>
            <wp:effectExtent l="0" t="0" r="508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859615" cy="2720439"/>
                    </a:xfrm>
                    <a:prstGeom prst="rect">
                      <a:avLst/>
                    </a:prstGeom>
                    <a:noFill/>
                    <a:ln>
                      <a:noFill/>
                    </a:ln>
                  </pic:spPr>
                </pic:pic>
              </a:graphicData>
            </a:graphic>
          </wp:inline>
        </w:drawing>
      </w:r>
    </w:p>
    <w:p w14:paraId="42DEDFFE" w14:textId="4B6F2858" w:rsidR="00E7724E" w:rsidRDefault="00E7724E" w:rsidP="00106145">
      <w:pPr>
        <w:spacing w:after="0"/>
        <w:rPr>
          <w:lang w:eastAsia="en-US"/>
        </w:rPr>
      </w:pPr>
      <w:r>
        <w:rPr>
          <w:lang w:eastAsia="en-US"/>
        </w:rPr>
        <w:t xml:space="preserve">As the risk is quantified generally into one of the four quadrants, a decision is made based on the level of risk.  </w:t>
      </w:r>
      <w:r w:rsidR="00CC6CA3">
        <w:rPr>
          <w:lang w:eastAsia="en-US"/>
        </w:rPr>
        <w:t>Communities cannot create a zero chance of a risk, which would indicate there is no risk. Likewise, there cannot be 100</w:t>
      </w:r>
      <w:r w:rsidR="00106145">
        <w:rPr>
          <w:lang w:eastAsia="en-US"/>
        </w:rPr>
        <w:t xml:space="preserve"> percent</w:t>
      </w:r>
      <w:r w:rsidR="00CC6CA3">
        <w:rPr>
          <w:lang w:eastAsia="en-US"/>
        </w:rPr>
        <w:t xml:space="preserve"> chance of a risk, since that would </w:t>
      </w:r>
      <w:r w:rsidR="00CC6CA3" w:rsidRPr="00CC6CA3">
        <w:rPr>
          <w:lang w:eastAsia="en-US"/>
        </w:rPr>
        <w:t xml:space="preserve">make it a certainty, not a risk.  </w:t>
      </w:r>
      <w:r w:rsidR="00CC6CA3">
        <w:rPr>
          <w:lang w:eastAsia="en-US"/>
        </w:rPr>
        <w:t>Every community must come to grips with an acceptable level of risk, recognizing that it is improbable, impractical</w:t>
      </w:r>
      <w:r w:rsidR="00106145">
        <w:rPr>
          <w:lang w:eastAsia="en-US"/>
        </w:rPr>
        <w:t>,</w:t>
      </w:r>
      <w:r w:rsidR="00CC6CA3">
        <w:rPr>
          <w:lang w:eastAsia="en-US"/>
        </w:rPr>
        <w:t xml:space="preserve"> and unaffordable to eliminate risk in a community.  Using </w:t>
      </w:r>
      <w:r w:rsidR="00BC74D0">
        <w:rPr>
          <w:lang w:eastAsia="en-US"/>
        </w:rPr>
        <w:t xml:space="preserve">a matrix </w:t>
      </w:r>
      <w:r w:rsidR="00CC6CA3">
        <w:rPr>
          <w:lang w:eastAsia="en-US"/>
        </w:rPr>
        <w:t xml:space="preserve">helps </w:t>
      </w:r>
      <w:r w:rsidR="00BC74D0">
        <w:rPr>
          <w:lang w:eastAsia="en-US"/>
        </w:rPr>
        <w:t xml:space="preserve">fire department </w:t>
      </w:r>
      <w:r w:rsidR="00CC6CA3">
        <w:rPr>
          <w:lang w:eastAsia="en-US"/>
        </w:rPr>
        <w:t>officials determine approximately where the line is</w:t>
      </w:r>
      <w:r w:rsidR="00BC74D0">
        <w:rPr>
          <w:lang w:eastAsia="en-US"/>
        </w:rPr>
        <w:t xml:space="preserve"> between an acceptable and unacceptable risk.  It is important to note that for the individuals directly involved in an incident, it is never considered an acceptable risk. </w:t>
      </w:r>
      <w:r>
        <w:rPr>
          <w:lang w:eastAsia="en-US"/>
        </w:rPr>
        <w:t>The</w:t>
      </w:r>
      <w:r w:rsidR="00BC74D0">
        <w:rPr>
          <w:lang w:eastAsia="en-US"/>
        </w:rPr>
        <w:t xml:space="preserve"> quadrants</w:t>
      </w:r>
      <w:r>
        <w:rPr>
          <w:lang w:eastAsia="en-US"/>
        </w:rPr>
        <w:t xml:space="preserve"> </w:t>
      </w:r>
      <w:r w:rsidR="00BC74D0">
        <w:rPr>
          <w:lang w:eastAsia="en-US"/>
        </w:rPr>
        <w:t xml:space="preserve">in the previous figure </w:t>
      </w:r>
      <w:r>
        <w:rPr>
          <w:lang w:eastAsia="en-US"/>
        </w:rPr>
        <w:t xml:space="preserve">may be </w:t>
      </w:r>
      <w:r w:rsidR="00BC74D0">
        <w:rPr>
          <w:lang w:eastAsia="en-US"/>
        </w:rPr>
        <w:t xml:space="preserve">defined </w:t>
      </w:r>
      <w:r>
        <w:rPr>
          <w:lang w:eastAsia="en-US"/>
        </w:rPr>
        <w:t>as follows.</w:t>
      </w:r>
    </w:p>
    <w:p w14:paraId="3D0160E4" w14:textId="72C89780" w:rsidR="00A96430" w:rsidRDefault="00A96430" w:rsidP="00106145">
      <w:pPr>
        <w:pStyle w:val="ListParagraph"/>
        <w:numPr>
          <w:ilvl w:val="0"/>
          <w:numId w:val="25"/>
        </w:numPr>
        <w:spacing w:after="120" w:line="240" w:lineRule="auto"/>
        <w:contextualSpacing w:val="0"/>
        <w:rPr>
          <w:lang w:eastAsia="en-US"/>
        </w:rPr>
      </w:pPr>
      <w:r>
        <w:rPr>
          <w:lang w:eastAsia="en-US"/>
        </w:rPr>
        <w:t xml:space="preserve">Low impact/low probability – Risks in the bottom left corner are low level, </w:t>
      </w:r>
      <w:r w:rsidR="00CC6CA3">
        <w:rPr>
          <w:lang w:eastAsia="en-US"/>
        </w:rPr>
        <w:t xml:space="preserve">with acceptable consequences if the incident occurs. These </w:t>
      </w:r>
      <w:r>
        <w:rPr>
          <w:lang w:eastAsia="en-US"/>
        </w:rPr>
        <w:t xml:space="preserve">can often </w:t>
      </w:r>
      <w:r w:rsidR="00CC6CA3">
        <w:rPr>
          <w:lang w:eastAsia="en-US"/>
        </w:rPr>
        <w:t>be considered an acceptable risk</w:t>
      </w:r>
      <w:r w:rsidR="00BC74D0">
        <w:rPr>
          <w:lang w:eastAsia="en-US"/>
        </w:rPr>
        <w:t xml:space="preserve"> and require no further action</w:t>
      </w:r>
      <w:r w:rsidR="00CC6CA3">
        <w:rPr>
          <w:lang w:eastAsia="en-US"/>
        </w:rPr>
        <w:t>.</w:t>
      </w:r>
    </w:p>
    <w:p w14:paraId="78EECD49" w14:textId="60181562" w:rsidR="00A96430" w:rsidRDefault="00A96430" w:rsidP="00106145">
      <w:pPr>
        <w:pStyle w:val="ListParagraph"/>
        <w:numPr>
          <w:ilvl w:val="0"/>
          <w:numId w:val="25"/>
        </w:numPr>
        <w:spacing w:after="120" w:line="240" w:lineRule="auto"/>
        <w:contextualSpacing w:val="0"/>
        <w:rPr>
          <w:lang w:eastAsia="en-US"/>
        </w:rPr>
      </w:pPr>
      <w:r>
        <w:rPr>
          <w:lang w:eastAsia="en-US"/>
        </w:rPr>
        <w:t>Low impact/high probability – Risks</w:t>
      </w:r>
      <w:r w:rsidR="00BC74D0">
        <w:rPr>
          <w:lang w:eastAsia="en-US"/>
        </w:rPr>
        <w:t xml:space="preserve"> in the top left corner are m</w:t>
      </w:r>
      <w:r>
        <w:rPr>
          <w:lang w:eastAsia="en-US"/>
        </w:rPr>
        <w:t xml:space="preserve">oderate </w:t>
      </w:r>
      <w:r w:rsidR="00BC74D0">
        <w:rPr>
          <w:lang w:eastAsia="en-US"/>
        </w:rPr>
        <w:t>level</w:t>
      </w:r>
      <w:r>
        <w:rPr>
          <w:lang w:eastAsia="en-US"/>
        </w:rPr>
        <w:t xml:space="preserve"> – if the </w:t>
      </w:r>
      <w:r w:rsidR="00BC74D0">
        <w:rPr>
          <w:lang w:eastAsia="en-US"/>
        </w:rPr>
        <w:t>incident</w:t>
      </w:r>
      <w:r>
        <w:rPr>
          <w:lang w:eastAsia="en-US"/>
        </w:rPr>
        <w:t xml:space="preserve"> happen</w:t>
      </w:r>
      <w:r w:rsidR="00BC74D0">
        <w:rPr>
          <w:lang w:eastAsia="en-US"/>
        </w:rPr>
        <w:t>s</w:t>
      </w:r>
      <w:r>
        <w:rPr>
          <w:lang w:eastAsia="en-US"/>
        </w:rPr>
        <w:t xml:space="preserve">, </w:t>
      </w:r>
      <w:r w:rsidR="00BC74D0">
        <w:rPr>
          <w:lang w:eastAsia="en-US"/>
        </w:rPr>
        <w:t>the fire department</w:t>
      </w:r>
      <w:r>
        <w:rPr>
          <w:lang w:eastAsia="en-US"/>
        </w:rPr>
        <w:t xml:space="preserve"> can </w:t>
      </w:r>
      <w:r w:rsidR="00BC74D0">
        <w:rPr>
          <w:lang w:eastAsia="en-US"/>
        </w:rPr>
        <w:t>usually handle it with existing resources</w:t>
      </w:r>
      <w:r>
        <w:rPr>
          <w:lang w:eastAsia="en-US"/>
        </w:rPr>
        <w:t xml:space="preserve">. However, </w:t>
      </w:r>
      <w:r w:rsidR="00BC74D0">
        <w:rPr>
          <w:lang w:eastAsia="en-US"/>
        </w:rPr>
        <w:t xml:space="preserve">effort should be given to </w:t>
      </w:r>
      <w:r>
        <w:rPr>
          <w:lang w:eastAsia="en-US"/>
        </w:rPr>
        <w:t>reduce the likelihood that the</w:t>
      </w:r>
      <w:r w:rsidR="00BC74D0">
        <w:rPr>
          <w:lang w:eastAsia="en-US"/>
        </w:rPr>
        <w:t>se incidents</w:t>
      </w:r>
      <w:r>
        <w:rPr>
          <w:lang w:eastAsia="en-US"/>
        </w:rPr>
        <w:t xml:space="preserve"> occur.</w:t>
      </w:r>
      <w:r w:rsidR="00BC74D0">
        <w:rPr>
          <w:lang w:eastAsia="en-US"/>
        </w:rPr>
        <w:t xml:space="preserve">  This is where </w:t>
      </w:r>
      <w:r w:rsidR="00106145">
        <w:rPr>
          <w:lang w:eastAsia="en-US"/>
        </w:rPr>
        <w:t>community risk reductio</w:t>
      </w:r>
      <w:r w:rsidR="00BC74D0">
        <w:rPr>
          <w:lang w:eastAsia="en-US"/>
        </w:rPr>
        <w:t>n strategies pay significant dividends to a community.</w:t>
      </w:r>
    </w:p>
    <w:p w14:paraId="7C466E24" w14:textId="08311FB3" w:rsidR="00A96430" w:rsidRDefault="00E7724E" w:rsidP="00106145">
      <w:pPr>
        <w:pStyle w:val="ListParagraph"/>
        <w:numPr>
          <w:ilvl w:val="0"/>
          <w:numId w:val="25"/>
        </w:numPr>
        <w:spacing w:after="120" w:line="240" w:lineRule="auto"/>
        <w:contextualSpacing w:val="0"/>
        <w:rPr>
          <w:lang w:eastAsia="en-US"/>
        </w:rPr>
      </w:pPr>
      <w:r>
        <w:rPr>
          <w:lang w:eastAsia="en-US"/>
        </w:rPr>
        <w:t>H</w:t>
      </w:r>
      <w:r w:rsidR="00A96430">
        <w:rPr>
          <w:lang w:eastAsia="en-US"/>
        </w:rPr>
        <w:t xml:space="preserve">igh impact/low probability – Risks in the bottom right corner are high </w:t>
      </w:r>
      <w:r w:rsidR="00BC74D0">
        <w:rPr>
          <w:lang w:eastAsia="en-US"/>
        </w:rPr>
        <w:t>level</w:t>
      </w:r>
      <w:r w:rsidR="00A96430">
        <w:rPr>
          <w:lang w:eastAsia="en-US"/>
        </w:rPr>
        <w:t xml:space="preserve"> if they do occur, but they</w:t>
      </w:r>
      <w:r w:rsidR="00106145">
        <w:rPr>
          <w:lang w:eastAsia="en-US"/>
        </w:rPr>
        <w:t xml:space="preserve"> are</w:t>
      </w:r>
      <w:r w:rsidR="00A96430">
        <w:rPr>
          <w:lang w:eastAsia="en-US"/>
        </w:rPr>
        <w:t xml:space="preserve"> very unlikely to happen. </w:t>
      </w:r>
      <w:r w:rsidR="00BC74D0">
        <w:rPr>
          <w:lang w:eastAsia="en-US"/>
        </w:rPr>
        <w:t>Risks in this quadrant are prime candidates for training and contingency planning</w:t>
      </w:r>
      <w:r w:rsidR="00365F60">
        <w:rPr>
          <w:lang w:eastAsia="en-US"/>
        </w:rPr>
        <w:t>.  A fire department may spend time and energy preparing for such an incident and may even acquire specialized equipment and other non-staff resources to prepare for this risk.</w:t>
      </w:r>
      <w:r w:rsidR="00BC74D0">
        <w:rPr>
          <w:lang w:eastAsia="en-US"/>
        </w:rPr>
        <w:t xml:space="preserve"> </w:t>
      </w:r>
      <w:r w:rsidR="00365F60">
        <w:rPr>
          <w:lang w:eastAsia="en-US"/>
        </w:rPr>
        <w:t xml:space="preserve">These risks also lend themselves well to </w:t>
      </w:r>
      <w:r w:rsidR="00106145">
        <w:rPr>
          <w:lang w:eastAsia="en-US"/>
        </w:rPr>
        <w:t>community risk red</w:t>
      </w:r>
      <w:r w:rsidR="00365F60">
        <w:rPr>
          <w:lang w:eastAsia="en-US"/>
        </w:rPr>
        <w:t xml:space="preserve">uction strategies, such as public education, community engagement, and code enforcement. </w:t>
      </w:r>
    </w:p>
    <w:p w14:paraId="74C57BFA" w14:textId="7F14CA59" w:rsidR="00A96430" w:rsidRDefault="00A96430" w:rsidP="00106145">
      <w:pPr>
        <w:pStyle w:val="ListParagraph"/>
        <w:numPr>
          <w:ilvl w:val="0"/>
          <w:numId w:val="25"/>
        </w:numPr>
        <w:spacing w:line="240" w:lineRule="auto"/>
        <w:contextualSpacing w:val="0"/>
        <w:rPr>
          <w:lang w:eastAsia="en-US"/>
        </w:rPr>
      </w:pPr>
      <w:r>
        <w:rPr>
          <w:lang w:eastAsia="en-US"/>
        </w:rPr>
        <w:t>High impact/</w:t>
      </w:r>
      <w:r w:rsidR="00365F60">
        <w:rPr>
          <w:lang w:eastAsia="en-US"/>
        </w:rPr>
        <w:t>high probability – Risks toward</w:t>
      </w:r>
      <w:r>
        <w:rPr>
          <w:lang w:eastAsia="en-US"/>
        </w:rPr>
        <w:t xml:space="preserve"> the top right corner are critical</w:t>
      </w:r>
      <w:r w:rsidR="00365F60">
        <w:rPr>
          <w:lang w:eastAsia="en-US"/>
        </w:rPr>
        <w:t>.</w:t>
      </w:r>
      <w:r>
        <w:rPr>
          <w:lang w:eastAsia="en-US"/>
        </w:rPr>
        <w:t xml:space="preserve"> These </w:t>
      </w:r>
      <w:r w:rsidR="00365F60">
        <w:rPr>
          <w:lang w:eastAsia="en-US"/>
        </w:rPr>
        <w:t>should be the highest</w:t>
      </w:r>
      <w:r>
        <w:rPr>
          <w:lang w:eastAsia="en-US"/>
        </w:rPr>
        <w:t xml:space="preserve"> priorities</w:t>
      </w:r>
      <w:r w:rsidR="00365F60">
        <w:rPr>
          <w:lang w:eastAsia="en-US"/>
        </w:rPr>
        <w:t xml:space="preserve"> for the fire department and for the community.  Aggressive action is required</w:t>
      </w:r>
      <w:r>
        <w:rPr>
          <w:lang w:eastAsia="en-US"/>
        </w:rPr>
        <w:t>,</w:t>
      </w:r>
      <w:r w:rsidR="00365F60">
        <w:rPr>
          <w:lang w:eastAsia="en-US"/>
        </w:rPr>
        <w:t xml:space="preserve"> such as staffing for these risks, equipping for these risks, and engaging the community in risk reduction</w:t>
      </w:r>
      <w:r>
        <w:rPr>
          <w:lang w:eastAsia="en-US"/>
        </w:rPr>
        <w:t xml:space="preserve"> and </w:t>
      </w:r>
      <w:r w:rsidR="00365F60">
        <w:rPr>
          <w:lang w:eastAsia="en-US"/>
        </w:rPr>
        <w:t>preparedness</w:t>
      </w:r>
      <w:r>
        <w:rPr>
          <w:lang w:eastAsia="en-US"/>
        </w:rPr>
        <w:t>.</w:t>
      </w:r>
    </w:p>
    <w:p w14:paraId="65F30E8B" w14:textId="1605836B" w:rsidR="00F258B6" w:rsidRDefault="00365F60" w:rsidP="006B7749">
      <w:pPr>
        <w:rPr>
          <w:lang w:eastAsia="en-US"/>
        </w:rPr>
      </w:pPr>
      <w:r>
        <w:rPr>
          <w:lang w:eastAsia="en-US"/>
        </w:rPr>
        <w:t>Once the community risks are identified and appropriately categorized, plans of action are developed consistent with their category. In many instances, high</w:t>
      </w:r>
      <w:r w:rsidR="00106145">
        <w:rPr>
          <w:lang w:eastAsia="en-US"/>
        </w:rPr>
        <w:t>-</w:t>
      </w:r>
      <w:r>
        <w:rPr>
          <w:lang w:eastAsia="en-US"/>
        </w:rPr>
        <w:t xml:space="preserve">risk facilities are preplanned in the event of </w:t>
      </w:r>
      <w:r w:rsidR="006B7749">
        <w:rPr>
          <w:lang w:eastAsia="en-US"/>
        </w:rPr>
        <w:t>an incident occurring there.  Fire personnel become very familiar with these facilities, understanding what risks each of these facilities poses</w:t>
      </w:r>
      <w:r w:rsidR="00106145">
        <w:rPr>
          <w:lang w:eastAsia="en-US"/>
        </w:rPr>
        <w:t xml:space="preserve"> and</w:t>
      </w:r>
      <w:r w:rsidR="006B7749">
        <w:rPr>
          <w:lang w:eastAsia="en-US"/>
        </w:rPr>
        <w:t xml:space="preserve"> what features the building has that can be used to gain a tactical advantage, such as area separation walls or built-in fire deluge systems. These facilities are known as target hazards.  </w:t>
      </w:r>
    </w:p>
    <w:p w14:paraId="5BA3B948" w14:textId="264582C8" w:rsidR="00365F60" w:rsidRDefault="00F258B6" w:rsidP="006B7749">
      <w:pPr>
        <w:rPr>
          <w:lang w:eastAsia="en-US"/>
        </w:rPr>
      </w:pPr>
      <w:r>
        <w:rPr>
          <w:lang w:eastAsia="en-US"/>
        </w:rPr>
        <w:t xml:space="preserve">PFD has been working with the </w:t>
      </w:r>
      <w:r w:rsidR="00106145">
        <w:rPr>
          <w:lang w:eastAsia="en-US"/>
        </w:rPr>
        <w:t xml:space="preserve">City’s </w:t>
      </w:r>
      <w:r>
        <w:rPr>
          <w:lang w:eastAsia="en-US"/>
        </w:rPr>
        <w:t xml:space="preserve">Inspection Services Manager to identify these buildings since 2015.  The PFD engine company crews use the </w:t>
      </w:r>
      <w:r w:rsidRPr="00F258B6">
        <w:rPr>
          <w:lang w:eastAsia="en-US"/>
        </w:rPr>
        <w:t>Occupancy V</w:t>
      </w:r>
      <w:r>
        <w:rPr>
          <w:lang w:eastAsia="en-US"/>
        </w:rPr>
        <w:t xml:space="preserve">ulnerability Assessment Profile (OVAP) to identify the buildings which fall into a “maximum” or “significant” rating.  To date, PFD has identified 27 such buildings in </w:t>
      </w:r>
      <w:r w:rsidR="00106145">
        <w:rPr>
          <w:lang w:eastAsia="en-US"/>
        </w:rPr>
        <w:t>its</w:t>
      </w:r>
      <w:r>
        <w:rPr>
          <w:lang w:eastAsia="en-US"/>
        </w:rPr>
        <w:t xml:space="preserve"> service area out of the over </w:t>
      </w:r>
      <w:r w:rsidR="00106145">
        <w:rPr>
          <w:lang w:eastAsia="en-US"/>
        </w:rPr>
        <w:t>300</w:t>
      </w:r>
      <w:r>
        <w:rPr>
          <w:lang w:eastAsia="en-US"/>
        </w:rPr>
        <w:t xml:space="preserve"> buildings evaluated.  The </w:t>
      </w:r>
      <w:r w:rsidR="00106145">
        <w:rPr>
          <w:lang w:eastAsia="en-US"/>
        </w:rPr>
        <w:t xml:space="preserve">Department </w:t>
      </w:r>
      <w:r>
        <w:rPr>
          <w:lang w:eastAsia="en-US"/>
        </w:rPr>
        <w:t>is</w:t>
      </w:r>
      <w:r w:rsidRPr="00F258B6">
        <w:rPr>
          <w:lang w:eastAsia="en-US"/>
        </w:rPr>
        <w:t xml:space="preserve"> currently developing incident scenarios through a fire simulation software platform on those identified buildings that can </w:t>
      </w:r>
      <w:r>
        <w:rPr>
          <w:lang w:eastAsia="en-US"/>
        </w:rPr>
        <w:t xml:space="preserve">be </w:t>
      </w:r>
      <w:r w:rsidRPr="00F258B6">
        <w:rPr>
          <w:lang w:eastAsia="en-US"/>
        </w:rPr>
        <w:t>assign</w:t>
      </w:r>
      <w:r>
        <w:rPr>
          <w:lang w:eastAsia="en-US"/>
        </w:rPr>
        <w:t>ed</w:t>
      </w:r>
      <w:r w:rsidRPr="00F258B6">
        <w:rPr>
          <w:lang w:eastAsia="en-US"/>
        </w:rPr>
        <w:t xml:space="preserve"> to the crews or provide a guided discussion at the shift level.  Further, for those buildings that have been identified that meet the risk levels, </w:t>
      </w:r>
      <w:r>
        <w:rPr>
          <w:lang w:eastAsia="en-US"/>
        </w:rPr>
        <w:t>PFD</w:t>
      </w:r>
      <w:r w:rsidRPr="00F258B6">
        <w:rPr>
          <w:lang w:eastAsia="en-US"/>
        </w:rPr>
        <w:t xml:space="preserve"> ha</w:t>
      </w:r>
      <w:r>
        <w:rPr>
          <w:lang w:eastAsia="en-US"/>
        </w:rPr>
        <w:t>s</w:t>
      </w:r>
      <w:r w:rsidRPr="00F258B6">
        <w:rPr>
          <w:lang w:eastAsia="en-US"/>
        </w:rPr>
        <w:t xml:space="preserve"> developed a one</w:t>
      </w:r>
      <w:r w:rsidR="00106145">
        <w:rPr>
          <w:lang w:eastAsia="en-US"/>
        </w:rPr>
        <w:t>-</w:t>
      </w:r>
      <w:r w:rsidRPr="00F258B6">
        <w:rPr>
          <w:lang w:eastAsia="en-US"/>
        </w:rPr>
        <w:t>page pre-incident “site plan” that is uploaded to the CAD system and is accessed by the crews on scene by hyper-links on the response page of the M</w:t>
      </w:r>
      <w:r>
        <w:rPr>
          <w:lang w:eastAsia="en-US"/>
        </w:rPr>
        <w:t xml:space="preserve">obile </w:t>
      </w:r>
      <w:r w:rsidRPr="00F258B6">
        <w:rPr>
          <w:lang w:eastAsia="en-US"/>
        </w:rPr>
        <w:t>D</w:t>
      </w:r>
      <w:r>
        <w:rPr>
          <w:lang w:eastAsia="en-US"/>
        </w:rPr>
        <w:t xml:space="preserve">ata </w:t>
      </w:r>
      <w:r w:rsidRPr="00F258B6">
        <w:rPr>
          <w:lang w:eastAsia="en-US"/>
        </w:rPr>
        <w:t>T</w:t>
      </w:r>
      <w:r>
        <w:rPr>
          <w:lang w:eastAsia="en-US"/>
        </w:rPr>
        <w:t>erminals</w:t>
      </w:r>
      <w:r w:rsidRPr="00F258B6">
        <w:rPr>
          <w:lang w:eastAsia="en-US"/>
        </w:rPr>
        <w:t xml:space="preserve"> (</w:t>
      </w:r>
      <w:r>
        <w:rPr>
          <w:lang w:eastAsia="en-US"/>
        </w:rPr>
        <w:t>MDTs</w:t>
      </w:r>
      <w:r w:rsidRPr="00F258B6">
        <w:rPr>
          <w:lang w:eastAsia="en-US"/>
        </w:rPr>
        <w:t>).</w:t>
      </w:r>
    </w:p>
    <w:p w14:paraId="244F0800" w14:textId="2E892A19" w:rsidR="00701DA3" w:rsidRPr="00701DA3" w:rsidRDefault="00701DA3" w:rsidP="00106145">
      <w:pPr>
        <w:spacing w:after="200"/>
        <w:rPr>
          <w:rFonts w:eastAsia="Calibri" w:cs="Times New Roman"/>
          <w:lang w:eastAsia="en-US"/>
        </w:rPr>
      </w:pPr>
      <w:r>
        <w:rPr>
          <w:rFonts w:eastAsia="Calibri" w:cs="Times New Roman"/>
          <w:lang w:eastAsia="en-US"/>
        </w:rPr>
        <w:t>A</w:t>
      </w:r>
      <w:r w:rsidR="00D17E6F">
        <w:rPr>
          <w:rFonts w:eastAsia="Calibri" w:cs="Times New Roman"/>
          <w:lang w:eastAsia="en-US"/>
        </w:rPr>
        <w:t xml:space="preserve"> key component of response planning is </w:t>
      </w:r>
      <w:r>
        <w:rPr>
          <w:rFonts w:eastAsia="Calibri" w:cs="Times New Roman"/>
          <w:lang w:eastAsia="en-US"/>
        </w:rPr>
        <w:t xml:space="preserve">developing </w:t>
      </w:r>
      <w:r w:rsidR="00D17E6F">
        <w:rPr>
          <w:rFonts w:eastAsia="Calibri" w:cs="Times New Roman"/>
          <w:lang w:eastAsia="en-US"/>
        </w:rPr>
        <w:t xml:space="preserve">a critical task analysis and deployment plan for various incident types within the community.  These elements are collectively referred to as Standards of Cover.  </w:t>
      </w:r>
    </w:p>
    <w:p w14:paraId="06F2A405" w14:textId="2F5901F7" w:rsidR="00701DA3" w:rsidRPr="00701DA3" w:rsidRDefault="00701DA3" w:rsidP="00701DA3">
      <w:pPr>
        <w:spacing w:after="200"/>
        <w:rPr>
          <w:rFonts w:eastAsia="Calibri" w:cs="Times New Roman"/>
          <w:lang w:eastAsia="en-US"/>
        </w:rPr>
      </w:pPr>
      <w:r w:rsidRPr="00701DA3">
        <w:rPr>
          <w:rFonts w:eastAsia="Calibri" w:cs="Times New Roman"/>
          <w:lang w:eastAsia="en-US"/>
        </w:rPr>
        <w:t>As mentioned in the</w:t>
      </w:r>
      <w:r w:rsidR="00106145" w:rsidRPr="00106145">
        <w:rPr>
          <w:rFonts w:eastAsia="Calibri" w:cs="Times New Roman"/>
          <w:i/>
          <w:lang w:eastAsia="en-US"/>
        </w:rPr>
        <w:t xml:space="preserve"> Staffing Section</w:t>
      </w:r>
      <w:r w:rsidR="00D17E6F">
        <w:rPr>
          <w:rFonts w:eastAsia="Calibri" w:cs="Times New Roman"/>
          <w:lang w:eastAsia="en-US"/>
        </w:rPr>
        <w:t xml:space="preserve"> of this report</w:t>
      </w:r>
      <w:r w:rsidRPr="00701DA3">
        <w:rPr>
          <w:rFonts w:eastAsia="Calibri" w:cs="Times New Roman"/>
          <w:lang w:eastAsia="en-US"/>
        </w:rPr>
        <w:t xml:space="preserve">, many fire departments have developed a </w:t>
      </w:r>
      <w:r w:rsidR="00D17E6F">
        <w:rPr>
          <w:rFonts w:eastAsia="Calibri" w:cs="Times New Roman"/>
          <w:lang w:eastAsia="en-US"/>
        </w:rPr>
        <w:t>Standards of Cover.</w:t>
      </w:r>
      <w:r w:rsidRPr="00701DA3">
        <w:rPr>
          <w:rFonts w:eastAsia="Calibri" w:cs="Times New Roman"/>
          <w:lang w:eastAsia="en-US"/>
        </w:rPr>
        <w:t xml:space="preserve">  Applying the principles of risk analysis and practical emergency response strategies and priorities, fire departments can address, in general terms, how they will respond to a variety of emergency incidents that may occur.  </w:t>
      </w:r>
    </w:p>
    <w:p w14:paraId="258B1A40" w14:textId="7FA1FCBB" w:rsidR="00701DA3" w:rsidRPr="00701DA3" w:rsidRDefault="00701DA3" w:rsidP="00701DA3">
      <w:pPr>
        <w:spacing w:after="200"/>
        <w:rPr>
          <w:rFonts w:eastAsia="Calibri" w:cs="Times New Roman"/>
          <w:lang w:eastAsia="en-US"/>
        </w:rPr>
      </w:pPr>
      <w:r w:rsidRPr="00701DA3">
        <w:rPr>
          <w:rFonts w:eastAsia="Calibri" w:cs="Times New Roman"/>
          <w:lang w:eastAsia="en-US"/>
        </w:rPr>
        <w:t xml:space="preserve">Developing such a document serves to reinforce the particular department’s approach to mitigating emergencies and helps to inform both policy makers and the community’s citizens </w:t>
      </w:r>
      <w:r w:rsidR="007C027D">
        <w:rPr>
          <w:rFonts w:eastAsia="Calibri" w:cs="Times New Roman"/>
          <w:lang w:eastAsia="en-US"/>
        </w:rPr>
        <w:t xml:space="preserve">about the differences in response, such as to </w:t>
      </w:r>
      <w:r w:rsidRPr="00701DA3">
        <w:rPr>
          <w:rFonts w:eastAsia="Calibri" w:cs="Times New Roman"/>
          <w:lang w:eastAsia="en-US"/>
        </w:rPr>
        <w:t>a single</w:t>
      </w:r>
      <w:r w:rsidR="00B944C8">
        <w:rPr>
          <w:rFonts w:eastAsia="Calibri" w:cs="Times New Roman"/>
          <w:lang w:eastAsia="en-US"/>
        </w:rPr>
        <w:t>-</w:t>
      </w:r>
      <w:r w:rsidRPr="00701DA3">
        <w:rPr>
          <w:rFonts w:eastAsia="Calibri" w:cs="Times New Roman"/>
          <w:lang w:eastAsia="en-US"/>
        </w:rPr>
        <w:t xml:space="preserve">family house fire as opposed to an apartment building or a commercial/industrial occupancy.  </w:t>
      </w:r>
    </w:p>
    <w:p w14:paraId="647AD932" w14:textId="5EA8AB5C" w:rsidR="00701DA3" w:rsidRPr="00701DA3" w:rsidRDefault="00701DA3" w:rsidP="00701DA3">
      <w:pPr>
        <w:spacing w:after="200"/>
        <w:rPr>
          <w:rFonts w:eastAsia="Calibri" w:cs="Times New Roman"/>
          <w:lang w:eastAsia="en-US"/>
        </w:rPr>
      </w:pPr>
      <w:r w:rsidRPr="00701DA3">
        <w:rPr>
          <w:rFonts w:eastAsia="Calibri" w:cs="Times New Roman"/>
          <w:lang w:eastAsia="en-US"/>
        </w:rPr>
        <w:t>Standards of Cover perform a safety function to the extent that they serve to remind both firefighters and their chief officers of the limits of what can be prudently accomplished at an emergency scene. The creation and the promulgation within the department of such a document can have a lasting effect upon the effectiveness of the agency.</w:t>
      </w:r>
    </w:p>
    <w:tbl>
      <w:tblPr>
        <w:tblW w:w="0" w:type="auto"/>
        <w:tblLook w:val="00A0" w:firstRow="1" w:lastRow="0" w:firstColumn="1" w:lastColumn="0" w:noHBand="0" w:noVBand="0"/>
      </w:tblPr>
      <w:tblGrid>
        <w:gridCol w:w="9360"/>
      </w:tblGrid>
      <w:tr w:rsidR="00F258B6" w:rsidRPr="00C1452A" w14:paraId="0CE0CB9D" w14:textId="77777777" w:rsidTr="009E1320">
        <w:tc>
          <w:tcPr>
            <w:tcW w:w="9360" w:type="dxa"/>
            <w:shd w:val="clear" w:color="auto" w:fill="D9D9D9" w:themeFill="background1" w:themeFillShade="D9"/>
          </w:tcPr>
          <w:p w14:paraId="65368285" w14:textId="04AD3DDF" w:rsidR="00F258B6" w:rsidRPr="00106145" w:rsidRDefault="00F258B6" w:rsidP="009E1320">
            <w:pPr>
              <w:keepNext/>
              <w:keepLines/>
              <w:spacing w:after="0" w:line="360" w:lineRule="auto"/>
              <w:rPr>
                <w:rFonts w:eastAsia="Times New Roman" w:cs="Calibri"/>
                <w:b/>
              </w:rPr>
            </w:pPr>
            <w:r w:rsidRPr="00106145">
              <w:rPr>
                <w:rFonts w:eastAsia="Times New Roman" w:cs="Calibri"/>
                <w:b/>
              </w:rPr>
              <w:t>Recommendation</w:t>
            </w:r>
            <w:r w:rsidR="00106145" w:rsidRPr="00106145">
              <w:rPr>
                <w:rFonts w:eastAsia="Times New Roman" w:cs="Calibri"/>
                <w:b/>
              </w:rPr>
              <w:t>s</w:t>
            </w:r>
            <w:r w:rsidRPr="00106145">
              <w:rPr>
                <w:rFonts w:eastAsia="Times New Roman" w:cs="Calibri"/>
                <w:b/>
              </w:rPr>
              <w:t>:</w:t>
            </w:r>
          </w:p>
          <w:p w14:paraId="77847C6C" w14:textId="04699BF5" w:rsidR="00F258B6" w:rsidRPr="00106145" w:rsidRDefault="00F258B6" w:rsidP="007705AA">
            <w:pPr>
              <w:numPr>
                <w:ilvl w:val="0"/>
                <w:numId w:val="25"/>
              </w:numPr>
              <w:spacing w:after="120" w:line="240" w:lineRule="auto"/>
              <w:jc w:val="left"/>
              <w:rPr>
                <w:rFonts w:cs="Arial"/>
              </w:rPr>
            </w:pPr>
            <w:r w:rsidRPr="00106145">
              <w:rPr>
                <w:rFonts w:cs="Calibri"/>
              </w:rPr>
              <w:t>Continue developing a complete database of all “maximum” or “significant” facilities in the PFD service area.</w:t>
            </w:r>
          </w:p>
          <w:p w14:paraId="0BDEC63D" w14:textId="62C710C5" w:rsidR="00F258B6" w:rsidRPr="00106145" w:rsidRDefault="00D5732C" w:rsidP="007705AA">
            <w:pPr>
              <w:numPr>
                <w:ilvl w:val="0"/>
                <w:numId w:val="25"/>
              </w:numPr>
              <w:spacing w:after="120" w:line="240" w:lineRule="auto"/>
              <w:jc w:val="left"/>
              <w:rPr>
                <w:rFonts w:cs="Arial"/>
              </w:rPr>
            </w:pPr>
            <w:r w:rsidRPr="00106145">
              <w:rPr>
                <w:rFonts w:cs="Arial"/>
              </w:rPr>
              <w:t>Identify all non-facility risks (transportation</w:t>
            </w:r>
            <w:r w:rsidR="00497491" w:rsidRPr="00106145">
              <w:rPr>
                <w:rFonts w:cs="Arial"/>
              </w:rPr>
              <w:t xml:space="preserve"> systems and </w:t>
            </w:r>
            <w:r w:rsidRPr="00106145">
              <w:rPr>
                <w:rFonts w:cs="Arial"/>
              </w:rPr>
              <w:t>weather extremes</w:t>
            </w:r>
            <w:r w:rsidR="00497491" w:rsidRPr="00106145">
              <w:rPr>
                <w:rFonts w:cs="Arial"/>
              </w:rPr>
              <w:t>) and develop target response plans for the high</w:t>
            </w:r>
            <w:r w:rsidR="00B944C8">
              <w:rPr>
                <w:rFonts w:cs="Arial"/>
              </w:rPr>
              <w:t>-</w:t>
            </w:r>
            <w:r w:rsidR="00497491" w:rsidRPr="00106145">
              <w:rPr>
                <w:rFonts w:cs="Arial"/>
              </w:rPr>
              <w:t>level risks.</w:t>
            </w:r>
          </w:p>
          <w:p w14:paraId="68EC4701" w14:textId="7371E9EC" w:rsidR="007C027D" w:rsidRPr="00106145" w:rsidRDefault="007C027D" w:rsidP="007705AA">
            <w:pPr>
              <w:numPr>
                <w:ilvl w:val="0"/>
                <w:numId w:val="25"/>
              </w:numPr>
              <w:spacing w:after="0" w:line="240" w:lineRule="auto"/>
              <w:jc w:val="left"/>
              <w:rPr>
                <w:rFonts w:cs="Arial"/>
              </w:rPr>
            </w:pPr>
            <w:r w:rsidRPr="00106145">
              <w:rPr>
                <w:rFonts w:cs="Arial"/>
              </w:rPr>
              <w:t xml:space="preserve">Develop and </w:t>
            </w:r>
            <w:r w:rsidR="008637A8" w:rsidRPr="00106145">
              <w:rPr>
                <w:rFonts w:cs="Arial"/>
              </w:rPr>
              <w:t>publish a Pasco Fire Department-</w:t>
            </w:r>
            <w:r w:rsidRPr="00106145">
              <w:rPr>
                <w:rFonts w:cs="Arial"/>
              </w:rPr>
              <w:t>specific Standards of Cover.</w:t>
            </w:r>
          </w:p>
          <w:p w14:paraId="773A266B" w14:textId="28BA3DBA" w:rsidR="00497491" w:rsidRPr="006C16B9" w:rsidRDefault="00497491" w:rsidP="00497491">
            <w:pPr>
              <w:spacing w:after="0" w:line="240" w:lineRule="auto"/>
              <w:ind w:left="360"/>
              <w:jc w:val="left"/>
              <w:rPr>
                <w:rFonts w:asciiTheme="majorHAnsi" w:hAnsiTheme="majorHAnsi" w:cs="Arial"/>
              </w:rPr>
            </w:pPr>
          </w:p>
        </w:tc>
      </w:tr>
    </w:tbl>
    <w:p w14:paraId="435B3431" w14:textId="3D129F05" w:rsidR="00F258B6" w:rsidRDefault="00F258B6" w:rsidP="00B944C8">
      <w:pPr>
        <w:spacing w:after="0"/>
        <w:rPr>
          <w:lang w:eastAsia="en-US"/>
        </w:rPr>
      </w:pPr>
    </w:p>
    <w:p w14:paraId="0E6B66C6" w14:textId="1135A072" w:rsidR="00497491" w:rsidRDefault="00497491" w:rsidP="00497491">
      <w:pPr>
        <w:pStyle w:val="Heading3"/>
        <w:rPr>
          <w:lang w:eastAsia="en-US"/>
        </w:rPr>
      </w:pPr>
      <w:bookmarkStart w:id="202" w:name="_Toc464323597"/>
      <w:r>
        <w:rPr>
          <w:lang w:eastAsia="en-US"/>
        </w:rPr>
        <w:t>Administrative Planning</w:t>
      </w:r>
      <w:bookmarkEnd w:id="202"/>
    </w:p>
    <w:p w14:paraId="5A65B542" w14:textId="029BBBE0" w:rsidR="00497491" w:rsidRDefault="00497491" w:rsidP="00497491">
      <w:pPr>
        <w:rPr>
          <w:lang w:eastAsia="en-US"/>
        </w:rPr>
      </w:pPr>
      <w:r>
        <w:rPr>
          <w:lang w:eastAsia="en-US"/>
        </w:rPr>
        <w:t xml:space="preserve">Administrative planning is often an underappreciated process.  It does not have the urgency of response planning and is therefore easy to put off to a later date.  Many fire departments do not fully appreciate the importance of these plans.  There are multiple types of administrative planning devices.  The most common are master planning, strategic planning, capital improvement planning, </w:t>
      </w:r>
      <w:r w:rsidR="00324814">
        <w:rPr>
          <w:lang w:eastAsia="en-US"/>
        </w:rPr>
        <w:t xml:space="preserve">apparatus </w:t>
      </w:r>
      <w:r w:rsidR="00B944C8">
        <w:rPr>
          <w:lang w:eastAsia="en-US"/>
        </w:rPr>
        <w:t>and</w:t>
      </w:r>
      <w:r w:rsidR="00324814">
        <w:rPr>
          <w:lang w:eastAsia="en-US"/>
        </w:rPr>
        <w:t xml:space="preserve"> equipment replacement planning, </w:t>
      </w:r>
      <w:r>
        <w:rPr>
          <w:lang w:eastAsia="en-US"/>
        </w:rPr>
        <w:t xml:space="preserve">and </w:t>
      </w:r>
      <w:r w:rsidR="00F07CE2">
        <w:rPr>
          <w:lang w:eastAsia="en-US"/>
        </w:rPr>
        <w:t>personnel</w:t>
      </w:r>
      <w:r>
        <w:rPr>
          <w:lang w:eastAsia="en-US"/>
        </w:rPr>
        <w:t xml:space="preserve"> planning.</w:t>
      </w:r>
      <w:r w:rsidR="00F07CE2">
        <w:rPr>
          <w:lang w:eastAsia="en-US"/>
        </w:rPr>
        <w:t xml:space="preserve">  Some elements of capital improvement planning</w:t>
      </w:r>
      <w:r w:rsidR="00324814">
        <w:rPr>
          <w:lang w:eastAsia="en-US"/>
        </w:rPr>
        <w:t xml:space="preserve">, apparatus </w:t>
      </w:r>
      <w:r w:rsidR="00B944C8">
        <w:rPr>
          <w:lang w:eastAsia="en-US"/>
        </w:rPr>
        <w:t>and</w:t>
      </w:r>
      <w:r w:rsidR="00324814">
        <w:rPr>
          <w:lang w:eastAsia="en-US"/>
        </w:rPr>
        <w:t xml:space="preserve"> equipment replacement planning,</w:t>
      </w:r>
      <w:r w:rsidR="00F07CE2">
        <w:rPr>
          <w:lang w:eastAsia="en-US"/>
        </w:rPr>
        <w:t xml:space="preserve"> and </w:t>
      </w:r>
      <w:r w:rsidR="00324814">
        <w:rPr>
          <w:lang w:eastAsia="en-US"/>
        </w:rPr>
        <w:t xml:space="preserve">to a lesser extent </w:t>
      </w:r>
      <w:r w:rsidR="00F07CE2">
        <w:rPr>
          <w:lang w:eastAsia="en-US"/>
        </w:rPr>
        <w:t>personnel planning are included in master plans.</w:t>
      </w:r>
    </w:p>
    <w:p w14:paraId="60B6BFFB" w14:textId="72061202" w:rsidR="00F07CE2" w:rsidRDefault="00F07CE2" w:rsidP="00497491">
      <w:pPr>
        <w:rPr>
          <w:lang w:eastAsia="en-US"/>
        </w:rPr>
      </w:pPr>
      <w:r>
        <w:rPr>
          <w:lang w:eastAsia="en-US"/>
        </w:rPr>
        <w:t>A master plan is essentially a long</w:t>
      </w:r>
      <w:r w:rsidR="00B944C8">
        <w:rPr>
          <w:lang w:eastAsia="en-US"/>
        </w:rPr>
        <w:t>-</w:t>
      </w:r>
      <w:r>
        <w:rPr>
          <w:lang w:eastAsia="en-US"/>
        </w:rPr>
        <w:t xml:space="preserve">range plan of the community served by the fire department.  It identifies the current conditions </w:t>
      </w:r>
      <w:r w:rsidR="00B944C8">
        <w:rPr>
          <w:lang w:eastAsia="en-US"/>
        </w:rPr>
        <w:t>that exist in the community</w:t>
      </w:r>
      <w:r>
        <w:rPr>
          <w:lang w:eastAsia="en-US"/>
        </w:rPr>
        <w:t xml:space="preserve"> </w:t>
      </w:r>
      <w:r w:rsidR="00324814" w:rsidRPr="00324814">
        <w:rPr>
          <w:lang w:eastAsia="en-US"/>
        </w:rPr>
        <w:t xml:space="preserve">and assesses </w:t>
      </w:r>
      <w:r>
        <w:rPr>
          <w:lang w:eastAsia="en-US"/>
        </w:rPr>
        <w:t>land use and development plans for the community</w:t>
      </w:r>
      <w:r w:rsidR="00324814">
        <w:rPr>
          <w:lang w:eastAsia="en-US"/>
        </w:rPr>
        <w:t>, as well as the</w:t>
      </w:r>
      <w:r>
        <w:rPr>
          <w:lang w:eastAsia="en-US"/>
        </w:rPr>
        <w:t xml:space="preserve"> urban growth boundaries for potential future growth.  Population and service demand growth are projected at least ten years into the future, and the impact of that growth is identified.  Recommendations are made in a master plan which address critical infrastructure gaps or gaps which will occur if the projected growth is not responded to appropriately and in a timely manner.</w:t>
      </w:r>
    </w:p>
    <w:p w14:paraId="325835F5" w14:textId="6DB1E7A3" w:rsidR="00911196" w:rsidRDefault="00F07CE2" w:rsidP="00497491">
      <w:pPr>
        <w:rPr>
          <w:lang w:eastAsia="en-US"/>
        </w:rPr>
      </w:pPr>
      <w:r>
        <w:rPr>
          <w:lang w:eastAsia="en-US"/>
        </w:rPr>
        <w:t>A strategic plan is of shorter duration, typically three to five years, and is internally focused.  In this type of planning process, citizen-stakeholders are interviewed to identify their attitudes, priorities, and concerns as it relates to the department.  Internally, a SWOT Analysis (</w:t>
      </w:r>
      <w:r w:rsidRPr="00F07CE2">
        <w:rPr>
          <w:b/>
          <w:u w:val="single"/>
          <w:lang w:eastAsia="en-US"/>
        </w:rPr>
        <w:t>S</w:t>
      </w:r>
      <w:r>
        <w:rPr>
          <w:lang w:eastAsia="en-US"/>
        </w:rPr>
        <w:t xml:space="preserve">trengths, </w:t>
      </w:r>
      <w:r w:rsidRPr="00F07CE2">
        <w:rPr>
          <w:b/>
          <w:u w:val="single"/>
          <w:lang w:eastAsia="en-US"/>
        </w:rPr>
        <w:t>W</w:t>
      </w:r>
      <w:r>
        <w:rPr>
          <w:lang w:eastAsia="en-US"/>
        </w:rPr>
        <w:t xml:space="preserve">eaknesses, </w:t>
      </w:r>
      <w:r w:rsidRPr="00F07CE2">
        <w:rPr>
          <w:b/>
          <w:u w:val="single"/>
          <w:lang w:eastAsia="en-US"/>
        </w:rPr>
        <w:t>O</w:t>
      </w:r>
      <w:r>
        <w:rPr>
          <w:lang w:eastAsia="en-US"/>
        </w:rPr>
        <w:t xml:space="preserve">pportunities, and </w:t>
      </w:r>
      <w:r w:rsidRPr="00F07CE2">
        <w:rPr>
          <w:b/>
          <w:u w:val="single"/>
          <w:lang w:eastAsia="en-US"/>
        </w:rPr>
        <w:t>T</w:t>
      </w:r>
      <w:r>
        <w:rPr>
          <w:lang w:eastAsia="en-US"/>
        </w:rPr>
        <w:t xml:space="preserve">hreats) is conducted.  </w:t>
      </w:r>
      <w:r w:rsidR="00911196">
        <w:rPr>
          <w:lang w:eastAsia="en-US"/>
        </w:rPr>
        <w:t xml:space="preserve">Reconciling the citizen-stakeholder feedback with the internal SWOT analysis results provides a clear picture of the </w:t>
      </w:r>
      <w:r w:rsidR="00B944C8">
        <w:rPr>
          <w:lang w:eastAsia="en-US"/>
        </w:rPr>
        <w:t xml:space="preserve">organization’s </w:t>
      </w:r>
      <w:r w:rsidR="00324814">
        <w:rPr>
          <w:lang w:eastAsia="en-US"/>
        </w:rPr>
        <w:t>environment</w:t>
      </w:r>
      <w:r w:rsidR="00911196">
        <w:rPr>
          <w:lang w:eastAsia="en-US"/>
        </w:rPr>
        <w:t>.  This environmental scan shapes the strategic initiatives the department should focus on.  Within each strategic initiative, multiple goals and subordinate objectives are established, complete with timelines, outcome measures</w:t>
      </w:r>
      <w:r>
        <w:rPr>
          <w:lang w:eastAsia="en-US"/>
        </w:rPr>
        <w:t xml:space="preserve">, and </w:t>
      </w:r>
      <w:r w:rsidR="00911196">
        <w:rPr>
          <w:lang w:eastAsia="en-US"/>
        </w:rPr>
        <w:t>responsible parties.  A strategic plan is in essence a three</w:t>
      </w:r>
      <w:r w:rsidR="00B944C8">
        <w:rPr>
          <w:lang w:eastAsia="en-US"/>
        </w:rPr>
        <w:t xml:space="preserve"> </w:t>
      </w:r>
      <w:r w:rsidR="00911196">
        <w:rPr>
          <w:lang w:eastAsia="en-US"/>
        </w:rPr>
        <w:t xml:space="preserve">to-five year internal work plan for a department. </w:t>
      </w:r>
    </w:p>
    <w:p w14:paraId="04D22C7A" w14:textId="6EA18A05" w:rsidR="004C5B43" w:rsidRDefault="00324814" w:rsidP="00497491">
      <w:pPr>
        <w:rPr>
          <w:lang w:eastAsia="en-US"/>
        </w:rPr>
      </w:pPr>
      <w:r>
        <w:rPr>
          <w:lang w:eastAsia="en-US"/>
        </w:rPr>
        <w:t xml:space="preserve">Pasco Fire Department has an apparatus and equipment replacement plan that extends over </w:t>
      </w:r>
      <w:r w:rsidR="00B944C8">
        <w:rPr>
          <w:lang w:eastAsia="en-US"/>
        </w:rPr>
        <w:t>15</w:t>
      </w:r>
      <w:r>
        <w:rPr>
          <w:lang w:eastAsia="en-US"/>
        </w:rPr>
        <w:t xml:space="preserve"> years into the future.  While </w:t>
      </w:r>
      <w:r w:rsidR="00B944C8">
        <w:rPr>
          <w:lang w:eastAsia="en-US"/>
        </w:rPr>
        <w:t>it</w:t>
      </w:r>
      <w:r>
        <w:rPr>
          <w:lang w:eastAsia="en-US"/>
        </w:rPr>
        <w:t xml:space="preserve"> do</w:t>
      </w:r>
      <w:r w:rsidR="00B944C8">
        <w:rPr>
          <w:lang w:eastAsia="en-US"/>
        </w:rPr>
        <w:t>es</w:t>
      </w:r>
      <w:r>
        <w:rPr>
          <w:lang w:eastAsia="en-US"/>
        </w:rPr>
        <w:t xml:space="preserve"> not have a capital improvement plan in place, this master plan is intended to address those issues</w:t>
      </w:r>
      <w:r w:rsidR="004C5B43">
        <w:rPr>
          <w:lang w:eastAsia="en-US"/>
        </w:rPr>
        <w:t xml:space="preserve">.  The results of the capital facility needs are intended to be inserted into the </w:t>
      </w:r>
      <w:r w:rsidR="00B944C8">
        <w:rPr>
          <w:lang w:eastAsia="en-US"/>
        </w:rPr>
        <w:t xml:space="preserve">City’s </w:t>
      </w:r>
      <w:r w:rsidR="004C5B43">
        <w:rPr>
          <w:lang w:eastAsia="en-US"/>
        </w:rPr>
        <w:t xml:space="preserve">overall Capital Improvement Plan.  </w:t>
      </w:r>
    </w:p>
    <w:p w14:paraId="5158E36B" w14:textId="0DD97BDD" w:rsidR="00497491" w:rsidRPr="00497491" w:rsidRDefault="00497491" w:rsidP="00497491">
      <w:pPr>
        <w:rPr>
          <w:lang w:eastAsia="en-US"/>
        </w:rPr>
      </w:pPr>
      <w:r>
        <w:rPr>
          <w:lang w:eastAsia="en-US"/>
        </w:rPr>
        <w:t xml:space="preserve">It is commendable that the Pasco Fire Department has recognized the importance of administrative planning by embarking on this master planning effort.  </w:t>
      </w:r>
      <w:r w:rsidR="00911196">
        <w:rPr>
          <w:lang w:eastAsia="en-US"/>
        </w:rPr>
        <w:t>The recommendations contained in this master plan, if executed, will help PFD serve the community well into the future with appropriate infrastructure in place in advance of the growth that d</w:t>
      </w:r>
      <w:r w:rsidR="004C5B43">
        <w:rPr>
          <w:lang w:eastAsia="en-US"/>
        </w:rPr>
        <w:t>rives an increase in service d</w:t>
      </w:r>
      <w:r w:rsidR="00911196">
        <w:rPr>
          <w:lang w:eastAsia="en-US"/>
        </w:rPr>
        <w:t>emand.  PFD does not have a current strategic plan, but the proper order for these plans to take place suggests that a strat</w:t>
      </w:r>
      <w:r w:rsidR="00B944C8">
        <w:rPr>
          <w:lang w:eastAsia="en-US"/>
        </w:rPr>
        <w:t xml:space="preserve">egic plan follow a master plan, </w:t>
      </w:r>
      <w:r w:rsidR="00911196">
        <w:rPr>
          <w:lang w:eastAsia="en-US"/>
        </w:rPr>
        <w:t>not the other way around.</w:t>
      </w:r>
      <w:r>
        <w:rPr>
          <w:lang w:eastAsia="en-US"/>
        </w:rPr>
        <w:t xml:space="preserve"> </w:t>
      </w:r>
    </w:p>
    <w:tbl>
      <w:tblPr>
        <w:tblW w:w="0" w:type="auto"/>
        <w:tblLook w:val="00A0" w:firstRow="1" w:lastRow="0" w:firstColumn="1" w:lastColumn="0" w:noHBand="0" w:noVBand="0"/>
      </w:tblPr>
      <w:tblGrid>
        <w:gridCol w:w="9360"/>
      </w:tblGrid>
      <w:tr w:rsidR="00911196" w:rsidRPr="00C1452A" w14:paraId="57F5B07B" w14:textId="77777777" w:rsidTr="009E1320">
        <w:tc>
          <w:tcPr>
            <w:tcW w:w="9360" w:type="dxa"/>
            <w:shd w:val="clear" w:color="auto" w:fill="D9D9D9" w:themeFill="background1" w:themeFillShade="D9"/>
          </w:tcPr>
          <w:p w14:paraId="3760ABC6" w14:textId="77777777" w:rsidR="00911196" w:rsidRPr="00B944C8" w:rsidRDefault="00911196" w:rsidP="009E1320">
            <w:pPr>
              <w:keepNext/>
              <w:keepLines/>
              <w:spacing w:after="0" w:line="360" w:lineRule="auto"/>
              <w:rPr>
                <w:rFonts w:eastAsia="Times New Roman" w:cs="Calibri"/>
                <w:b/>
              </w:rPr>
            </w:pPr>
            <w:r w:rsidRPr="00B944C8">
              <w:rPr>
                <w:rFonts w:eastAsia="Times New Roman" w:cs="Calibri"/>
                <w:b/>
              </w:rPr>
              <w:t>Recommendation:</w:t>
            </w:r>
          </w:p>
          <w:p w14:paraId="39191993" w14:textId="77777777" w:rsidR="00911196" w:rsidRPr="00B944C8" w:rsidRDefault="00911196" w:rsidP="007705AA">
            <w:pPr>
              <w:numPr>
                <w:ilvl w:val="0"/>
                <w:numId w:val="25"/>
              </w:numPr>
              <w:spacing w:after="0" w:line="240" w:lineRule="auto"/>
              <w:jc w:val="left"/>
              <w:rPr>
                <w:rFonts w:cs="Arial"/>
              </w:rPr>
            </w:pPr>
            <w:r w:rsidRPr="00B944C8">
              <w:rPr>
                <w:rFonts w:cs="Calibri"/>
              </w:rPr>
              <w:t>Consider conducting a strategic plan at the conclusion of the master planning process.</w:t>
            </w:r>
          </w:p>
          <w:p w14:paraId="76DB5917" w14:textId="084779D2" w:rsidR="00911196" w:rsidRPr="006C16B9" w:rsidRDefault="00911196" w:rsidP="00911196">
            <w:pPr>
              <w:spacing w:after="0" w:line="240" w:lineRule="auto"/>
              <w:ind w:left="360"/>
              <w:jc w:val="left"/>
              <w:rPr>
                <w:rFonts w:asciiTheme="majorHAnsi" w:hAnsiTheme="majorHAnsi" w:cs="Arial"/>
              </w:rPr>
            </w:pPr>
          </w:p>
        </w:tc>
      </w:tr>
    </w:tbl>
    <w:p w14:paraId="065A46C9" w14:textId="77777777" w:rsidR="00817349" w:rsidRDefault="00817349">
      <w:pPr>
        <w:spacing w:after="200"/>
        <w:jc w:val="left"/>
        <w:rPr>
          <w:rFonts w:eastAsiaTheme="majorEastAsia" w:cs="Calibri"/>
          <w:bCs/>
          <w:caps/>
          <w:color w:val="808080" w:themeColor="background1" w:themeShade="80"/>
          <w:sz w:val="24"/>
          <w:szCs w:val="26"/>
        </w:rPr>
      </w:pPr>
      <w:r>
        <w:rPr>
          <w:rFonts w:cs="Calibri"/>
        </w:rPr>
        <w:br w:type="page"/>
      </w:r>
    </w:p>
    <w:p w14:paraId="505A5121" w14:textId="77777777" w:rsidR="005F515F" w:rsidRPr="001E0647" w:rsidRDefault="005F515F" w:rsidP="000C206E">
      <w:pPr>
        <w:pStyle w:val="Heading2"/>
        <w:rPr>
          <w:rFonts w:cs="Calibri"/>
        </w:rPr>
      </w:pPr>
      <w:bookmarkStart w:id="203" w:name="_Toc464323598"/>
      <w:r w:rsidRPr="001E0647">
        <w:rPr>
          <w:rFonts w:cs="Calibri"/>
        </w:rPr>
        <w:t>Capital Assets and Assessment of Current Infrastructure</w:t>
      </w:r>
      <w:bookmarkEnd w:id="174"/>
      <w:bookmarkEnd w:id="203"/>
      <w:r w:rsidR="00F067A5" w:rsidRPr="001E0647">
        <w:rPr>
          <w:rFonts w:cs="Calibri"/>
        </w:rPr>
        <w:t xml:space="preserve"> </w:t>
      </w:r>
      <w:bookmarkEnd w:id="175"/>
    </w:p>
    <w:p w14:paraId="14A0E665" w14:textId="77777777" w:rsidR="00407744" w:rsidRPr="00407744" w:rsidRDefault="00407744" w:rsidP="00407744">
      <w:pPr>
        <w:rPr>
          <w:lang w:eastAsia="en-US"/>
        </w:rPr>
      </w:pPr>
      <w:bookmarkStart w:id="204" w:name="_Toc407104925"/>
      <w:bookmarkStart w:id="205" w:name="_Toc442802479"/>
      <w:bookmarkStart w:id="206" w:name="_Toc457724358"/>
      <w:bookmarkStart w:id="207" w:name="_Toc457724563"/>
      <w:bookmarkStart w:id="208" w:name="_Toc457749239"/>
      <w:r w:rsidRPr="00407744">
        <w:rPr>
          <w:lang w:eastAsia="en-US"/>
        </w:rPr>
        <w:t xml:space="preserve">Regardless of an emergency service agency’s financing, if appropriate capital equipment is not available for the use by responders, it is impossible for a fire department to deliver services effectively. Two primary capital assets that are essential to the provision of emergency response are facilities and apparatus (response vehicles). </w:t>
      </w:r>
    </w:p>
    <w:p w14:paraId="402597C2" w14:textId="079F606C" w:rsidR="00E843B1" w:rsidRDefault="00407744" w:rsidP="00407744">
      <w:pPr>
        <w:rPr>
          <w:lang w:eastAsia="en-US"/>
        </w:rPr>
      </w:pPr>
      <w:r w:rsidRPr="00407744">
        <w:rPr>
          <w:lang w:eastAsia="en-US"/>
        </w:rPr>
        <w:t xml:space="preserve">The following is an </w:t>
      </w:r>
      <w:r>
        <w:rPr>
          <w:lang w:eastAsia="en-US"/>
        </w:rPr>
        <w:t xml:space="preserve">inventory and </w:t>
      </w:r>
      <w:r w:rsidRPr="00407744">
        <w:rPr>
          <w:lang w:eastAsia="en-US"/>
        </w:rPr>
        <w:t xml:space="preserve">assessment of the capital facilities and apparatus/equipment </w:t>
      </w:r>
      <w:r>
        <w:rPr>
          <w:lang w:eastAsia="en-US"/>
        </w:rPr>
        <w:t>Pasco Fire Department</w:t>
      </w:r>
      <w:r w:rsidRPr="00407744">
        <w:rPr>
          <w:lang w:eastAsia="en-US"/>
        </w:rPr>
        <w:t xml:space="preserve"> relies upon to provide services. </w:t>
      </w:r>
    </w:p>
    <w:p w14:paraId="0842C93C" w14:textId="3B589FAF" w:rsidR="002B336E" w:rsidRDefault="002B336E" w:rsidP="002B336E">
      <w:pPr>
        <w:pStyle w:val="Heading3"/>
        <w:rPr>
          <w:lang w:eastAsia="en-US"/>
        </w:rPr>
      </w:pPr>
      <w:bookmarkStart w:id="209" w:name="_Toc464323599"/>
      <w:r>
        <w:rPr>
          <w:lang w:eastAsia="en-US"/>
        </w:rPr>
        <w:t>Facilities</w:t>
      </w:r>
      <w:bookmarkEnd w:id="209"/>
    </w:p>
    <w:p w14:paraId="001BA705" w14:textId="529143CB" w:rsidR="00407744" w:rsidRDefault="00407744" w:rsidP="00574D69">
      <w:pPr>
        <w:pStyle w:val="Caption"/>
        <w:spacing w:after="0"/>
      </w:pPr>
      <w:bookmarkStart w:id="210" w:name="_Toc464323691"/>
      <w:r>
        <w:t xml:space="preserve">Figure </w:t>
      </w:r>
      <w:r w:rsidR="00432AD4">
        <w:fldChar w:fldCharType="begin"/>
      </w:r>
      <w:r w:rsidR="00432AD4">
        <w:instrText xml:space="preserve"> </w:instrText>
      </w:r>
      <w:r w:rsidR="00432AD4">
        <w:instrText xml:space="preserve">SEQ Figure \* ARABIC </w:instrText>
      </w:r>
      <w:r w:rsidR="00432AD4">
        <w:fldChar w:fldCharType="separate"/>
      </w:r>
      <w:r w:rsidR="008209A2">
        <w:rPr>
          <w:noProof/>
        </w:rPr>
        <w:t>49</w:t>
      </w:r>
      <w:r w:rsidR="00432AD4">
        <w:rPr>
          <w:noProof/>
        </w:rPr>
        <w:fldChar w:fldCharType="end"/>
      </w:r>
      <w:r w:rsidR="00574D69">
        <w:t xml:space="preserve">: </w:t>
      </w:r>
      <w:r>
        <w:t>Station 81</w:t>
      </w:r>
      <w:bookmarkEnd w:id="210"/>
    </w:p>
    <w:p w14:paraId="5F802936" w14:textId="60209134" w:rsidR="00407744" w:rsidRPr="00407744" w:rsidRDefault="00407744" w:rsidP="00A532FD">
      <w:pPr>
        <w:spacing w:after="0" w:line="240" w:lineRule="auto"/>
        <w:jc w:val="center"/>
        <w:rPr>
          <w:sz w:val="20"/>
          <w:szCs w:val="20"/>
        </w:rPr>
      </w:pPr>
      <w:r w:rsidRPr="00407744">
        <w:rPr>
          <w:sz w:val="20"/>
          <w:szCs w:val="20"/>
        </w:rPr>
        <w:t>Address: 310 N. Oregon St.</w:t>
      </w:r>
    </w:p>
    <w:tbl>
      <w:tblPr>
        <w:tblW w:w="3716" w:type="pct"/>
        <w:jc w:val="center"/>
        <w:tblBorders>
          <w:top w:val="single" w:sz="2" w:space="0" w:color="000000"/>
          <w:bottom w:val="single" w:sz="2" w:space="0" w:color="000000"/>
          <w:insideH w:val="single" w:sz="2" w:space="0" w:color="000000"/>
          <w:insideV w:val="single" w:sz="2" w:space="0" w:color="000000"/>
        </w:tblBorders>
        <w:tblLayout w:type="fixed"/>
        <w:tblCellMar>
          <w:left w:w="115" w:type="dxa"/>
          <w:right w:w="115" w:type="dxa"/>
        </w:tblCellMar>
        <w:tblLook w:val="04A0" w:firstRow="1" w:lastRow="0" w:firstColumn="1" w:lastColumn="0" w:noHBand="0" w:noVBand="1"/>
      </w:tblPr>
      <w:tblGrid>
        <w:gridCol w:w="3233"/>
        <w:gridCol w:w="3894"/>
      </w:tblGrid>
      <w:tr w:rsidR="00407744" w:rsidRPr="00407744" w14:paraId="5227EA1C" w14:textId="77777777" w:rsidTr="00407744">
        <w:trPr>
          <w:cantSplit/>
          <w:trHeight w:hRule="exact" w:val="2592"/>
          <w:jc w:val="center"/>
        </w:trPr>
        <w:tc>
          <w:tcPr>
            <w:tcW w:w="2268" w:type="pct"/>
            <w:tcBorders>
              <w:top w:val="single" w:sz="8" w:space="0" w:color="0B3D70"/>
              <w:left w:val="single" w:sz="8" w:space="0" w:color="0B3D70"/>
              <w:bottom w:val="single" w:sz="8" w:space="0" w:color="0B3D70"/>
              <w:right w:val="single" w:sz="8" w:space="0" w:color="0B3D70"/>
            </w:tcBorders>
            <w:shd w:val="clear" w:color="auto" w:fill="auto"/>
            <w:vAlign w:val="center"/>
          </w:tcPr>
          <w:bookmarkEnd w:id="204"/>
          <w:bookmarkEnd w:id="205"/>
          <w:bookmarkEnd w:id="206"/>
          <w:bookmarkEnd w:id="207"/>
          <w:bookmarkEnd w:id="208"/>
          <w:p w14:paraId="1CD53CE6" w14:textId="36D6552D" w:rsidR="00407744" w:rsidRPr="00407744" w:rsidRDefault="00585E3B" w:rsidP="00407744">
            <w:pPr>
              <w:spacing w:after="0" w:line="240" w:lineRule="auto"/>
              <w:jc w:val="center"/>
              <w:rPr>
                <w:rFonts w:eastAsia="Calibri" w:cs="Times New Roman"/>
                <w:lang w:eastAsia="en-US"/>
              </w:rPr>
            </w:pPr>
            <w:r w:rsidRPr="00585E3B">
              <w:rPr>
                <w:rFonts w:eastAsia="Calibri" w:cs="Times New Roman"/>
                <w:noProof/>
                <w:lang w:eastAsia="en-US"/>
              </w:rPr>
              <w:drawing>
                <wp:inline distT="0" distB="0" distL="0" distR="0" wp14:anchorId="231DF426" wp14:editId="70E4A24F">
                  <wp:extent cx="1993900" cy="1495425"/>
                  <wp:effectExtent l="0" t="0" r="6350" b="9525"/>
                  <wp:docPr id="15" name="Picture 15" descr="Fire Station No.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re Station No. 8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993900" cy="1495425"/>
                          </a:xfrm>
                          <a:prstGeom prst="rect">
                            <a:avLst/>
                          </a:prstGeom>
                          <a:noFill/>
                          <a:ln>
                            <a:noFill/>
                          </a:ln>
                        </pic:spPr>
                      </pic:pic>
                    </a:graphicData>
                  </a:graphic>
                </wp:inline>
              </w:drawing>
            </w:r>
          </w:p>
        </w:tc>
        <w:tc>
          <w:tcPr>
            <w:tcW w:w="2732" w:type="pct"/>
            <w:tcBorders>
              <w:top w:val="single" w:sz="8" w:space="0" w:color="0B3D70"/>
              <w:left w:val="single" w:sz="8" w:space="0" w:color="0B3D70"/>
              <w:bottom w:val="single" w:sz="8" w:space="0" w:color="0B3D70"/>
              <w:right w:val="single" w:sz="8" w:space="0" w:color="0B3D70"/>
            </w:tcBorders>
            <w:shd w:val="clear" w:color="auto" w:fill="auto"/>
            <w:vAlign w:val="center"/>
          </w:tcPr>
          <w:p w14:paraId="3B8E0378" w14:textId="2F169227" w:rsidR="00407744" w:rsidRPr="00407744" w:rsidRDefault="002548E8" w:rsidP="002A72C1">
            <w:pPr>
              <w:spacing w:after="0" w:line="240" w:lineRule="auto"/>
              <w:jc w:val="left"/>
              <w:rPr>
                <w:rFonts w:eastAsia="Calibri" w:cs="Times New Roman"/>
                <w:sz w:val="20"/>
                <w:szCs w:val="20"/>
                <w:lang w:eastAsia="en-US"/>
              </w:rPr>
            </w:pPr>
            <w:r>
              <w:rPr>
                <w:rFonts w:eastAsia="Calibri" w:cs="Times New Roman"/>
                <w:sz w:val="20"/>
                <w:szCs w:val="20"/>
                <w:lang w:eastAsia="en-US"/>
              </w:rPr>
              <w:t>Station 81 serves as the a</w:t>
            </w:r>
            <w:r w:rsidR="006F0630" w:rsidRPr="006F0630">
              <w:rPr>
                <w:rFonts w:eastAsia="Calibri" w:cs="Times New Roman"/>
                <w:sz w:val="20"/>
                <w:szCs w:val="20"/>
                <w:lang w:eastAsia="en-US"/>
              </w:rPr>
              <w:t>dmin</w:t>
            </w:r>
            <w:r w:rsidR="006F0630">
              <w:rPr>
                <w:rFonts w:eastAsia="Calibri" w:cs="Times New Roman"/>
                <w:sz w:val="20"/>
                <w:szCs w:val="20"/>
                <w:lang w:eastAsia="en-US"/>
              </w:rPr>
              <w:t xml:space="preserve">istrative </w:t>
            </w:r>
            <w:r w:rsidR="006F0630" w:rsidRPr="006F0630">
              <w:rPr>
                <w:rFonts w:eastAsia="Calibri" w:cs="Times New Roman"/>
                <w:sz w:val="20"/>
                <w:szCs w:val="20"/>
                <w:lang w:eastAsia="en-US"/>
              </w:rPr>
              <w:t xml:space="preserve">offices and headquarters station. </w:t>
            </w:r>
            <w:r>
              <w:rPr>
                <w:rFonts w:eastAsia="Calibri" w:cs="Times New Roman"/>
                <w:sz w:val="20"/>
                <w:szCs w:val="20"/>
                <w:lang w:eastAsia="en-US"/>
              </w:rPr>
              <w:t>It h</w:t>
            </w:r>
            <w:r w:rsidR="006F0630" w:rsidRPr="006F0630">
              <w:rPr>
                <w:rFonts w:eastAsia="Calibri" w:cs="Times New Roman"/>
                <w:sz w:val="20"/>
                <w:szCs w:val="20"/>
                <w:lang w:eastAsia="en-US"/>
              </w:rPr>
              <w:t xml:space="preserve">ouses an </w:t>
            </w:r>
            <w:r w:rsidRPr="006F0630">
              <w:rPr>
                <w:rFonts w:eastAsia="Calibri" w:cs="Times New Roman"/>
                <w:sz w:val="20"/>
                <w:szCs w:val="20"/>
                <w:lang w:eastAsia="en-US"/>
              </w:rPr>
              <w:t>engine and medic</w:t>
            </w:r>
            <w:r>
              <w:rPr>
                <w:rFonts w:eastAsia="Calibri" w:cs="Times New Roman"/>
                <w:sz w:val="20"/>
                <w:szCs w:val="20"/>
                <w:lang w:eastAsia="en-US"/>
              </w:rPr>
              <w:t xml:space="preserve"> u</w:t>
            </w:r>
            <w:r w:rsidR="006F0630">
              <w:rPr>
                <w:rFonts w:eastAsia="Calibri" w:cs="Times New Roman"/>
                <w:sz w:val="20"/>
                <w:szCs w:val="20"/>
                <w:lang w:eastAsia="en-US"/>
              </w:rPr>
              <w:t>nit</w:t>
            </w:r>
            <w:r w:rsidR="006F0630" w:rsidRPr="006F0630">
              <w:rPr>
                <w:rFonts w:eastAsia="Calibri" w:cs="Times New Roman"/>
                <w:sz w:val="20"/>
                <w:szCs w:val="20"/>
                <w:lang w:eastAsia="en-US"/>
              </w:rPr>
              <w:t>, each staffed with two (four-person minimum</w:t>
            </w:r>
            <w:r w:rsidR="002A72C1">
              <w:rPr>
                <w:rFonts w:eastAsia="Calibri" w:cs="Times New Roman"/>
                <w:sz w:val="20"/>
                <w:szCs w:val="20"/>
                <w:lang w:eastAsia="en-US"/>
              </w:rPr>
              <w:t xml:space="preserve"> assigned to the station</w:t>
            </w:r>
            <w:r w:rsidR="006F0630" w:rsidRPr="006F0630">
              <w:rPr>
                <w:rFonts w:eastAsia="Calibri" w:cs="Times New Roman"/>
                <w:sz w:val="20"/>
                <w:szCs w:val="20"/>
                <w:lang w:eastAsia="en-US"/>
              </w:rPr>
              <w:t>).</w:t>
            </w:r>
            <w:r w:rsidR="006F0630">
              <w:rPr>
                <w:rFonts w:eastAsia="Calibri" w:cs="Times New Roman"/>
                <w:sz w:val="20"/>
                <w:szCs w:val="20"/>
                <w:lang w:eastAsia="en-US"/>
              </w:rPr>
              <w:t xml:space="preserve">  </w:t>
            </w:r>
            <w:r>
              <w:rPr>
                <w:rFonts w:eastAsia="Calibri" w:cs="Times New Roman"/>
                <w:sz w:val="20"/>
                <w:szCs w:val="20"/>
                <w:lang w:eastAsia="en-US"/>
              </w:rPr>
              <w:t>The a</w:t>
            </w:r>
            <w:r w:rsidR="00A532FD">
              <w:rPr>
                <w:rFonts w:eastAsia="Calibri" w:cs="Times New Roman"/>
                <w:sz w:val="20"/>
                <w:szCs w:val="20"/>
                <w:lang w:eastAsia="en-US"/>
              </w:rPr>
              <w:t>dministrative offices are cramped</w:t>
            </w:r>
            <w:r>
              <w:rPr>
                <w:rFonts w:eastAsia="Calibri" w:cs="Times New Roman"/>
                <w:sz w:val="20"/>
                <w:szCs w:val="20"/>
                <w:lang w:eastAsia="en-US"/>
              </w:rPr>
              <w:t xml:space="preserve"> with</w:t>
            </w:r>
            <w:r w:rsidR="00A532FD">
              <w:rPr>
                <w:rFonts w:eastAsia="Calibri" w:cs="Times New Roman"/>
                <w:sz w:val="20"/>
                <w:szCs w:val="20"/>
                <w:lang w:eastAsia="en-US"/>
              </w:rPr>
              <w:t xml:space="preserve"> no room for expansion</w:t>
            </w:r>
            <w:r>
              <w:rPr>
                <w:rFonts w:eastAsia="Calibri" w:cs="Times New Roman"/>
                <w:sz w:val="20"/>
                <w:szCs w:val="20"/>
                <w:lang w:eastAsia="en-US"/>
              </w:rPr>
              <w:t>;</w:t>
            </w:r>
            <w:r w:rsidR="00A532FD">
              <w:rPr>
                <w:rFonts w:eastAsia="Calibri" w:cs="Times New Roman"/>
                <w:sz w:val="20"/>
                <w:szCs w:val="20"/>
                <w:lang w:eastAsia="en-US"/>
              </w:rPr>
              <w:t xml:space="preserve"> the circulation to the administrative offices follows a </w:t>
            </w:r>
            <w:r w:rsidR="004C6F97">
              <w:rPr>
                <w:rFonts w:eastAsia="Calibri" w:cs="Times New Roman"/>
                <w:sz w:val="20"/>
                <w:szCs w:val="20"/>
                <w:lang w:eastAsia="en-US"/>
              </w:rPr>
              <w:t>confusing</w:t>
            </w:r>
            <w:r w:rsidR="00A532FD">
              <w:rPr>
                <w:rFonts w:eastAsia="Calibri" w:cs="Times New Roman"/>
                <w:sz w:val="20"/>
                <w:szCs w:val="20"/>
                <w:lang w:eastAsia="en-US"/>
              </w:rPr>
              <w:t xml:space="preserve"> path</w:t>
            </w:r>
            <w:r w:rsidR="004C6F97">
              <w:rPr>
                <w:rFonts w:eastAsia="Calibri" w:cs="Times New Roman"/>
                <w:sz w:val="20"/>
                <w:szCs w:val="20"/>
                <w:lang w:eastAsia="en-US"/>
              </w:rPr>
              <w:t xml:space="preserve">.  Ambulance billing is </w:t>
            </w:r>
            <w:r>
              <w:rPr>
                <w:rFonts w:eastAsia="Calibri" w:cs="Times New Roman"/>
                <w:sz w:val="20"/>
                <w:szCs w:val="20"/>
                <w:lang w:eastAsia="en-US"/>
              </w:rPr>
              <w:t>conducted</w:t>
            </w:r>
            <w:r w:rsidR="004C6F97">
              <w:rPr>
                <w:rFonts w:eastAsia="Calibri" w:cs="Times New Roman"/>
                <w:sz w:val="20"/>
                <w:szCs w:val="20"/>
                <w:lang w:eastAsia="en-US"/>
              </w:rPr>
              <w:t xml:space="preserve"> in an open space, leading to confidentiality issues.</w:t>
            </w:r>
          </w:p>
        </w:tc>
      </w:tr>
      <w:tr w:rsidR="00407744" w:rsidRPr="00407744" w14:paraId="4EEADB7B" w14:textId="77777777" w:rsidTr="00407744">
        <w:trPr>
          <w:cantSplit/>
          <w:trHeight w:val="360"/>
          <w:jc w:val="center"/>
        </w:trPr>
        <w:tc>
          <w:tcPr>
            <w:tcW w:w="2268" w:type="pct"/>
            <w:tcBorders>
              <w:top w:val="single" w:sz="8" w:space="0" w:color="0B3D70"/>
              <w:bottom w:val="nil"/>
              <w:right w:val="single" w:sz="2" w:space="0" w:color="FFFFFF"/>
            </w:tcBorders>
            <w:shd w:val="clear" w:color="auto" w:fill="365F91"/>
            <w:vAlign w:val="center"/>
            <w:hideMark/>
          </w:tcPr>
          <w:p w14:paraId="604D1401" w14:textId="77777777" w:rsidR="00407744" w:rsidRPr="00407744" w:rsidRDefault="00407744" w:rsidP="00407744">
            <w:pPr>
              <w:spacing w:after="0" w:line="240" w:lineRule="auto"/>
              <w:jc w:val="left"/>
              <w:rPr>
                <w:rFonts w:eastAsia="Calibri" w:cs="Times New Roman"/>
                <w:b/>
                <w:caps/>
                <w:color w:val="FFFFFF"/>
                <w:sz w:val="20"/>
                <w:szCs w:val="20"/>
              </w:rPr>
            </w:pPr>
            <w:r w:rsidRPr="00407744">
              <w:rPr>
                <w:rFonts w:eastAsia="Calibri" w:cs="Times New Roman"/>
                <w:b/>
                <w:caps/>
                <w:color w:val="FFFFFF"/>
                <w:sz w:val="20"/>
                <w:szCs w:val="20"/>
              </w:rPr>
              <w:t>SURVEY COMPONENT</w:t>
            </w:r>
          </w:p>
        </w:tc>
        <w:tc>
          <w:tcPr>
            <w:tcW w:w="2732" w:type="pct"/>
            <w:tcBorders>
              <w:top w:val="single" w:sz="8" w:space="0" w:color="0B3D70"/>
              <w:left w:val="single" w:sz="2" w:space="0" w:color="FFFFFF"/>
              <w:bottom w:val="nil"/>
            </w:tcBorders>
            <w:shd w:val="clear" w:color="auto" w:fill="365F91"/>
            <w:vAlign w:val="center"/>
          </w:tcPr>
          <w:p w14:paraId="0805506B" w14:textId="77777777" w:rsidR="00407744" w:rsidRPr="00407744" w:rsidRDefault="00407744" w:rsidP="00407744">
            <w:pPr>
              <w:spacing w:after="0" w:line="240" w:lineRule="auto"/>
              <w:jc w:val="left"/>
              <w:rPr>
                <w:rFonts w:eastAsia="Calibri" w:cs="Times New Roman"/>
                <w:b/>
                <w:caps/>
                <w:color w:val="FFFFFF"/>
                <w:sz w:val="20"/>
                <w:szCs w:val="20"/>
              </w:rPr>
            </w:pPr>
            <w:r w:rsidRPr="00407744">
              <w:rPr>
                <w:rFonts w:eastAsia="Calibri" w:cs="Times New Roman"/>
                <w:b/>
                <w:caps/>
                <w:color w:val="FFFFFF"/>
                <w:sz w:val="20"/>
                <w:szCs w:val="20"/>
              </w:rPr>
              <w:t>Observations</w:t>
            </w:r>
          </w:p>
        </w:tc>
      </w:tr>
      <w:tr w:rsidR="00407744" w:rsidRPr="00407744" w14:paraId="5C0341AA" w14:textId="77777777" w:rsidTr="00407744">
        <w:trPr>
          <w:cantSplit/>
          <w:trHeight w:val="315"/>
          <w:jc w:val="center"/>
        </w:trPr>
        <w:tc>
          <w:tcPr>
            <w:tcW w:w="5000" w:type="pct"/>
            <w:gridSpan w:val="2"/>
            <w:tcBorders>
              <w:top w:val="nil"/>
              <w:bottom w:val="single" w:sz="8" w:space="0" w:color="0B3D70"/>
            </w:tcBorders>
            <w:shd w:val="clear" w:color="auto" w:fill="D9D9D9"/>
            <w:vAlign w:val="center"/>
            <w:hideMark/>
          </w:tcPr>
          <w:p w14:paraId="22F2E9E2" w14:textId="677114CF" w:rsidR="00407744" w:rsidRPr="00407744" w:rsidRDefault="00407744" w:rsidP="00407744">
            <w:pPr>
              <w:spacing w:after="0" w:line="240" w:lineRule="auto"/>
              <w:jc w:val="left"/>
              <w:rPr>
                <w:rFonts w:eastAsia="Times New Roman" w:cs="Times New Roman"/>
                <w:caps/>
                <w:sz w:val="20"/>
                <w:szCs w:val="20"/>
              </w:rPr>
            </w:pPr>
            <w:r w:rsidRPr="00407744">
              <w:rPr>
                <w:rFonts w:eastAsia="Times New Roman" w:cs="Times New Roman"/>
                <w:b/>
                <w:caps/>
                <w:color w:val="365F91"/>
                <w:sz w:val="20"/>
                <w:szCs w:val="20"/>
              </w:rPr>
              <w:t>structure</w:t>
            </w:r>
            <w:r w:rsidR="00585E3B">
              <w:rPr>
                <w:rFonts w:eastAsia="Times New Roman" w:cs="Times New Roman"/>
                <w:b/>
                <w:caps/>
                <w:color w:val="365F91"/>
                <w:sz w:val="20"/>
                <w:szCs w:val="20"/>
              </w:rPr>
              <w:t xml:space="preserve"> -- </w:t>
            </w:r>
            <w:r w:rsidRPr="00407744">
              <w:rPr>
                <w:rFonts w:eastAsia="Times New Roman" w:cs="Times New Roman"/>
                <w:b/>
                <w:caps/>
                <w:color w:val="365F91"/>
                <w:sz w:val="20"/>
                <w:szCs w:val="20"/>
              </w:rPr>
              <w:t xml:space="preserve">Station 81 </w:t>
            </w:r>
          </w:p>
        </w:tc>
      </w:tr>
      <w:tr w:rsidR="00407744" w:rsidRPr="00407744" w14:paraId="78FB4A7F" w14:textId="77777777" w:rsidTr="00407744">
        <w:trPr>
          <w:cantSplit/>
          <w:trHeight w:val="288"/>
          <w:jc w:val="center"/>
        </w:trPr>
        <w:tc>
          <w:tcPr>
            <w:tcW w:w="2268" w:type="pct"/>
            <w:tcBorders>
              <w:top w:val="single" w:sz="8" w:space="0" w:color="0B3D70"/>
            </w:tcBorders>
            <w:vAlign w:val="center"/>
          </w:tcPr>
          <w:p w14:paraId="03FB0A4D" w14:textId="77777777" w:rsidR="00407744" w:rsidRPr="00407744" w:rsidRDefault="00407744" w:rsidP="00407744">
            <w:pPr>
              <w:tabs>
                <w:tab w:val="left" w:pos="-1890"/>
              </w:tabs>
              <w:spacing w:after="0" w:line="240" w:lineRule="auto"/>
              <w:jc w:val="left"/>
              <w:rPr>
                <w:rFonts w:eastAsia="Times New Roman" w:cs="Times New Roman"/>
                <w:color w:val="365F91"/>
                <w:sz w:val="20"/>
                <w:szCs w:val="20"/>
              </w:rPr>
            </w:pPr>
            <w:r w:rsidRPr="00407744">
              <w:rPr>
                <w:rFonts w:eastAsia="Times New Roman" w:cs="Times New Roman"/>
                <w:color w:val="365F91"/>
                <w:sz w:val="20"/>
                <w:szCs w:val="20"/>
              </w:rPr>
              <w:t>Construction type</w:t>
            </w:r>
          </w:p>
        </w:tc>
        <w:tc>
          <w:tcPr>
            <w:tcW w:w="2732" w:type="pct"/>
            <w:tcBorders>
              <w:top w:val="single" w:sz="8" w:space="0" w:color="0B3D70"/>
            </w:tcBorders>
            <w:vAlign w:val="center"/>
          </w:tcPr>
          <w:p w14:paraId="50C6E2E5" w14:textId="77777777" w:rsidR="00407744" w:rsidRPr="00407744" w:rsidRDefault="00407744" w:rsidP="00407744">
            <w:pPr>
              <w:spacing w:after="0" w:line="240" w:lineRule="auto"/>
              <w:jc w:val="left"/>
              <w:rPr>
                <w:rFonts w:eastAsia="Times New Roman" w:cs="Times New Roman"/>
                <w:sz w:val="20"/>
                <w:szCs w:val="20"/>
              </w:rPr>
            </w:pPr>
            <w:r w:rsidRPr="00407744">
              <w:rPr>
                <w:rFonts w:eastAsia="Times New Roman" w:cs="Times New Roman"/>
                <w:sz w:val="20"/>
                <w:szCs w:val="20"/>
              </w:rPr>
              <w:t>Wood frame</w:t>
            </w:r>
          </w:p>
        </w:tc>
      </w:tr>
      <w:tr w:rsidR="00407744" w:rsidRPr="00407744" w14:paraId="3761936E" w14:textId="77777777" w:rsidTr="00407744">
        <w:trPr>
          <w:cantSplit/>
          <w:trHeight w:val="288"/>
          <w:jc w:val="center"/>
        </w:trPr>
        <w:tc>
          <w:tcPr>
            <w:tcW w:w="2268" w:type="pct"/>
            <w:tcBorders>
              <w:top w:val="single" w:sz="8" w:space="0" w:color="0B3D70"/>
            </w:tcBorders>
            <w:vAlign w:val="center"/>
          </w:tcPr>
          <w:p w14:paraId="5B65EC23" w14:textId="77777777" w:rsidR="00407744" w:rsidRPr="00407744" w:rsidRDefault="00407744" w:rsidP="00407744">
            <w:pPr>
              <w:tabs>
                <w:tab w:val="left" w:pos="-1890"/>
              </w:tabs>
              <w:spacing w:after="0" w:line="240" w:lineRule="auto"/>
              <w:jc w:val="left"/>
              <w:rPr>
                <w:rFonts w:eastAsia="Times New Roman" w:cs="Times New Roman"/>
                <w:color w:val="365F91"/>
                <w:sz w:val="20"/>
                <w:szCs w:val="20"/>
              </w:rPr>
            </w:pPr>
            <w:r w:rsidRPr="00407744">
              <w:rPr>
                <w:rFonts w:eastAsia="Times New Roman" w:cs="Times New Roman"/>
                <w:color w:val="365F91"/>
                <w:sz w:val="20"/>
                <w:szCs w:val="20"/>
              </w:rPr>
              <w:t>Date</w:t>
            </w:r>
          </w:p>
        </w:tc>
        <w:tc>
          <w:tcPr>
            <w:tcW w:w="2732" w:type="pct"/>
            <w:vAlign w:val="center"/>
          </w:tcPr>
          <w:p w14:paraId="7020DA3F" w14:textId="77777777" w:rsidR="00407744" w:rsidRPr="00407744" w:rsidRDefault="00407744" w:rsidP="00407744">
            <w:pPr>
              <w:spacing w:after="0" w:line="240" w:lineRule="auto"/>
              <w:jc w:val="left"/>
              <w:rPr>
                <w:rFonts w:eastAsia="Times New Roman" w:cs="Times New Roman"/>
                <w:sz w:val="20"/>
                <w:szCs w:val="20"/>
              </w:rPr>
            </w:pPr>
            <w:r w:rsidRPr="00407744">
              <w:rPr>
                <w:rFonts w:eastAsia="Times New Roman" w:cs="Times New Roman"/>
                <w:sz w:val="20"/>
                <w:szCs w:val="20"/>
              </w:rPr>
              <w:t>11-30-1999</w:t>
            </w:r>
          </w:p>
        </w:tc>
      </w:tr>
      <w:tr w:rsidR="00407744" w:rsidRPr="00407744" w14:paraId="5DB3BC73" w14:textId="77777777" w:rsidTr="00407744">
        <w:trPr>
          <w:cantSplit/>
          <w:trHeight w:val="288"/>
          <w:jc w:val="center"/>
        </w:trPr>
        <w:tc>
          <w:tcPr>
            <w:tcW w:w="2268" w:type="pct"/>
            <w:tcBorders>
              <w:top w:val="single" w:sz="8" w:space="0" w:color="0B3D70"/>
            </w:tcBorders>
            <w:vAlign w:val="center"/>
          </w:tcPr>
          <w:p w14:paraId="3561B635" w14:textId="77777777" w:rsidR="00407744" w:rsidRPr="00407744" w:rsidRDefault="00407744" w:rsidP="00407744">
            <w:pPr>
              <w:tabs>
                <w:tab w:val="left" w:pos="-1890"/>
              </w:tabs>
              <w:spacing w:after="0" w:line="240" w:lineRule="auto"/>
              <w:jc w:val="left"/>
              <w:rPr>
                <w:rFonts w:eastAsia="Times New Roman" w:cs="Times New Roman"/>
                <w:color w:val="365F91"/>
                <w:sz w:val="20"/>
                <w:szCs w:val="20"/>
              </w:rPr>
            </w:pPr>
            <w:r w:rsidRPr="00407744">
              <w:rPr>
                <w:rFonts w:eastAsia="Times New Roman" w:cs="Times New Roman"/>
                <w:color w:val="365F91"/>
                <w:sz w:val="20"/>
                <w:szCs w:val="20"/>
              </w:rPr>
              <w:t>Seismic protection/energy audits</w:t>
            </w:r>
          </w:p>
        </w:tc>
        <w:tc>
          <w:tcPr>
            <w:tcW w:w="2732" w:type="pct"/>
            <w:vAlign w:val="center"/>
          </w:tcPr>
          <w:p w14:paraId="0097E188" w14:textId="77777777" w:rsidR="00407744" w:rsidRPr="00407744" w:rsidRDefault="00407744" w:rsidP="00407744">
            <w:pPr>
              <w:spacing w:after="0" w:line="240" w:lineRule="auto"/>
              <w:jc w:val="left"/>
              <w:rPr>
                <w:rFonts w:eastAsia="Times New Roman" w:cs="Times New Roman"/>
                <w:sz w:val="20"/>
                <w:szCs w:val="20"/>
              </w:rPr>
            </w:pPr>
            <w:r w:rsidRPr="00407744">
              <w:rPr>
                <w:rFonts w:eastAsia="Times New Roman" w:cs="Times New Roman"/>
                <w:sz w:val="20"/>
                <w:szCs w:val="20"/>
              </w:rPr>
              <w:t>No</w:t>
            </w:r>
          </w:p>
        </w:tc>
      </w:tr>
      <w:tr w:rsidR="00407744" w:rsidRPr="00407744" w14:paraId="0E65173D" w14:textId="77777777" w:rsidTr="00407744">
        <w:trPr>
          <w:cantSplit/>
          <w:trHeight w:val="288"/>
          <w:jc w:val="center"/>
        </w:trPr>
        <w:tc>
          <w:tcPr>
            <w:tcW w:w="2268" w:type="pct"/>
            <w:tcBorders>
              <w:top w:val="single" w:sz="8" w:space="0" w:color="0B3D70"/>
            </w:tcBorders>
            <w:vAlign w:val="center"/>
          </w:tcPr>
          <w:p w14:paraId="535181C3" w14:textId="77777777" w:rsidR="00407744" w:rsidRPr="00407744" w:rsidRDefault="00407744" w:rsidP="00407744">
            <w:pPr>
              <w:tabs>
                <w:tab w:val="left" w:pos="-1890"/>
              </w:tabs>
              <w:spacing w:after="0" w:line="240" w:lineRule="auto"/>
              <w:jc w:val="left"/>
              <w:rPr>
                <w:rFonts w:eastAsia="Times New Roman" w:cs="Times New Roman"/>
                <w:color w:val="365F91"/>
                <w:sz w:val="20"/>
                <w:szCs w:val="20"/>
              </w:rPr>
            </w:pPr>
            <w:r w:rsidRPr="00407744">
              <w:rPr>
                <w:rFonts w:eastAsia="Times New Roman" w:cs="Times New Roman"/>
                <w:color w:val="365F91"/>
                <w:sz w:val="20"/>
                <w:szCs w:val="20"/>
              </w:rPr>
              <w:t>Auxiliary power</w:t>
            </w:r>
          </w:p>
        </w:tc>
        <w:tc>
          <w:tcPr>
            <w:tcW w:w="2732" w:type="pct"/>
            <w:vAlign w:val="center"/>
          </w:tcPr>
          <w:p w14:paraId="78EBF00D" w14:textId="10C59394" w:rsidR="00407744" w:rsidRPr="00407744" w:rsidRDefault="00407744" w:rsidP="00407744">
            <w:pPr>
              <w:spacing w:after="0" w:line="240" w:lineRule="auto"/>
              <w:jc w:val="left"/>
              <w:rPr>
                <w:rFonts w:eastAsia="Times New Roman" w:cs="Times New Roman"/>
                <w:sz w:val="20"/>
                <w:szCs w:val="20"/>
              </w:rPr>
            </w:pPr>
            <w:r w:rsidRPr="00407744">
              <w:rPr>
                <w:rFonts w:eastAsia="Times New Roman" w:cs="Times New Roman"/>
                <w:sz w:val="20"/>
                <w:szCs w:val="20"/>
              </w:rPr>
              <w:t>Diesel Generator</w:t>
            </w:r>
          </w:p>
        </w:tc>
      </w:tr>
      <w:tr w:rsidR="00407744" w:rsidRPr="00407744" w14:paraId="728C9C7C" w14:textId="77777777" w:rsidTr="00407744">
        <w:trPr>
          <w:cantSplit/>
          <w:trHeight w:val="288"/>
          <w:jc w:val="center"/>
        </w:trPr>
        <w:tc>
          <w:tcPr>
            <w:tcW w:w="2268" w:type="pct"/>
            <w:tcBorders>
              <w:top w:val="single" w:sz="8" w:space="0" w:color="0B3D70"/>
            </w:tcBorders>
            <w:vAlign w:val="center"/>
          </w:tcPr>
          <w:p w14:paraId="57394405" w14:textId="77777777" w:rsidR="00407744" w:rsidRPr="00407744" w:rsidRDefault="00407744" w:rsidP="00407744">
            <w:pPr>
              <w:tabs>
                <w:tab w:val="left" w:pos="-1890"/>
              </w:tabs>
              <w:spacing w:after="0" w:line="240" w:lineRule="auto"/>
              <w:jc w:val="left"/>
              <w:rPr>
                <w:rFonts w:eastAsia="Times New Roman" w:cs="Times New Roman"/>
                <w:color w:val="365F91"/>
                <w:sz w:val="20"/>
                <w:szCs w:val="20"/>
              </w:rPr>
            </w:pPr>
            <w:r w:rsidRPr="00407744">
              <w:rPr>
                <w:rFonts w:eastAsia="Times New Roman" w:cs="Times New Roman"/>
                <w:color w:val="365F91"/>
                <w:sz w:val="20"/>
                <w:szCs w:val="20"/>
              </w:rPr>
              <w:t>Condition</w:t>
            </w:r>
          </w:p>
        </w:tc>
        <w:tc>
          <w:tcPr>
            <w:tcW w:w="2732" w:type="pct"/>
            <w:vAlign w:val="center"/>
          </w:tcPr>
          <w:p w14:paraId="4AF34AE2" w14:textId="77777777" w:rsidR="00407744" w:rsidRPr="00407744" w:rsidRDefault="00407744" w:rsidP="00407744">
            <w:pPr>
              <w:spacing w:after="0" w:line="240" w:lineRule="auto"/>
              <w:jc w:val="left"/>
              <w:rPr>
                <w:rFonts w:eastAsia="Times New Roman" w:cs="Times New Roman"/>
                <w:sz w:val="20"/>
                <w:szCs w:val="20"/>
              </w:rPr>
            </w:pPr>
            <w:r w:rsidRPr="00407744">
              <w:rPr>
                <w:rFonts w:eastAsia="Times New Roman" w:cs="Times New Roman"/>
                <w:sz w:val="20"/>
                <w:szCs w:val="20"/>
              </w:rPr>
              <w:t>Fair</w:t>
            </w:r>
          </w:p>
        </w:tc>
      </w:tr>
      <w:tr w:rsidR="00407744" w:rsidRPr="00407744" w14:paraId="08F62C34" w14:textId="77777777" w:rsidTr="00407744">
        <w:trPr>
          <w:cantSplit/>
          <w:trHeight w:val="288"/>
          <w:jc w:val="center"/>
        </w:trPr>
        <w:tc>
          <w:tcPr>
            <w:tcW w:w="2268" w:type="pct"/>
            <w:vAlign w:val="center"/>
          </w:tcPr>
          <w:p w14:paraId="175C3FD4" w14:textId="77777777" w:rsidR="00407744" w:rsidRPr="00407744" w:rsidRDefault="00407744" w:rsidP="00407744">
            <w:pPr>
              <w:tabs>
                <w:tab w:val="left" w:pos="-1890"/>
              </w:tabs>
              <w:spacing w:after="0" w:line="240" w:lineRule="auto"/>
              <w:jc w:val="left"/>
              <w:rPr>
                <w:rFonts w:eastAsia="Times New Roman" w:cs="Times New Roman"/>
                <w:color w:val="365F91"/>
                <w:sz w:val="20"/>
                <w:szCs w:val="20"/>
              </w:rPr>
            </w:pPr>
            <w:r w:rsidRPr="00407744">
              <w:rPr>
                <w:rFonts w:eastAsia="Times New Roman" w:cs="Times New Roman"/>
                <w:color w:val="365F91"/>
                <w:sz w:val="20"/>
                <w:szCs w:val="20"/>
              </w:rPr>
              <w:t>Special considerations (ADA, mixed gender appropriate, storage, etc.)</w:t>
            </w:r>
          </w:p>
        </w:tc>
        <w:tc>
          <w:tcPr>
            <w:tcW w:w="2732" w:type="pct"/>
            <w:vAlign w:val="center"/>
          </w:tcPr>
          <w:p w14:paraId="49096861" w14:textId="18FC1298" w:rsidR="00407744" w:rsidRPr="00407744" w:rsidRDefault="00A532FD" w:rsidP="00A532FD">
            <w:pPr>
              <w:spacing w:after="0" w:line="240" w:lineRule="auto"/>
              <w:jc w:val="left"/>
              <w:rPr>
                <w:rFonts w:eastAsia="Times New Roman" w:cs="Times New Roman"/>
                <w:sz w:val="20"/>
                <w:szCs w:val="20"/>
              </w:rPr>
            </w:pPr>
            <w:r>
              <w:rPr>
                <w:rFonts w:eastAsia="Times New Roman" w:cs="Times New Roman"/>
                <w:sz w:val="20"/>
                <w:szCs w:val="20"/>
              </w:rPr>
              <w:t xml:space="preserve">Meets </w:t>
            </w:r>
            <w:r w:rsidR="00407744" w:rsidRPr="00407744">
              <w:rPr>
                <w:rFonts w:eastAsia="Times New Roman" w:cs="Times New Roman"/>
                <w:sz w:val="20"/>
                <w:szCs w:val="20"/>
              </w:rPr>
              <w:t xml:space="preserve">ADA </w:t>
            </w:r>
            <w:r>
              <w:rPr>
                <w:rFonts w:eastAsia="Times New Roman" w:cs="Times New Roman"/>
                <w:sz w:val="20"/>
                <w:szCs w:val="20"/>
              </w:rPr>
              <w:t xml:space="preserve">standards and is mixed gender appropriate.  </w:t>
            </w:r>
            <w:r w:rsidR="00407744" w:rsidRPr="00407744">
              <w:rPr>
                <w:rFonts w:eastAsia="Times New Roman" w:cs="Times New Roman"/>
                <w:sz w:val="20"/>
                <w:szCs w:val="20"/>
              </w:rPr>
              <w:t xml:space="preserve">Storage </w:t>
            </w:r>
            <w:r>
              <w:rPr>
                <w:rFonts w:eastAsia="Times New Roman" w:cs="Times New Roman"/>
                <w:sz w:val="20"/>
                <w:szCs w:val="20"/>
              </w:rPr>
              <w:t>is m</w:t>
            </w:r>
            <w:r w:rsidR="00407744" w:rsidRPr="00407744">
              <w:rPr>
                <w:rFonts w:eastAsia="Times New Roman" w:cs="Times New Roman"/>
                <w:sz w:val="20"/>
                <w:szCs w:val="20"/>
              </w:rPr>
              <w:t>inimal</w:t>
            </w:r>
          </w:p>
        </w:tc>
      </w:tr>
      <w:tr w:rsidR="00407744" w:rsidRPr="00407744" w14:paraId="77986607" w14:textId="77777777" w:rsidTr="00407744">
        <w:trPr>
          <w:cantSplit/>
          <w:trHeight w:val="288"/>
          <w:jc w:val="center"/>
        </w:trPr>
        <w:tc>
          <w:tcPr>
            <w:tcW w:w="2268" w:type="pct"/>
            <w:tcBorders>
              <w:bottom w:val="single" w:sz="8" w:space="0" w:color="0B3D70"/>
            </w:tcBorders>
            <w:vAlign w:val="center"/>
          </w:tcPr>
          <w:p w14:paraId="670A8DFF" w14:textId="77777777" w:rsidR="00407744" w:rsidRPr="00407744" w:rsidRDefault="00407744" w:rsidP="00407744">
            <w:pPr>
              <w:tabs>
                <w:tab w:val="left" w:pos="-1890"/>
              </w:tabs>
              <w:spacing w:after="0" w:line="240" w:lineRule="auto"/>
              <w:jc w:val="left"/>
              <w:rPr>
                <w:rFonts w:eastAsia="Times New Roman" w:cs="Times New Roman"/>
                <w:color w:val="365F91"/>
                <w:sz w:val="20"/>
                <w:szCs w:val="20"/>
              </w:rPr>
            </w:pPr>
            <w:r w:rsidRPr="00407744">
              <w:rPr>
                <w:rFonts w:eastAsia="Times New Roman" w:cs="Times New Roman"/>
                <w:color w:val="365F91"/>
                <w:sz w:val="20"/>
                <w:szCs w:val="20"/>
              </w:rPr>
              <w:t>Square footage</w:t>
            </w:r>
          </w:p>
        </w:tc>
        <w:tc>
          <w:tcPr>
            <w:tcW w:w="2732" w:type="pct"/>
            <w:tcBorders>
              <w:bottom w:val="single" w:sz="8" w:space="0" w:color="0B3D70"/>
            </w:tcBorders>
            <w:vAlign w:val="center"/>
          </w:tcPr>
          <w:p w14:paraId="1AF657F1" w14:textId="4ECBAC2D" w:rsidR="00407744" w:rsidRPr="00407744" w:rsidRDefault="00407744" w:rsidP="00407744">
            <w:pPr>
              <w:spacing w:after="0" w:line="240" w:lineRule="auto"/>
              <w:jc w:val="left"/>
              <w:rPr>
                <w:rFonts w:eastAsia="Times New Roman" w:cs="Times New Roman"/>
                <w:sz w:val="20"/>
                <w:szCs w:val="20"/>
              </w:rPr>
            </w:pPr>
            <w:r w:rsidRPr="00407744">
              <w:rPr>
                <w:rFonts w:eastAsia="Times New Roman" w:cs="Times New Roman"/>
                <w:sz w:val="20"/>
                <w:szCs w:val="20"/>
              </w:rPr>
              <w:t>6</w:t>
            </w:r>
            <w:r w:rsidR="002548E8">
              <w:rPr>
                <w:rFonts w:eastAsia="Times New Roman" w:cs="Times New Roman"/>
                <w:sz w:val="20"/>
                <w:szCs w:val="20"/>
              </w:rPr>
              <w:t>,</w:t>
            </w:r>
            <w:r w:rsidRPr="00407744">
              <w:rPr>
                <w:rFonts w:eastAsia="Times New Roman" w:cs="Times New Roman"/>
                <w:sz w:val="20"/>
                <w:szCs w:val="20"/>
              </w:rPr>
              <w:t>200</w:t>
            </w:r>
          </w:p>
        </w:tc>
      </w:tr>
      <w:tr w:rsidR="00407744" w:rsidRPr="00407744" w14:paraId="0A7A7245" w14:textId="77777777" w:rsidTr="00407744">
        <w:trPr>
          <w:cantSplit/>
          <w:trHeight w:val="313"/>
          <w:jc w:val="center"/>
        </w:trPr>
        <w:tc>
          <w:tcPr>
            <w:tcW w:w="5000" w:type="pct"/>
            <w:gridSpan w:val="2"/>
            <w:tcBorders>
              <w:top w:val="single" w:sz="8" w:space="0" w:color="0B3D70"/>
              <w:bottom w:val="single" w:sz="8" w:space="0" w:color="0B3D70"/>
            </w:tcBorders>
            <w:shd w:val="clear" w:color="auto" w:fill="D9D9D9"/>
            <w:vAlign w:val="center"/>
            <w:hideMark/>
          </w:tcPr>
          <w:p w14:paraId="2C8F2490" w14:textId="77777777" w:rsidR="00407744" w:rsidRPr="00407744" w:rsidRDefault="00407744" w:rsidP="00407744">
            <w:pPr>
              <w:spacing w:after="0" w:line="240" w:lineRule="auto"/>
              <w:jc w:val="left"/>
              <w:rPr>
                <w:rFonts w:eastAsia="Times New Roman" w:cs="Times New Roman"/>
                <w:caps/>
                <w:sz w:val="20"/>
                <w:szCs w:val="20"/>
              </w:rPr>
            </w:pPr>
            <w:r w:rsidRPr="00407744">
              <w:rPr>
                <w:rFonts w:eastAsia="Times New Roman" w:cs="Times New Roman"/>
                <w:b/>
                <w:caps/>
                <w:color w:val="365F91"/>
                <w:sz w:val="20"/>
                <w:szCs w:val="20"/>
              </w:rPr>
              <w:t>facilities available</w:t>
            </w:r>
          </w:p>
        </w:tc>
      </w:tr>
      <w:tr w:rsidR="00407744" w:rsidRPr="00407744" w14:paraId="1F32D361" w14:textId="77777777" w:rsidTr="00407744">
        <w:trPr>
          <w:cantSplit/>
          <w:trHeight w:val="288"/>
          <w:jc w:val="center"/>
        </w:trPr>
        <w:tc>
          <w:tcPr>
            <w:tcW w:w="2268" w:type="pct"/>
            <w:tcBorders>
              <w:top w:val="single" w:sz="8" w:space="0" w:color="0B3D70"/>
            </w:tcBorders>
            <w:vAlign w:val="center"/>
          </w:tcPr>
          <w:p w14:paraId="167E7F42" w14:textId="77777777" w:rsidR="00407744" w:rsidRPr="00407744" w:rsidRDefault="00407744" w:rsidP="00407744">
            <w:pPr>
              <w:tabs>
                <w:tab w:val="left" w:pos="-1890"/>
              </w:tabs>
              <w:spacing w:after="0" w:line="240" w:lineRule="auto"/>
              <w:jc w:val="left"/>
              <w:rPr>
                <w:rFonts w:eastAsia="Times New Roman" w:cs="Times New Roman"/>
                <w:color w:val="365F91"/>
                <w:sz w:val="20"/>
                <w:szCs w:val="20"/>
              </w:rPr>
            </w:pPr>
            <w:r w:rsidRPr="00407744">
              <w:rPr>
                <w:rFonts w:eastAsia="Times New Roman" w:cs="Times New Roman"/>
                <w:color w:val="365F91"/>
                <w:sz w:val="20"/>
                <w:szCs w:val="20"/>
              </w:rPr>
              <w:t>Exercise/workout</w:t>
            </w:r>
          </w:p>
        </w:tc>
        <w:tc>
          <w:tcPr>
            <w:tcW w:w="2732" w:type="pct"/>
            <w:tcBorders>
              <w:top w:val="single" w:sz="8" w:space="0" w:color="0B3D70"/>
            </w:tcBorders>
            <w:vAlign w:val="center"/>
          </w:tcPr>
          <w:p w14:paraId="0DE4D7AD" w14:textId="77777777" w:rsidR="00407744" w:rsidRPr="00407744" w:rsidRDefault="00407744" w:rsidP="00407744">
            <w:pPr>
              <w:spacing w:after="0" w:line="240" w:lineRule="auto"/>
              <w:jc w:val="left"/>
              <w:rPr>
                <w:rFonts w:eastAsia="Times New Roman" w:cs="Times New Roman"/>
                <w:sz w:val="20"/>
                <w:szCs w:val="20"/>
              </w:rPr>
            </w:pPr>
            <w:r w:rsidRPr="00407744">
              <w:rPr>
                <w:rFonts w:eastAsia="Times New Roman" w:cs="Times New Roman"/>
                <w:sz w:val="20"/>
                <w:szCs w:val="20"/>
              </w:rPr>
              <w:t>Yes</w:t>
            </w:r>
          </w:p>
        </w:tc>
      </w:tr>
      <w:tr w:rsidR="00407744" w:rsidRPr="00407744" w14:paraId="009D4D77" w14:textId="77777777" w:rsidTr="00407744">
        <w:trPr>
          <w:cantSplit/>
          <w:trHeight w:val="288"/>
          <w:jc w:val="center"/>
        </w:trPr>
        <w:tc>
          <w:tcPr>
            <w:tcW w:w="2268" w:type="pct"/>
            <w:vAlign w:val="center"/>
          </w:tcPr>
          <w:p w14:paraId="7BE3E74F" w14:textId="77777777" w:rsidR="00407744" w:rsidRPr="00407744" w:rsidRDefault="00407744" w:rsidP="00407744">
            <w:pPr>
              <w:tabs>
                <w:tab w:val="left" w:pos="-1890"/>
              </w:tabs>
              <w:spacing w:after="0" w:line="240" w:lineRule="auto"/>
              <w:jc w:val="left"/>
              <w:rPr>
                <w:rFonts w:eastAsia="Times New Roman" w:cs="Times New Roman"/>
                <w:color w:val="365F91"/>
                <w:sz w:val="20"/>
                <w:szCs w:val="20"/>
              </w:rPr>
            </w:pPr>
            <w:r w:rsidRPr="00407744">
              <w:rPr>
                <w:rFonts w:eastAsia="Times New Roman" w:cs="Times New Roman"/>
                <w:color w:val="365F91"/>
                <w:sz w:val="20"/>
                <w:szCs w:val="20"/>
              </w:rPr>
              <w:t xml:space="preserve">Kitchen/dormitory </w:t>
            </w:r>
          </w:p>
        </w:tc>
        <w:tc>
          <w:tcPr>
            <w:tcW w:w="2732" w:type="pct"/>
            <w:vAlign w:val="center"/>
          </w:tcPr>
          <w:p w14:paraId="712DAEF1" w14:textId="77777777" w:rsidR="00407744" w:rsidRPr="00407744" w:rsidRDefault="00407744" w:rsidP="00407744">
            <w:pPr>
              <w:spacing w:after="0" w:line="240" w:lineRule="auto"/>
              <w:jc w:val="left"/>
              <w:rPr>
                <w:rFonts w:eastAsia="Times New Roman" w:cs="Times New Roman"/>
                <w:sz w:val="20"/>
                <w:szCs w:val="20"/>
              </w:rPr>
            </w:pPr>
            <w:r w:rsidRPr="00407744">
              <w:rPr>
                <w:rFonts w:eastAsia="Times New Roman" w:cs="Times New Roman"/>
                <w:sz w:val="20"/>
                <w:szCs w:val="20"/>
              </w:rPr>
              <w:t>Yes</w:t>
            </w:r>
          </w:p>
        </w:tc>
      </w:tr>
      <w:tr w:rsidR="00407744" w:rsidRPr="00407744" w14:paraId="2FFDCABB" w14:textId="77777777" w:rsidTr="00407744">
        <w:trPr>
          <w:cantSplit/>
          <w:trHeight w:val="288"/>
          <w:jc w:val="center"/>
        </w:trPr>
        <w:tc>
          <w:tcPr>
            <w:tcW w:w="2268" w:type="pct"/>
            <w:vAlign w:val="center"/>
          </w:tcPr>
          <w:p w14:paraId="2DB16FBA" w14:textId="77777777" w:rsidR="00407744" w:rsidRPr="00407744" w:rsidRDefault="00407744" w:rsidP="00407744">
            <w:pPr>
              <w:tabs>
                <w:tab w:val="left" w:pos="-1890"/>
              </w:tabs>
              <w:spacing w:after="0" w:line="240" w:lineRule="auto"/>
              <w:jc w:val="left"/>
              <w:rPr>
                <w:rFonts w:eastAsia="Times New Roman" w:cs="Times New Roman"/>
                <w:color w:val="365F91"/>
                <w:sz w:val="20"/>
                <w:szCs w:val="20"/>
              </w:rPr>
            </w:pPr>
            <w:r w:rsidRPr="00407744">
              <w:rPr>
                <w:rFonts w:eastAsia="Times New Roman" w:cs="Times New Roman"/>
                <w:color w:val="365F91"/>
                <w:sz w:val="20"/>
                <w:szCs w:val="20"/>
              </w:rPr>
              <w:t>Lockers/showers</w:t>
            </w:r>
          </w:p>
        </w:tc>
        <w:tc>
          <w:tcPr>
            <w:tcW w:w="2732" w:type="pct"/>
            <w:vAlign w:val="center"/>
          </w:tcPr>
          <w:p w14:paraId="0B17ED78" w14:textId="77777777" w:rsidR="00407744" w:rsidRPr="00407744" w:rsidRDefault="00407744" w:rsidP="00407744">
            <w:pPr>
              <w:spacing w:after="0" w:line="240" w:lineRule="auto"/>
              <w:jc w:val="left"/>
              <w:rPr>
                <w:rFonts w:eastAsia="Times New Roman" w:cs="Times New Roman"/>
                <w:sz w:val="20"/>
                <w:szCs w:val="20"/>
              </w:rPr>
            </w:pPr>
            <w:r w:rsidRPr="00407744">
              <w:rPr>
                <w:rFonts w:eastAsia="Times New Roman" w:cs="Times New Roman"/>
                <w:sz w:val="20"/>
                <w:szCs w:val="20"/>
              </w:rPr>
              <w:t>Yes</w:t>
            </w:r>
          </w:p>
        </w:tc>
      </w:tr>
      <w:tr w:rsidR="00407744" w:rsidRPr="00407744" w14:paraId="7E5B532F" w14:textId="77777777" w:rsidTr="00407744">
        <w:trPr>
          <w:cantSplit/>
          <w:trHeight w:val="288"/>
          <w:jc w:val="center"/>
        </w:trPr>
        <w:tc>
          <w:tcPr>
            <w:tcW w:w="2268" w:type="pct"/>
            <w:vAlign w:val="center"/>
          </w:tcPr>
          <w:p w14:paraId="3657379F" w14:textId="77777777" w:rsidR="00407744" w:rsidRPr="00407744" w:rsidRDefault="00407744" w:rsidP="00407744">
            <w:pPr>
              <w:tabs>
                <w:tab w:val="left" w:pos="-1890"/>
              </w:tabs>
              <w:spacing w:after="0" w:line="240" w:lineRule="auto"/>
              <w:jc w:val="left"/>
              <w:rPr>
                <w:rFonts w:eastAsia="Times New Roman" w:cs="Times New Roman"/>
                <w:color w:val="365F91"/>
                <w:sz w:val="20"/>
                <w:szCs w:val="20"/>
              </w:rPr>
            </w:pPr>
            <w:r w:rsidRPr="00407744">
              <w:rPr>
                <w:rFonts w:eastAsia="Times New Roman" w:cs="Times New Roman"/>
                <w:color w:val="365F91"/>
                <w:sz w:val="20"/>
                <w:szCs w:val="20"/>
              </w:rPr>
              <w:t>Training/meetings</w:t>
            </w:r>
          </w:p>
        </w:tc>
        <w:tc>
          <w:tcPr>
            <w:tcW w:w="2732" w:type="pct"/>
            <w:vAlign w:val="center"/>
          </w:tcPr>
          <w:p w14:paraId="4AFD9C20" w14:textId="77777777" w:rsidR="00407744" w:rsidRPr="00407744" w:rsidRDefault="00407744" w:rsidP="00407744">
            <w:pPr>
              <w:spacing w:after="0" w:line="240" w:lineRule="auto"/>
              <w:jc w:val="left"/>
              <w:rPr>
                <w:rFonts w:eastAsia="Times New Roman" w:cs="Times New Roman"/>
                <w:sz w:val="20"/>
                <w:szCs w:val="20"/>
              </w:rPr>
            </w:pPr>
            <w:r w:rsidRPr="00407744">
              <w:rPr>
                <w:rFonts w:eastAsia="Times New Roman" w:cs="Times New Roman"/>
                <w:sz w:val="20"/>
                <w:szCs w:val="20"/>
              </w:rPr>
              <w:t>No</w:t>
            </w:r>
          </w:p>
        </w:tc>
      </w:tr>
      <w:tr w:rsidR="00407744" w:rsidRPr="00407744" w14:paraId="2A8DDF76" w14:textId="77777777" w:rsidTr="00407744">
        <w:trPr>
          <w:cantSplit/>
          <w:trHeight w:val="288"/>
          <w:jc w:val="center"/>
        </w:trPr>
        <w:tc>
          <w:tcPr>
            <w:tcW w:w="2268" w:type="pct"/>
            <w:tcBorders>
              <w:bottom w:val="single" w:sz="8" w:space="0" w:color="0B3D70"/>
            </w:tcBorders>
            <w:vAlign w:val="center"/>
          </w:tcPr>
          <w:p w14:paraId="109330EE" w14:textId="77777777" w:rsidR="00407744" w:rsidRPr="00407744" w:rsidRDefault="00407744" w:rsidP="00407744">
            <w:pPr>
              <w:tabs>
                <w:tab w:val="left" w:pos="-1890"/>
              </w:tabs>
              <w:spacing w:after="0" w:line="240" w:lineRule="auto"/>
              <w:jc w:val="left"/>
              <w:rPr>
                <w:rFonts w:eastAsia="Times New Roman" w:cs="Times New Roman"/>
                <w:color w:val="365F91"/>
                <w:sz w:val="20"/>
                <w:szCs w:val="20"/>
              </w:rPr>
            </w:pPr>
            <w:r w:rsidRPr="00407744">
              <w:rPr>
                <w:rFonts w:eastAsia="Times New Roman" w:cs="Times New Roman"/>
                <w:color w:val="365F91"/>
                <w:sz w:val="20"/>
                <w:szCs w:val="20"/>
              </w:rPr>
              <w:t>Washer/dryer</w:t>
            </w:r>
          </w:p>
        </w:tc>
        <w:tc>
          <w:tcPr>
            <w:tcW w:w="2732" w:type="pct"/>
            <w:tcBorders>
              <w:bottom w:val="single" w:sz="8" w:space="0" w:color="0B3D70"/>
            </w:tcBorders>
            <w:vAlign w:val="center"/>
          </w:tcPr>
          <w:p w14:paraId="79C8E1DD" w14:textId="77777777" w:rsidR="00407744" w:rsidRPr="00407744" w:rsidRDefault="00407744" w:rsidP="00407744">
            <w:pPr>
              <w:spacing w:after="0" w:line="240" w:lineRule="auto"/>
              <w:jc w:val="left"/>
              <w:rPr>
                <w:rFonts w:eastAsia="Times New Roman" w:cs="Times New Roman"/>
                <w:sz w:val="20"/>
                <w:szCs w:val="20"/>
              </w:rPr>
            </w:pPr>
            <w:r w:rsidRPr="00407744">
              <w:rPr>
                <w:rFonts w:eastAsia="Times New Roman" w:cs="Times New Roman"/>
                <w:sz w:val="20"/>
                <w:szCs w:val="20"/>
              </w:rPr>
              <w:t>No</w:t>
            </w:r>
          </w:p>
        </w:tc>
      </w:tr>
      <w:tr w:rsidR="00407744" w:rsidRPr="00407744" w14:paraId="0218173A" w14:textId="77777777" w:rsidTr="00407744">
        <w:trPr>
          <w:cantSplit/>
          <w:trHeight w:val="317"/>
          <w:jc w:val="center"/>
        </w:trPr>
        <w:tc>
          <w:tcPr>
            <w:tcW w:w="5000" w:type="pct"/>
            <w:gridSpan w:val="2"/>
            <w:tcBorders>
              <w:top w:val="single" w:sz="8" w:space="0" w:color="0B3D70"/>
              <w:bottom w:val="single" w:sz="8" w:space="0" w:color="0B3D70"/>
            </w:tcBorders>
            <w:shd w:val="clear" w:color="auto" w:fill="D9D9D9"/>
            <w:vAlign w:val="center"/>
            <w:hideMark/>
          </w:tcPr>
          <w:p w14:paraId="1FC2753B" w14:textId="77777777" w:rsidR="00407744" w:rsidRPr="00407744" w:rsidRDefault="00407744" w:rsidP="00407744">
            <w:pPr>
              <w:spacing w:after="0" w:line="240" w:lineRule="auto"/>
              <w:jc w:val="left"/>
              <w:rPr>
                <w:rFonts w:eastAsia="Times New Roman" w:cs="Times New Roman"/>
                <w:caps/>
                <w:sz w:val="20"/>
                <w:szCs w:val="20"/>
              </w:rPr>
            </w:pPr>
            <w:r w:rsidRPr="00407744">
              <w:rPr>
                <w:rFonts w:eastAsia="Times New Roman" w:cs="Times New Roman"/>
                <w:b/>
                <w:caps/>
                <w:color w:val="365F91"/>
                <w:sz w:val="20"/>
                <w:szCs w:val="20"/>
              </w:rPr>
              <w:t>facilities available</w:t>
            </w:r>
          </w:p>
        </w:tc>
      </w:tr>
      <w:tr w:rsidR="00407744" w:rsidRPr="00407744" w14:paraId="5901E4D8" w14:textId="77777777" w:rsidTr="00407744">
        <w:trPr>
          <w:cantSplit/>
          <w:trHeight w:val="288"/>
          <w:jc w:val="center"/>
        </w:trPr>
        <w:tc>
          <w:tcPr>
            <w:tcW w:w="2268" w:type="pct"/>
            <w:tcBorders>
              <w:top w:val="single" w:sz="8" w:space="0" w:color="0B3D70"/>
            </w:tcBorders>
            <w:vAlign w:val="center"/>
          </w:tcPr>
          <w:p w14:paraId="713FC7C9" w14:textId="77777777" w:rsidR="00407744" w:rsidRPr="00407744" w:rsidRDefault="00407744" w:rsidP="00407744">
            <w:pPr>
              <w:tabs>
                <w:tab w:val="left" w:pos="-1890"/>
              </w:tabs>
              <w:spacing w:after="0" w:line="240" w:lineRule="auto"/>
              <w:jc w:val="left"/>
              <w:rPr>
                <w:rFonts w:eastAsia="Times New Roman" w:cs="Times New Roman"/>
                <w:color w:val="365F91"/>
                <w:sz w:val="20"/>
                <w:szCs w:val="20"/>
              </w:rPr>
            </w:pPr>
            <w:r w:rsidRPr="00407744">
              <w:rPr>
                <w:rFonts w:eastAsia="Times New Roman" w:cs="Times New Roman"/>
                <w:color w:val="365F91"/>
                <w:sz w:val="20"/>
                <w:szCs w:val="20"/>
              </w:rPr>
              <w:t>Sprinkler system</w:t>
            </w:r>
          </w:p>
        </w:tc>
        <w:tc>
          <w:tcPr>
            <w:tcW w:w="2732" w:type="pct"/>
            <w:tcBorders>
              <w:top w:val="single" w:sz="8" w:space="0" w:color="0B3D70"/>
            </w:tcBorders>
            <w:vAlign w:val="center"/>
          </w:tcPr>
          <w:p w14:paraId="36E0614F" w14:textId="77777777" w:rsidR="00407744" w:rsidRPr="00407744" w:rsidRDefault="00407744" w:rsidP="00407744">
            <w:pPr>
              <w:spacing w:after="0" w:line="240" w:lineRule="auto"/>
              <w:jc w:val="left"/>
              <w:rPr>
                <w:rFonts w:eastAsia="Times New Roman" w:cs="Times New Roman"/>
                <w:sz w:val="20"/>
                <w:szCs w:val="20"/>
              </w:rPr>
            </w:pPr>
            <w:r w:rsidRPr="00407744">
              <w:rPr>
                <w:rFonts w:eastAsia="Times New Roman" w:cs="Times New Roman"/>
                <w:sz w:val="20"/>
                <w:szCs w:val="20"/>
              </w:rPr>
              <w:t>Yes</w:t>
            </w:r>
          </w:p>
        </w:tc>
      </w:tr>
      <w:tr w:rsidR="00407744" w:rsidRPr="00407744" w14:paraId="56F457C6" w14:textId="77777777" w:rsidTr="00407744">
        <w:trPr>
          <w:cantSplit/>
          <w:trHeight w:val="288"/>
          <w:jc w:val="center"/>
        </w:trPr>
        <w:tc>
          <w:tcPr>
            <w:tcW w:w="2268" w:type="pct"/>
            <w:vAlign w:val="center"/>
          </w:tcPr>
          <w:p w14:paraId="38B527CF" w14:textId="77777777" w:rsidR="00407744" w:rsidRPr="00407744" w:rsidRDefault="00407744" w:rsidP="00407744">
            <w:pPr>
              <w:tabs>
                <w:tab w:val="left" w:pos="-1890"/>
              </w:tabs>
              <w:spacing w:after="0" w:line="240" w:lineRule="auto"/>
              <w:jc w:val="left"/>
              <w:rPr>
                <w:rFonts w:eastAsia="Times New Roman" w:cs="Times New Roman"/>
                <w:color w:val="365F91"/>
                <w:sz w:val="20"/>
                <w:szCs w:val="20"/>
              </w:rPr>
            </w:pPr>
            <w:r w:rsidRPr="00407744">
              <w:rPr>
                <w:rFonts w:eastAsia="Times New Roman" w:cs="Times New Roman"/>
                <w:color w:val="365F91"/>
                <w:sz w:val="20"/>
                <w:szCs w:val="20"/>
              </w:rPr>
              <w:t>Smoke detection</w:t>
            </w:r>
          </w:p>
        </w:tc>
        <w:tc>
          <w:tcPr>
            <w:tcW w:w="2732" w:type="pct"/>
            <w:vAlign w:val="center"/>
          </w:tcPr>
          <w:p w14:paraId="18C4F4E9" w14:textId="77777777" w:rsidR="00407744" w:rsidRPr="00407744" w:rsidRDefault="00407744" w:rsidP="00407744">
            <w:pPr>
              <w:spacing w:after="0" w:line="240" w:lineRule="auto"/>
              <w:jc w:val="left"/>
              <w:rPr>
                <w:rFonts w:eastAsia="Times New Roman" w:cs="Times New Roman"/>
                <w:sz w:val="20"/>
                <w:szCs w:val="20"/>
              </w:rPr>
            </w:pPr>
            <w:r w:rsidRPr="00407744">
              <w:rPr>
                <w:rFonts w:eastAsia="Times New Roman" w:cs="Times New Roman"/>
                <w:sz w:val="20"/>
                <w:szCs w:val="20"/>
              </w:rPr>
              <w:t>Yes</w:t>
            </w:r>
          </w:p>
        </w:tc>
      </w:tr>
      <w:tr w:rsidR="00407744" w:rsidRPr="00407744" w14:paraId="094E48F5" w14:textId="77777777" w:rsidTr="00407744">
        <w:trPr>
          <w:cantSplit/>
          <w:trHeight w:val="288"/>
          <w:jc w:val="center"/>
        </w:trPr>
        <w:tc>
          <w:tcPr>
            <w:tcW w:w="2268" w:type="pct"/>
            <w:tcBorders>
              <w:bottom w:val="single" w:sz="2" w:space="0" w:color="000000"/>
            </w:tcBorders>
            <w:vAlign w:val="center"/>
          </w:tcPr>
          <w:p w14:paraId="76D82B8E" w14:textId="77777777" w:rsidR="00407744" w:rsidRPr="00407744" w:rsidRDefault="00407744" w:rsidP="00407744">
            <w:pPr>
              <w:tabs>
                <w:tab w:val="left" w:pos="-1890"/>
              </w:tabs>
              <w:spacing w:after="0" w:line="240" w:lineRule="auto"/>
              <w:jc w:val="left"/>
              <w:rPr>
                <w:rFonts w:eastAsia="Times New Roman" w:cs="Times New Roman"/>
                <w:color w:val="365F91"/>
                <w:sz w:val="20"/>
                <w:szCs w:val="20"/>
              </w:rPr>
            </w:pPr>
            <w:r w:rsidRPr="00407744">
              <w:rPr>
                <w:rFonts w:eastAsia="Times New Roman" w:cs="Times New Roman"/>
                <w:color w:val="365F91"/>
                <w:sz w:val="20"/>
                <w:szCs w:val="20"/>
              </w:rPr>
              <w:t>Security</w:t>
            </w:r>
          </w:p>
        </w:tc>
        <w:tc>
          <w:tcPr>
            <w:tcW w:w="2732" w:type="pct"/>
            <w:vAlign w:val="center"/>
          </w:tcPr>
          <w:p w14:paraId="5E0BE49D" w14:textId="77777777" w:rsidR="00407744" w:rsidRPr="00407744" w:rsidRDefault="00407744" w:rsidP="00407744">
            <w:pPr>
              <w:spacing w:after="0" w:line="240" w:lineRule="auto"/>
              <w:jc w:val="left"/>
              <w:rPr>
                <w:rFonts w:eastAsia="Times New Roman" w:cs="Times New Roman"/>
                <w:sz w:val="20"/>
                <w:szCs w:val="20"/>
              </w:rPr>
            </w:pPr>
            <w:r w:rsidRPr="00407744">
              <w:rPr>
                <w:rFonts w:eastAsia="Times New Roman" w:cs="Times New Roman"/>
                <w:sz w:val="20"/>
                <w:szCs w:val="20"/>
              </w:rPr>
              <w:t>No</w:t>
            </w:r>
          </w:p>
        </w:tc>
      </w:tr>
      <w:tr w:rsidR="00407744" w:rsidRPr="00407744" w14:paraId="26873A52" w14:textId="77777777" w:rsidTr="00407744">
        <w:trPr>
          <w:cantSplit/>
          <w:trHeight w:val="288"/>
          <w:jc w:val="center"/>
        </w:trPr>
        <w:tc>
          <w:tcPr>
            <w:tcW w:w="2268" w:type="pct"/>
            <w:vAlign w:val="center"/>
          </w:tcPr>
          <w:p w14:paraId="1B51A464" w14:textId="77777777" w:rsidR="00407744" w:rsidRPr="00407744" w:rsidRDefault="00407744" w:rsidP="00407744">
            <w:pPr>
              <w:tabs>
                <w:tab w:val="left" w:pos="-1890"/>
              </w:tabs>
              <w:spacing w:after="0" w:line="240" w:lineRule="auto"/>
              <w:jc w:val="left"/>
              <w:rPr>
                <w:rFonts w:eastAsia="Times New Roman" w:cs="Times New Roman"/>
                <w:color w:val="365F91"/>
                <w:sz w:val="20"/>
                <w:szCs w:val="20"/>
              </w:rPr>
            </w:pPr>
            <w:r w:rsidRPr="00407744">
              <w:rPr>
                <w:rFonts w:eastAsia="Times New Roman" w:cs="Times New Roman"/>
                <w:color w:val="365F91"/>
                <w:sz w:val="20"/>
                <w:szCs w:val="20"/>
              </w:rPr>
              <w:t>Apparatus exhaust system</w:t>
            </w:r>
          </w:p>
        </w:tc>
        <w:tc>
          <w:tcPr>
            <w:tcW w:w="2732" w:type="pct"/>
            <w:vAlign w:val="center"/>
          </w:tcPr>
          <w:p w14:paraId="261C4B73" w14:textId="77777777" w:rsidR="00407744" w:rsidRPr="00407744" w:rsidRDefault="00407744" w:rsidP="00407744">
            <w:pPr>
              <w:spacing w:after="0" w:line="240" w:lineRule="auto"/>
              <w:jc w:val="left"/>
              <w:rPr>
                <w:rFonts w:eastAsia="Times New Roman" w:cs="Times New Roman"/>
                <w:sz w:val="20"/>
                <w:szCs w:val="20"/>
              </w:rPr>
            </w:pPr>
            <w:r w:rsidRPr="00407744">
              <w:rPr>
                <w:rFonts w:eastAsia="Times New Roman" w:cs="Times New Roman"/>
                <w:sz w:val="20"/>
                <w:szCs w:val="20"/>
              </w:rPr>
              <w:t>Yes</w:t>
            </w:r>
          </w:p>
        </w:tc>
      </w:tr>
    </w:tbl>
    <w:p w14:paraId="572C0D80" w14:textId="517B1DEE" w:rsidR="00585E3B" w:rsidRDefault="00585E3B">
      <w:pPr>
        <w:spacing w:after="200"/>
        <w:jc w:val="left"/>
      </w:pPr>
    </w:p>
    <w:p w14:paraId="7B3821E7" w14:textId="68ABF4FB" w:rsidR="00585E3B" w:rsidRDefault="00585E3B" w:rsidP="00574D69">
      <w:pPr>
        <w:pStyle w:val="Caption"/>
        <w:spacing w:after="0"/>
      </w:pPr>
      <w:bookmarkStart w:id="211" w:name="_Toc464323692"/>
      <w:r>
        <w:t xml:space="preserve">Figure </w:t>
      </w:r>
      <w:r w:rsidR="00432AD4">
        <w:fldChar w:fldCharType="begin"/>
      </w:r>
      <w:r w:rsidR="00432AD4">
        <w:instrText xml:space="preserve"> SEQ Figure \* ARABIC </w:instrText>
      </w:r>
      <w:r w:rsidR="00432AD4">
        <w:fldChar w:fldCharType="separate"/>
      </w:r>
      <w:r w:rsidR="008209A2">
        <w:rPr>
          <w:noProof/>
        </w:rPr>
        <w:t>50</w:t>
      </w:r>
      <w:r w:rsidR="00432AD4">
        <w:rPr>
          <w:noProof/>
        </w:rPr>
        <w:fldChar w:fldCharType="end"/>
      </w:r>
      <w:r w:rsidR="00574D69">
        <w:t xml:space="preserve">: </w:t>
      </w:r>
      <w:r>
        <w:t>Station 82</w:t>
      </w:r>
      <w:bookmarkEnd w:id="211"/>
    </w:p>
    <w:p w14:paraId="37BD1A96" w14:textId="63543BF2" w:rsidR="00585E3B" w:rsidRPr="00585E3B" w:rsidRDefault="00585E3B" w:rsidP="00585E3B">
      <w:pPr>
        <w:spacing w:after="60" w:line="240" w:lineRule="auto"/>
        <w:jc w:val="center"/>
        <w:rPr>
          <w:sz w:val="20"/>
          <w:szCs w:val="20"/>
        </w:rPr>
      </w:pPr>
      <w:r>
        <w:rPr>
          <w:sz w:val="20"/>
          <w:szCs w:val="20"/>
        </w:rPr>
        <w:t xml:space="preserve">Address: </w:t>
      </w:r>
      <w:r w:rsidRPr="00585E3B">
        <w:rPr>
          <w:sz w:val="20"/>
          <w:szCs w:val="20"/>
        </w:rPr>
        <w:t>3502 Varney Ln.</w:t>
      </w:r>
      <w:r>
        <w:rPr>
          <w:sz w:val="20"/>
          <w:szCs w:val="20"/>
        </w:rPr>
        <w:t xml:space="preserve"> (Airport)</w:t>
      </w:r>
    </w:p>
    <w:tbl>
      <w:tblPr>
        <w:tblW w:w="3716" w:type="pct"/>
        <w:jc w:val="center"/>
        <w:tblBorders>
          <w:top w:val="single" w:sz="2" w:space="0" w:color="000000"/>
          <w:bottom w:val="single" w:sz="2" w:space="0" w:color="000000"/>
          <w:insideH w:val="single" w:sz="2" w:space="0" w:color="000000"/>
          <w:insideV w:val="single" w:sz="2" w:space="0" w:color="000000"/>
        </w:tblBorders>
        <w:tblLayout w:type="fixed"/>
        <w:tblCellMar>
          <w:left w:w="115" w:type="dxa"/>
          <w:right w:w="115" w:type="dxa"/>
        </w:tblCellMar>
        <w:tblLook w:val="04A0" w:firstRow="1" w:lastRow="0" w:firstColumn="1" w:lastColumn="0" w:noHBand="0" w:noVBand="1"/>
      </w:tblPr>
      <w:tblGrid>
        <w:gridCol w:w="3233"/>
        <w:gridCol w:w="3894"/>
      </w:tblGrid>
      <w:tr w:rsidR="00585E3B" w:rsidRPr="00585E3B" w14:paraId="557DC72D" w14:textId="77777777" w:rsidTr="00585E3B">
        <w:trPr>
          <w:cantSplit/>
          <w:trHeight w:hRule="exact" w:val="2592"/>
          <w:jc w:val="center"/>
        </w:trPr>
        <w:tc>
          <w:tcPr>
            <w:tcW w:w="2268" w:type="pct"/>
            <w:tcBorders>
              <w:top w:val="single" w:sz="8" w:space="0" w:color="0B3D70"/>
              <w:left w:val="single" w:sz="8" w:space="0" w:color="0B3D70"/>
              <w:bottom w:val="single" w:sz="8" w:space="0" w:color="0B3D70"/>
              <w:right w:val="single" w:sz="8" w:space="0" w:color="0B3D70"/>
            </w:tcBorders>
            <w:shd w:val="clear" w:color="auto" w:fill="auto"/>
            <w:vAlign w:val="center"/>
          </w:tcPr>
          <w:p w14:paraId="698D3846" w14:textId="2A4A96AD" w:rsidR="00585E3B" w:rsidRPr="00585E3B" w:rsidRDefault="00DC291C" w:rsidP="00585E3B">
            <w:pPr>
              <w:spacing w:after="0" w:line="240" w:lineRule="auto"/>
              <w:jc w:val="center"/>
              <w:rPr>
                <w:rFonts w:eastAsia="Calibri" w:cs="Times New Roman"/>
                <w:lang w:eastAsia="en-US"/>
              </w:rPr>
            </w:pPr>
            <w:r w:rsidRPr="00DC291C">
              <w:rPr>
                <w:rFonts w:eastAsia="Calibri" w:cs="Times New Roman"/>
                <w:noProof/>
                <w:lang w:eastAsia="en-US"/>
              </w:rPr>
              <w:drawing>
                <wp:inline distT="0" distB="0" distL="0" distR="0" wp14:anchorId="64A4ABE6" wp14:editId="6AE89CB8">
                  <wp:extent cx="2171140" cy="1476375"/>
                  <wp:effectExtent l="0" t="0" r="635" b="0"/>
                  <wp:docPr id="17" name="Picture 17" descr="Fire Station No.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re Station No. 8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172279" cy="1477150"/>
                          </a:xfrm>
                          <a:prstGeom prst="rect">
                            <a:avLst/>
                          </a:prstGeom>
                          <a:noFill/>
                          <a:ln>
                            <a:noFill/>
                          </a:ln>
                        </pic:spPr>
                      </pic:pic>
                    </a:graphicData>
                  </a:graphic>
                </wp:inline>
              </w:drawing>
            </w:r>
          </w:p>
        </w:tc>
        <w:tc>
          <w:tcPr>
            <w:tcW w:w="2732" w:type="pct"/>
            <w:tcBorders>
              <w:top w:val="single" w:sz="8" w:space="0" w:color="0B3D70"/>
              <w:left w:val="single" w:sz="8" w:space="0" w:color="0B3D70"/>
              <w:bottom w:val="single" w:sz="8" w:space="0" w:color="0B3D70"/>
              <w:right w:val="single" w:sz="8" w:space="0" w:color="0B3D70"/>
            </w:tcBorders>
            <w:shd w:val="clear" w:color="auto" w:fill="auto"/>
            <w:vAlign w:val="center"/>
          </w:tcPr>
          <w:p w14:paraId="69B4BB2E" w14:textId="6513B642" w:rsidR="00585E3B" w:rsidRPr="00585E3B" w:rsidRDefault="006F0630" w:rsidP="002548E8">
            <w:pPr>
              <w:spacing w:after="0" w:line="240" w:lineRule="auto"/>
              <w:jc w:val="left"/>
              <w:rPr>
                <w:rFonts w:eastAsia="Calibri" w:cs="Times New Roman"/>
                <w:sz w:val="20"/>
                <w:szCs w:val="20"/>
                <w:lang w:eastAsia="en-US"/>
              </w:rPr>
            </w:pPr>
            <w:r>
              <w:rPr>
                <w:rFonts w:eastAsia="Calibri" w:cs="Times New Roman"/>
                <w:sz w:val="20"/>
                <w:szCs w:val="20"/>
                <w:lang w:eastAsia="en-US"/>
              </w:rPr>
              <w:t xml:space="preserve">This is a </w:t>
            </w:r>
            <w:r w:rsidR="002548E8">
              <w:rPr>
                <w:rFonts w:eastAsia="Calibri" w:cs="Times New Roman"/>
                <w:sz w:val="20"/>
                <w:szCs w:val="20"/>
                <w:lang w:eastAsia="en-US"/>
              </w:rPr>
              <w:t>six-</w:t>
            </w:r>
            <w:r w:rsidRPr="006F0630">
              <w:rPr>
                <w:rFonts w:eastAsia="Calibri" w:cs="Times New Roman"/>
                <w:sz w:val="20"/>
                <w:szCs w:val="20"/>
                <w:lang w:eastAsia="en-US"/>
              </w:rPr>
              <w:t xml:space="preserve">bay station on airport property, minimum </w:t>
            </w:r>
            <w:r w:rsidR="002548E8">
              <w:rPr>
                <w:rFonts w:eastAsia="Calibri" w:cs="Times New Roman"/>
                <w:sz w:val="20"/>
                <w:szCs w:val="20"/>
                <w:lang w:eastAsia="en-US"/>
              </w:rPr>
              <w:t xml:space="preserve">six </w:t>
            </w:r>
            <w:r>
              <w:rPr>
                <w:rFonts w:eastAsia="Calibri" w:cs="Times New Roman"/>
                <w:sz w:val="20"/>
                <w:szCs w:val="20"/>
                <w:lang w:eastAsia="en-US"/>
              </w:rPr>
              <w:t>personnel</w:t>
            </w:r>
            <w:r w:rsidRPr="006F0630">
              <w:rPr>
                <w:rFonts w:eastAsia="Calibri" w:cs="Times New Roman"/>
                <w:sz w:val="20"/>
                <w:szCs w:val="20"/>
                <w:lang w:eastAsia="en-US"/>
              </w:rPr>
              <w:t xml:space="preserve">, maximum </w:t>
            </w:r>
            <w:r w:rsidR="002548E8">
              <w:rPr>
                <w:rFonts w:eastAsia="Calibri" w:cs="Times New Roman"/>
                <w:sz w:val="20"/>
                <w:szCs w:val="20"/>
                <w:lang w:eastAsia="en-US"/>
              </w:rPr>
              <w:t>seven personnel</w:t>
            </w:r>
            <w:r w:rsidRPr="006F0630">
              <w:rPr>
                <w:rFonts w:eastAsia="Calibri" w:cs="Times New Roman"/>
                <w:sz w:val="20"/>
                <w:szCs w:val="20"/>
                <w:lang w:eastAsia="en-US"/>
              </w:rPr>
              <w:t xml:space="preserve"> staffing.  Two stay on site for ARFF responses to </w:t>
            </w:r>
            <w:r>
              <w:rPr>
                <w:rFonts w:eastAsia="Calibri" w:cs="Times New Roman"/>
                <w:sz w:val="20"/>
                <w:szCs w:val="20"/>
                <w:lang w:eastAsia="en-US"/>
              </w:rPr>
              <w:t xml:space="preserve">the </w:t>
            </w:r>
            <w:r w:rsidRPr="006F0630">
              <w:rPr>
                <w:rFonts w:eastAsia="Calibri" w:cs="Times New Roman"/>
                <w:sz w:val="20"/>
                <w:szCs w:val="20"/>
                <w:lang w:eastAsia="en-US"/>
              </w:rPr>
              <w:t xml:space="preserve">airport.  Houses </w:t>
            </w:r>
            <w:r>
              <w:rPr>
                <w:rFonts w:eastAsia="Calibri" w:cs="Times New Roman"/>
                <w:sz w:val="20"/>
                <w:szCs w:val="20"/>
                <w:lang w:eastAsia="en-US"/>
              </w:rPr>
              <w:t xml:space="preserve">an </w:t>
            </w:r>
            <w:r w:rsidRPr="006F0630">
              <w:rPr>
                <w:rFonts w:eastAsia="Calibri" w:cs="Times New Roman"/>
                <w:sz w:val="20"/>
                <w:szCs w:val="20"/>
                <w:lang w:eastAsia="en-US"/>
              </w:rPr>
              <w:t xml:space="preserve">ARFF unit, </w:t>
            </w:r>
            <w:r>
              <w:rPr>
                <w:rFonts w:eastAsia="Calibri" w:cs="Times New Roman"/>
                <w:sz w:val="20"/>
                <w:szCs w:val="20"/>
                <w:lang w:eastAsia="en-US"/>
              </w:rPr>
              <w:t xml:space="preserve">a </w:t>
            </w:r>
            <w:r w:rsidRPr="006F0630">
              <w:rPr>
                <w:rFonts w:eastAsia="Calibri" w:cs="Times New Roman"/>
                <w:sz w:val="20"/>
                <w:szCs w:val="20"/>
                <w:lang w:eastAsia="en-US"/>
              </w:rPr>
              <w:t xml:space="preserve">Stryker unit, </w:t>
            </w:r>
            <w:r>
              <w:rPr>
                <w:rFonts w:eastAsia="Calibri" w:cs="Times New Roman"/>
                <w:sz w:val="20"/>
                <w:szCs w:val="20"/>
                <w:lang w:eastAsia="en-US"/>
              </w:rPr>
              <w:t xml:space="preserve">a </w:t>
            </w:r>
            <w:r w:rsidR="002548E8" w:rsidRPr="006F0630">
              <w:rPr>
                <w:rFonts w:eastAsia="Calibri" w:cs="Times New Roman"/>
                <w:sz w:val="20"/>
                <w:szCs w:val="20"/>
                <w:lang w:eastAsia="en-US"/>
              </w:rPr>
              <w:t xml:space="preserve">ladder truck and </w:t>
            </w:r>
            <w:r w:rsidR="002548E8">
              <w:rPr>
                <w:rFonts w:eastAsia="Calibri" w:cs="Times New Roman"/>
                <w:sz w:val="20"/>
                <w:szCs w:val="20"/>
                <w:lang w:eastAsia="en-US"/>
              </w:rPr>
              <w:t>a medic u</w:t>
            </w:r>
            <w:r w:rsidR="002548E8" w:rsidRPr="006F0630">
              <w:rPr>
                <w:rFonts w:eastAsia="Calibri" w:cs="Times New Roman"/>
                <w:sz w:val="20"/>
                <w:szCs w:val="20"/>
                <w:lang w:eastAsia="en-US"/>
              </w:rPr>
              <w:t>nit</w:t>
            </w:r>
            <w:r w:rsidRPr="006F0630">
              <w:rPr>
                <w:rFonts w:eastAsia="Calibri" w:cs="Times New Roman"/>
                <w:sz w:val="20"/>
                <w:szCs w:val="20"/>
                <w:lang w:eastAsia="en-US"/>
              </w:rPr>
              <w:t xml:space="preserve">.  </w:t>
            </w:r>
            <w:r>
              <w:rPr>
                <w:rFonts w:eastAsia="Calibri" w:cs="Times New Roman"/>
                <w:sz w:val="20"/>
                <w:szCs w:val="20"/>
                <w:lang w:eastAsia="en-US"/>
              </w:rPr>
              <w:t>The station is a</w:t>
            </w:r>
            <w:r w:rsidRPr="006F0630">
              <w:rPr>
                <w:rFonts w:eastAsia="Calibri" w:cs="Times New Roman"/>
                <w:sz w:val="20"/>
                <w:szCs w:val="20"/>
                <w:lang w:eastAsia="en-US"/>
              </w:rPr>
              <w:t xml:space="preserve">lso home to </w:t>
            </w:r>
            <w:r>
              <w:rPr>
                <w:rFonts w:eastAsia="Calibri" w:cs="Times New Roman"/>
                <w:sz w:val="20"/>
                <w:szCs w:val="20"/>
                <w:lang w:eastAsia="en-US"/>
              </w:rPr>
              <w:t xml:space="preserve">a </w:t>
            </w:r>
            <w:r w:rsidRPr="006F0630">
              <w:rPr>
                <w:rFonts w:eastAsia="Calibri" w:cs="Times New Roman"/>
                <w:sz w:val="20"/>
                <w:szCs w:val="20"/>
                <w:lang w:eastAsia="en-US"/>
              </w:rPr>
              <w:t>reserve engine and miscellaneous trailers for operations support.</w:t>
            </w:r>
            <w:r w:rsidR="001C4A9F">
              <w:rPr>
                <w:rFonts w:eastAsia="Calibri" w:cs="Times New Roman"/>
                <w:sz w:val="20"/>
                <w:szCs w:val="20"/>
                <w:lang w:eastAsia="en-US"/>
              </w:rPr>
              <w:t xml:space="preserve"> </w:t>
            </w:r>
            <w:r w:rsidR="008A278E">
              <w:rPr>
                <w:rFonts w:eastAsia="Calibri" w:cs="Times New Roman"/>
                <w:sz w:val="20"/>
                <w:szCs w:val="20"/>
                <w:lang w:eastAsia="en-US"/>
              </w:rPr>
              <w:t>Poor internal flow, impeding rapid turnout times.  Gaps in exterior walls indicate settling problems.</w:t>
            </w:r>
          </w:p>
        </w:tc>
      </w:tr>
      <w:tr w:rsidR="00585E3B" w:rsidRPr="00585E3B" w14:paraId="4061ECB3" w14:textId="77777777" w:rsidTr="00585E3B">
        <w:trPr>
          <w:cantSplit/>
          <w:trHeight w:val="360"/>
          <w:jc w:val="center"/>
        </w:trPr>
        <w:tc>
          <w:tcPr>
            <w:tcW w:w="2268" w:type="pct"/>
            <w:tcBorders>
              <w:top w:val="single" w:sz="8" w:space="0" w:color="0B3D70"/>
              <w:bottom w:val="nil"/>
              <w:right w:val="single" w:sz="2" w:space="0" w:color="FFFFFF"/>
            </w:tcBorders>
            <w:shd w:val="clear" w:color="auto" w:fill="365F91"/>
            <w:vAlign w:val="center"/>
            <w:hideMark/>
          </w:tcPr>
          <w:p w14:paraId="554EDFAA" w14:textId="77777777" w:rsidR="00585E3B" w:rsidRPr="00585E3B" w:rsidRDefault="00585E3B" w:rsidP="00585E3B">
            <w:pPr>
              <w:spacing w:after="0" w:line="240" w:lineRule="auto"/>
              <w:jc w:val="left"/>
              <w:rPr>
                <w:rFonts w:eastAsia="Calibri" w:cs="Times New Roman"/>
                <w:b/>
                <w:caps/>
                <w:color w:val="FFFFFF"/>
                <w:sz w:val="20"/>
                <w:szCs w:val="20"/>
              </w:rPr>
            </w:pPr>
            <w:r w:rsidRPr="00585E3B">
              <w:rPr>
                <w:rFonts w:eastAsia="Calibri" w:cs="Times New Roman"/>
                <w:b/>
                <w:caps/>
                <w:color w:val="FFFFFF"/>
                <w:sz w:val="20"/>
                <w:szCs w:val="20"/>
              </w:rPr>
              <w:t>SURVEY COMPONENT</w:t>
            </w:r>
          </w:p>
        </w:tc>
        <w:tc>
          <w:tcPr>
            <w:tcW w:w="2732" w:type="pct"/>
            <w:tcBorders>
              <w:top w:val="single" w:sz="8" w:space="0" w:color="0B3D70"/>
              <w:left w:val="single" w:sz="2" w:space="0" w:color="FFFFFF"/>
              <w:bottom w:val="nil"/>
            </w:tcBorders>
            <w:shd w:val="clear" w:color="auto" w:fill="365F91"/>
            <w:vAlign w:val="center"/>
          </w:tcPr>
          <w:p w14:paraId="4DE76030" w14:textId="77777777" w:rsidR="00585E3B" w:rsidRPr="00585E3B" w:rsidRDefault="00585E3B" w:rsidP="00585E3B">
            <w:pPr>
              <w:spacing w:after="0" w:line="240" w:lineRule="auto"/>
              <w:jc w:val="left"/>
              <w:rPr>
                <w:rFonts w:eastAsia="Calibri" w:cs="Times New Roman"/>
                <w:b/>
                <w:caps/>
                <w:color w:val="FFFFFF"/>
                <w:sz w:val="20"/>
                <w:szCs w:val="20"/>
              </w:rPr>
            </w:pPr>
            <w:r w:rsidRPr="00585E3B">
              <w:rPr>
                <w:rFonts w:eastAsia="Calibri" w:cs="Times New Roman"/>
                <w:b/>
                <w:caps/>
                <w:color w:val="FFFFFF"/>
                <w:sz w:val="20"/>
                <w:szCs w:val="20"/>
              </w:rPr>
              <w:t>Observations</w:t>
            </w:r>
          </w:p>
        </w:tc>
      </w:tr>
      <w:tr w:rsidR="00585E3B" w:rsidRPr="00585E3B" w14:paraId="499C8E8B" w14:textId="77777777" w:rsidTr="00585E3B">
        <w:trPr>
          <w:cantSplit/>
          <w:trHeight w:val="315"/>
          <w:jc w:val="center"/>
        </w:trPr>
        <w:tc>
          <w:tcPr>
            <w:tcW w:w="5000" w:type="pct"/>
            <w:gridSpan w:val="2"/>
            <w:tcBorders>
              <w:top w:val="nil"/>
              <w:bottom w:val="single" w:sz="8" w:space="0" w:color="0B3D70"/>
            </w:tcBorders>
            <w:shd w:val="clear" w:color="auto" w:fill="D9D9D9"/>
            <w:vAlign w:val="center"/>
            <w:hideMark/>
          </w:tcPr>
          <w:p w14:paraId="07C27203" w14:textId="78187EF6" w:rsidR="00585E3B" w:rsidRPr="00585E3B" w:rsidRDefault="00585E3B" w:rsidP="00585E3B">
            <w:pPr>
              <w:spacing w:after="0" w:line="240" w:lineRule="auto"/>
              <w:jc w:val="left"/>
              <w:rPr>
                <w:rFonts w:eastAsia="Times New Roman" w:cs="Times New Roman"/>
                <w:caps/>
                <w:sz w:val="20"/>
                <w:szCs w:val="20"/>
              </w:rPr>
            </w:pPr>
            <w:r w:rsidRPr="00585E3B">
              <w:rPr>
                <w:rFonts w:eastAsia="Times New Roman" w:cs="Times New Roman"/>
                <w:b/>
                <w:caps/>
                <w:color w:val="365F91"/>
                <w:sz w:val="20"/>
                <w:szCs w:val="20"/>
              </w:rPr>
              <w:t xml:space="preserve">structure </w:t>
            </w:r>
            <w:r>
              <w:rPr>
                <w:rFonts w:eastAsia="Times New Roman" w:cs="Times New Roman"/>
                <w:b/>
                <w:caps/>
                <w:color w:val="365F91"/>
                <w:sz w:val="20"/>
                <w:szCs w:val="20"/>
              </w:rPr>
              <w:t>--</w:t>
            </w:r>
            <w:r w:rsidRPr="00585E3B">
              <w:rPr>
                <w:rFonts w:eastAsia="Times New Roman" w:cs="Times New Roman"/>
                <w:b/>
                <w:caps/>
                <w:color w:val="365F91"/>
                <w:sz w:val="20"/>
                <w:szCs w:val="20"/>
              </w:rPr>
              <w:t xml:space="preserve"> Station 82</w:t>
            </w:r>
          </w:p>
        </w:tc>
      </w:tr>
      <w:tr w:rsidR="00585E3B" w:rsidRPr="00585E3B" w14:paraId="31A3E0F5" w14:textId="77777777" w:rsidTr="00585E3B">
        <w:trPr>
          <w:cantSplit/>
          <w:trHeight w:val="288"/>
          <w:jc w:val="center"/>
        </w:trPr>
        <w:tc>
          <w:tcPr>
            <w:tcW w:w="2268" w:type="pct"/>
            <w:tcBorders>
              <w:top w:val="single" w:sz="8" w:space="0" w:color="0B3D70"/>
            </w:tcBorders>
            <w:vAlign w:val="center"/>
          </w:tcPr>
          <w:p w14:paraId="16153FD8" w14:textId="77777777" w:rsidR="00585E3B" w:rsidRPr="00585E3B" w:rsidRDefault="00585E3B" w:rsidP="00585E3B">
            <w:pPr>
              <w:tabs>
                <w:tab w:val="left" w:pos="-1890"/>
              </w:tabs>
              <w:spacing w:after="0" w:line="240" w:lineRule="auto"/>
              <w:jc w:val="left"/>
              <w:rPr>
                <w:rFonts w:eastAsia="Times New Roman" w:cs="Times New Roman"/>
                <w:color w:val="365F91"/>
                <w:sz w:val="20"/>
                <w:szCs w:val="20"/>
              </w:rPr>
            </w:pPr>
            <w:r w:rsidRPr="00585E3B">
              <w:rPr>
                <w:rFonts w:eastAsia="Times New Roman" w:cs="Times New Roman"/>
                <w:color w:val="365F91"/>
                <w:sz w:val="20"/>
                <w:szCs w:val="20"/>
              </w:rPr>
              <w:t>Construction type</w:t>
            </w:r>
          </w:p>
        </w:tc>
        <w:tc>
          <w:tcPr>
            <w:tcW w:w="2732" w:type="pct"/>
            <w:tcBorders>
              <w:top w:val="single" w:sz="8" w:space="0" w:color="0B3D70"/>
            </w:tcBorders>
            <w:vAlign w:val="center"/>
          </w:tcPr>
          <w:p w14:paraId="483EF0AC" w14:textId="77777777" w:rsidR="00585E3B" w:rsidRPr="00585E3B" w:rsidRDefault="00585E3B" w:rsidP="00585E3B">
            <w:pPr>
              <w:spacing w:after="0" w:line="240" w:lineRule="auto"/>
              <w:jc w:val="left"/>
              <w:rPr>
                <w:rFonts w:eastAsia="Times New Roman" w:cs="Times New Roman"/>
                <w:sz w:val="20"/>
                <w:szCs w:val="20"/>
              </w:rPr>
            </w:pPr>
            <w:r w:rsidRPr="00585E3B">
              <w:rPr>
                <w:rFonts w:eastAsia="Times New Roman" w:cs="Times New Roman"/>
                <w:sz w:val="20"/>
                <w:szCs w:val="20"/>
              </w:rPr>
              <w:t>Cinder Block</w:t>
            </w:r>
          </w:p>
        </w:tc>
      </w:tr>
      <w:tr w:rsidR="00585E3B" w:rsidRPr="00585E3B" w14:paraId="3DB7B250" w14:textId="77777777" w:rsidTr="00585E3B">
        <w:trPr>
          <w:cantSplit/>
          <w:trHeight w:val="288"/>
          <w:jc w:val="center"/>
        </w:trPr>
        <w:tc>
          <w:tcPr>
            <w:tcW w:w="2268" w:type="pct"/>
            <w:tcBorders>
              <w:top w:val="single" w:sz="8" w:space="0" w:color="0B3D70"/>
            </w:tcBorders>
            <w:vAlign w:val="center"/>
          </w:tcPr>
          <w:p w14:paraId="76F9F51C" w14:textId="77777777" w:rsidR="00585E3B" w:rsidRPr="00585E3B" w:rsidRDefault="00585E3B" w:rsidP="00585E3B">
            <w:pPr>
              <w:tabs>
                <w:tab w:val="left" w:pos="-1890"/>
              </w:tabs>
              <w:spacing w:after="0" w:line="240" w:lineRule="auto"/>
              <w:jc w:val="left"/>
              <w:rPr>
                <w:rFonts w:eastAsia="Times New Roman" w:cs="Times New Roman"/>
                <w:color w:val="365F91"/>
                <w:sz w:val="20"/>
                <w:szCs w:val="20"/>
              </w:rPr>
            </w:pPr>
            <w:r w:rsidRPr="00585E3B">
              <w:rPr>
                <w:rFonts w:eastAsia="Times New Roman" w:cs="Times New Roman"/>
                <w:color w:val="365F91"/>
                <w:sz w:val="20"/>
                <w:szCs w:val="20"/>
              </w:rPr>
              <w:t>Date</w:t>
            </w:r>
          </w:p>
        </w:tc>
        <w:tc>
          <w:tcPr>
            <w:tcW w:w="2732" w:type="pct"/>
            <w:vAlign w:val="center"/>
          </w:tcPr>
          <w:p w14:paraId="6E3D38C4" w14:textId="77777777" w:rsidR="00585E3B" w:rsidRPr="00585E3B" w:rsidRDefault="00585E3B" w:rsidP="00585E3B">
            <w:pPr>
              <w:spacing w:after="0" w:line="240" w:lineRule="auto"/>
              <w:jc w:val="left"/>
              <w:rPr>
                <w:rFonts w:eastAsia="Times New Roman" w:cs="Times New Roman"/>
                <w:sz w:val="20"/>
                <w:szCs w:val="20"/>
              </w:rPr>
            </w:pPr>
            <w:r w:rsidRPr="00585E3B">
              <w:rPr>
                <w:rFonts w:eastAsia="Times New Roman" w:cs="Times New Roman"/>
                <w:sz w:val="20"/>
                <w:szCs w:val="20"/>
              </w:rPr>
              <w:t>03-13-2006</w:t>
            </w:r>
          </w:p>
        </w:tc>
      </w:tr>
      <w:tr w:rsidR="00585E3B" w:rsidRPr="00585E3B" w14:paraId="2AC62CBC" w14:textId="77777777" w:rsidTr="00585E3B">
        <w:trPr>
          <w:cantSplit/>
          <w:trHeight w:val="288"/>
          <w:jc w:val="center"/>
        </w:trPr>
        <w:tc>
          <w:tcPr>
            <w:tcW w:w="2268" w:type="pct"/>
            <w:tcBorders>
              <w:top w:val="single" w:sz="8" w:space="0" w:color="0B3D70"/>
            </w:tcBorders>
            <w:vAlign w:val="center"/>
          </w:tcPr>
          <w:p w14:paraId="4B406B52" w14:textId="77777777" w:rsidR="00585E3B" w:rsidRPr="00585E3B" w:rsidRDefault="00585E3B" w:rsidP="00585E3B">
            <w:pPr>
              <w:tabs>
                <w:tab w:val="left" w:pos="-1890"/>
              </w:tabs>
              <w:spacing w:after="0" w:line="240" w:lineRule="auto"/>
              <w:jc w:val="left"/>
              <w:rPr>
                <w:rFonts w:eastAsia="Times New Roman" w:cs="Times New Roman"/>
                <w:color w:val="365F91"/>
                <w:sz w:val="20"/>
                <w:szCs w:val="20"/>
              </w:rPr>
            </w:pPr>
            <w:r w:rsidRPr="00585E3B">
              <w:rPr>
                <w:rFonts w:eastAsia="Times New Roman" w:cs="Times New Roman"/>
                <w:color w:val="365F91"/>
                <w:sz w:val="20"/>
                <w:szCs w:val="20"/>
              </w:rPr>
              <w:t>Seismic protection/energy audits</w:t>
            </w:r>
          </w:p>
        </w:tc>
        <w:tc>
          <w:tcPr>
            <w:tcW w:w="2732" w:type="pct"/>
            <w:vAlign w:val="center"/>
          </w:tcPr>
          <w:p w14:paraId="016214D7" w14:textId="77777777" w:rsidR="00585E3B" w:rsidRPr="00585E3B" w:rsidRDefault="00585E3B" w:rsidP="00585E3B">
            <w:pPr>
              <w:spacing w:after="0" w:line="240" w:lineRule="auto"/>
              <w:jc w:val="left"/>
              <w:rPr>
                <w:rFonts w:eastAsia="Times New Roman" w:cs="Times New Roman"/>
                <w:sz w:val="20"/>
                <w:szCs w:val="20"/>
              </w:rPr>
            </w:pPr>
            <w:r w:rsidRPr="00585E3B">
              <w:rPr>
                <w:rFonts w:eastAsia="Times New Roman" w:cs="Times New Roman"/>
                <w:sz w:val="20"/>
                <w:szCs w:val="20"/>
              </w:rPr>
              <w:t>No</w:t>
            </w:r>
          </w:p>
        </w:tc>
      </w:tr>
      <w:tr w:rsidR="00585E3B" w:rsidRPr="00585E3B" w14:paraId="396CE5F4" w14:textId="77777777" w:rsidTr="00585E3B">
        <w:trPr>
          <w:cantSplit/>
          <w:trHeight w:val="288"/>
          <w:jc w:val="center"/>
        </w:trPr>
        <w:tc>
          <w:tcPr>
            <w:tcW w:w="2268" w:type="pct"/>
            <w:tcBorders>
              <w:top w:val="single" w:sz="8" w:space="0" w:color="0B3D70"/>
            </w:tcBorders>
            <w:vAlign w:val="center"/>
          </w:tcPr>
          <w:p w14:paraId="0FAEFDB8" w14:textId="77777777" w:rsidR="00585E3B" w:rsidRPr="00585E3B" w:rsidRDefault="00585E3B" w:rsidP="00585E3B">
            <w:pPr>
              <w:tabs>
                <w:tab w:val="left" w:pos="-1890"/>
              </w:tabs>
              <w:spacing w:after="0" w:line="240" w:lineRule="auto"/>
              <w:jc w:val="left"/>
              <w:rPr>
                <w:rFonts w:eastAsia="Times New Roman" w:cs="Times New Roman"/>
                <w:color w:val="365F91"/>
                <w:sz w:val="20"/>
                <w:szCs w:val="20"/>
              </w:rPr>
            </w:pPr>
            <w:r w:rsidRPr="00585E3B">
              <w:rPr>
                <w:rFonts w:eastAsia="Times New Roman" w:cs="Times New Roman"/>
                <w:color w:val="365F91"/>
                <w:sz w:val="20"/>
                <w:szCs w:val="20"/>
              </w:rPr>
              <w:t>Auxiliary power</w:t>
            </w:r>
          </w:p>
        </w:tc>
        <w:tc>
          <w:tcPr>
            <w:tcW w:w="2732" w:type="pct"/>
            <w:vAlign w:val="center"/>
          </w:tcPr>
          <w:p w14:paraId="47483D85" w14:textId="5898E644" w:rsidR="00585E3B" w:rsidRPr="00585E3B" w:rsidRDefault="00585E3B" w:rsidP="00585E3B">
            <w:pPr>
              <w:spacing w:after="0" w:line="240" w:lineRule="auto"/>
              <w:jc w:val="left"/>
              <w:rPr>
                <w:rFonts w:eastAsia="Times New Roman" w:cs="Times New Roman"/>
                <w:sz w:val="20"/>
                <w:szCs w:val="20"/>
              </w:rPr>
            </w:pPr>
            <w:r w:rsidRPr="00585E3B">
              <w:rPr>
                <w:rFonts w:eastAsia="Times New Roman" w:cs="Times New Roman"/>
                <w:sz w:val="20"/>
                <w:szCs w:val="20"/>
              </w:rPr>
              <w:t>Diesel Generator</w:t>
            </w:r>
          </w:p>
        </w:tc>
      </w:tr>
      <w:tr w:rsidR="00585E3B" w:rsidRPr="00585E3B" w14:paraId="5179261F" w14:textId="77777777" w:rsidTr="00585E3B">
        <w:trPr>
          <w:cantSplit/>
          <w:trHeight w:val="288"/>
          <w:jc w:val="center"/>
        </w:trPr>
        <w:tc>
          <w:tcPr>
            <w:tcW w:w="2268" w:type="pct"/>
            <w:tcBorders>
              <w:top w:val="single" w:sz="8" w:space="0" w:color="0B3D70"/>
            </w:tcBorders>
            <w:vAlign w:val="center"/>
          </w:tcPr>
          <w:p w14:paraId="21BEA081" w14:textId="77777777" w:rsidR="00585E3B" w:rsidRPr="00585E3B" w:rsidRDefault="00585E3B" w:rsidP="00585E3B">
            <w:pPr>
              <w:tabs>
                <w:tab w:val="left" w:pos="-1890"/>
              </w:tabs>
              <w:spacing w:after="0" w:line="240" w:lineRule="auto"/>
              <w:jc w:val="left"/>
              <w:rPr>
                <w:rFonts w:eastAsia="Times New Roman" w:cs="Times New Roman"/>
                <w:color w:val="365F91"/>
                <w:sz w:val="20"/>
                <w:szCs w:val="20"/>
              </w:rPr>
            </w:pPr>
            <w:r w:rsidRPr="00585E3B">
              <w:rPr>
                <w:rFonts w:eastAsia="Times New Roman" w:cs="Times New Roman"/>
                <w:color w:val="365F91"/>
                <w:sz w:val="20"/>
                <w:szCs w:val="20"/>
              </w:rPr>
              <w:t>Condition</w:t>
            </w:r>
          </w:p>
        </w:tc>
        <w:tc>
          <w:tcPr>
            <w:tcW w:w="2732" w:type="pct"/>
            <w:vAlign w:val="center"/>
          </w:tcPr>
          <w:p w14:paraId="292026B1" w14:textId="52726EB8" w:rsidR="00585E3B" w:rsidRPr="00585E3B" w:rsidRDefault="001C4A9F" w:rsidP="00585E3B">
            <w:pPr>
              <w:spacing w:after="0" w:line="240" w:lineRule="auto"/>
              <w:jc w:val="left"/>
              <w:rPr>
                <w:rFonts w:eastAsia="Times New Roman" w:cs="Times New Roman"/>
                <w:sz w:val="20"/>
                <w:szCs w:val="20"/>
              </w:rPr>
            </w:pPr>
            <w:r>
              <w:rPr>
                <w:rFonts w:eastAsia="Times New Roman" w:cs="Times New Roman"/>
                <w:sz w:val="20"/>
                <w:szCs w:val="20"/>
              </w:rPr>
              <w:t>Fair</w:t>
            </w:r>
            <w:r w:rsidR="008A278E">
              <w:rPr>
                <w:rFonts w:eastAsia="Times New Roman" w:cs="Times New Roman"/>
                <w:sz w:val="20"/>
                <w:szCs w:val="20"/>
              </w:rPr>
              <w:t>/Poor</w:t>
            </w:r>
          </w:p>
        </w:tc>
      </w:tr>
      <w:tr w:rsidR="00585E3B" w:rsidRPr="00585E3B" w14:paraId="705DBC9B" w14:textId="77777777" w:rsidTr="00585E3B">
        <w:trPr>
          <w:cantSplit/>
          <w:trHeight w:val="288"/>
          <w:jc w:val="center"/>
        </w:trPr>
        <w:tc>
          <w:tcPr>
            <w:tcW w:w="2268" w:type="pct"/>
            <w:vAlign w:val="center"/>
          </w:tcPr>
          <w:p w14:paraId="2FB85A97" w14:textId="77777777" w:rsidR="00585E3B" w:rsidRPr="00585E3B" w:rsidRDefault="00585E3B" w:rsidP="00585E3B">
            <w:pPr>
              <w:tabs>
                <w:tab w:val="left" w:pos="-1890"/>
              </w:tabs>
              <w:spacing w:after="0" w:line="240" w:lineRule="auto"/>
              <w:jc w:val="left"/>
              <w:rPr>
                <w:rFonts w:eastAsia="Times New Roman" w:cs="Times New Roman"/>
                <w:color w:val="365F91"/>
                <w:sz w:val="20"/>
                <w:szCs w:val="20"/>
              </w:rPr>
            </w:pPr>
            <w:r w:rsidRPr="00585E3B">
              <w:rPr>
                <w:rFonts w:eastAsia="Times New Roman" w:cs="Times New Roman"/>
                <w:color w:val="365F91"/>
                <w:sz w:val="20"/>
                <w:szCs w:val="20"/>
              </w:rPr>
              <w:t>Special considerations (ADA, mixed gender appropriate, storage, etc.)</w:t>
            </w:r>
          </w:p>
        </w:tc>
        <w:tc>
          <w:tcPr>
            <w:tcW w:w="2732" w:type="pct"/>
            <w:vAlign w:val="center"/>
          </w:tcPr>
          <w:p w14:paraId="4E7818D7" w14:textId="5468BDC8" w:rsidR="00585E3B" w:rsidRPr="00585E3B" w:rsidRDefault="00585E3B" w:rsidP="00585E3B">
            <w:pPr>
              <w:spacing w:after="0" w:line="240" w:lineRule="auto"/>
              <w:jc w:val="left"/>
              <w:rPr>
                <w:rFonts w:eastAsia="Times New Roman" w:cs="Times New Roman"/>
                <w:sz w:val="20"/>
                <w:szCs w:val="20"/>
              </w:rPr>
            </w:pPr>
            <w:r>
              <w:rPr>
                <w:rFonts w:eastAsia="Times New Roman" w:cs="Times New Roman"/>
                <w:sz w:val="20"/>
                <w:szCs w:val="20"/>
              </w:rPr>
              <w:t xml:space="preserve">Meets </w:t>
            </w:r>
            <w:r w:rsidRPr="00407744">
              <w:rPr>
                <w:rFonts w:eastAsia="Times New Roman" w:cs="Times New Roman"/>
                <w:sz w:val="20"/>
                <w:szCs w:val="20"/>
              </w:rPr>
              <w:t xml:space="preserve">ADA </w:t>
            </w:r>
            <w:r>
              <w:rPr>
                <w:rFonts w:eastAsia="Times New Roman" w:cs="Times New Roman"/>
                <w:sz w:val="20"/>
                <w:szCs w:val="20"/>
              </w:rPr>
              <w:t xml:space="preserve">standards and is mixed gender appropriate.  </w:t>
            </w:r>
            <w:r w:rsidRPr="00407744">
              <w:rPr>
                <w:rFonts w:eastAsia="Times New Roman" w:cs="Times New Roman"/>
                <w:sz w:val="20"/>
                <w:szCs w:val="20"/>
              </w:rPr>
              <w:t xml:space="preserve">Storage </w:t>
            </w:r>
            <w:r>
              <w:rPr>
                <w:rFonts w:eastAsia="Times New Roman" w:cs="Times New Roman"/>
                <w:sz w:val="20"/>
                <w:szCs w:val="20"/>
              </w:rPr>
              <w:t>is adequate</w:t>
            </w:r>
            <w:r w:rsidR="002548E8">
              <w:rPr>
                <w:rFonts w:eastAsia="Times New Roman" w:cs="Times New Roman"/>
                <w:sz w:val="20"/>
                <w:szCs w:val="20"/>
              </w:rPr>
              <w:t>.</w:t>
            </w:r>
          </w:p>
        </w:tc>
      </w:tr>
      <w:tr w:rsidR="00585E3B" w:rsidRPr="00585E3B" w14:paraId="4D2D793C" w14:textId="77777777" w:rsidTr="00585E3B">
        <w:trPr>
          <w:cantSplit/>
          <w:trHeight w:val="288"/>
          <w:jc w:val="center"/>
        </w:trPr>
        <w:tc>
          <w:tcPr>
            <w:tcW w:w="2268" w:type="pct"/>
            <w:tcBorders>
              <w:bottom w:val="single" w:sz="8" w:space="0" w:color="0B3D70"/>
            </w:tcBorders>
            <w:vAlign w:val="center"/>
          </w:tcPr>
          <w:p w14:paraId="5719719B" w14:textId="77777777" w:rsidR="00585E3B" w:rsidRPr="00585E3B" w:rsidRDefault="00585E3B" w:rsidP="00585E3B">
            <w:pPr>
              <w:tabs>
                <w:tab w:val="left" w:pos="-1890"/>
              </w:tabs>
              <w:spacing w:after="0" w:line="240" w:lineRule="auto"/>
              <w:jc w:val="left"/>
              <w:rPr>
                <w:rFonts w:eastAsia="Times New Roman" w:cs="Times New Roman"/>
                <w:color w:val="365F91"/>
                <w:sz w:val="20"/>
                <w:szCs w:val="20"/>
              </w:rPr>
            </w:pPr>
            <w:r w:rsidRPr="00585E3B">
              <w:rPr>
                <w:rFonts w:eastAsia="Times New Roman" w:cs="Times New Roman"/>
                <w:color w:val="365F91"/>
                <w:sz w:val="20"/>
                <w:szCs w:val="20"/>
              </w:rPr>
              <w:t>Square footage</w:t>
            </w:r>
          </w:p>
        </w:tc>
        <w:tc>
          <w:tcPr>
            <w:tcW w:w="2732" w:type="pct"/>
            <w:tcBorders>
              <w:bottom w:val="single" w:sz="8" w:space="0" w:color="0B3D70"/>
            </w:tcBorders>
            <w:vAlign w:val="center"/>
          </w:tcPr>
          <w:p w14:paraId="06282559" w14:textId="77777777" w:rsidR="00585E3B" w:rsidRPr="00585E3B" w:rsidRDefault="00585E3B" w:rsidP="00585E3B">
            <w:pPr>
              <w:spacing w:after="0" w:line="240" w:lineRule="auto"/>
              <w:jc w:val="left"/>
              <w:rPr>
                <w:rFonts w:eastAsia="Times New Roman" w:cs="Times New Roman"/>
                <w:sz w:val="20"/>
                <w:szCs w:val="20"/>
              </w:rPr>
            </w:pPr>
            <w:r w:rsidRPr="00585E3B">
              <w:rPr>
                <w:rFonts w:eastAsia="Times New Roman" w:cs="Times New Roman"/>
                <w:sz w:val="20"/>
                <w:szCs w:val="20"/>
              </w:rPr>
              <w:t>10,710</w:t>
            </w:r>
          </w:p>
        </w:tc>
      </w:tr>
      <w:tr w:rsidR="00585E3B" w:rsidRPr="00585E3B" w14:paraId="21DF1CB3" w14:textId="77777777" w:rsidTr="00585E3B">
        <w:trPr>
          <w:cantSplit/>
          <w:trHeight w:val="313"/>
          <w:jc w:val="center"/>
        </w:trPr>
        <w:tc>
          <w:tcPr>
            <w:tcW w:w="5000" w:type="pct"/>
            <w:gridSpan w:val="2"/>
            <w:tcBorders>
              <w:top w:val="single" w:sz="8" w:space="0" w:color="0B3D70"/>
              <w:bottom w:val="single" w:sz="8" w:space="0" w:color="0B3D70"/>
            </w:tcBorders>
            <w:shd w:val="clear" w:color="auto" w:fill="D9D9D9"/>
            <w:vAlign w:val="center"/>
            <w:hideMark/>
          </w:tcPr>
          <w:p w14:paraId="6490CB96" w14:textId="77777777" w:rsidR="00585E3B" w:rsidRPr="00585E3B" w:rsidRDefault="00585E3B" w:rsidP="00585E3B">
            <w:pPr>
              <w:spacing w:after="0" w:line="240" w:lineRule="auto"/>
              <w:jc w:val="left"/>
              <w:rPr>
                <w:rFonts w:eastAsia="Times New Roman" w:cs="Times New Roman"/>
                <w:caps/>
                <w:sz w:val="20"/>
                <w:szCs w:val="20"/>
              </w:rPr>
            </w:pPr>
            <w:r w:rsidRPr="00585E3B">
              <w:rPr>
                <w:rFonts w:eastAsia="Times New Roman" w:cs="Times New Roman"/>
                <w:b/>
                <w:caps/>
                <w:color w:val="365F91"/>
                <w:sz w:val="20"/>
                <w:szCs w:val="20"/>
              </w:rPr>
              <w:t>facilities available</w:t>
            </w:r>
          </w:p>
        </w:tc>
      </w:tr>
      <w:tr w:rsidR="00585E3B" w:rsidRPr="00585E3B" w14:paraId="4DF52D9B" w14:textId="77777777" w:rsidTr="00585E3B">
        <w:trPr>
          <w:cantSplit/>
          <w:trHeight w:val="288"/>
          <w:jc w:val="center"/>
        </w:trPr>
        <w:tc>
          <w:tcPr>
            <w:tcW w:w="2268" w:type="pct"/>
            <w:tcBorders>
              <w:top w:val="single" w:sz="8" w:space="0" w:color="0B3D70"/>
            </w:tcBorders>
            <w:vAlign w:val="center"/>
          </w:tcPr>
          <w:p w14:paraId="075CC564" w14:textId="77777777" w:rsidR="00585E3B" w:rsidRPr="00585E3B" w:rsidRDefault="00585E3B" w:rsidP="00585E3B">
            <w:pPr>
              <w:tabs>
                <w:tab w:val="left" w:pos="-1890"/>
              </w:tabs>
              <w:spacing w:after="0" w:line="240" w:lineRule="auto"/>
              <w:jc w:val="left"/>
              <w:rPr>
                <w:rFonts w:eastAsia="Times New Roman" w:cs="Times New Roman"/>
                <w:color w:val="365F91"/>
                <w:sz w:val="20"/>
                <w:szCs w:val="20"/>
              </w:rPr>
            </w:pPr>
            <w:r w:rsidRPr="00585E3B">
              <w:rPr>
                <w:rFonts w:eastAsia="Times New Roman" w:cs="Times New Roman"/>
                <w:color w:val="365F91"/>
                <w:sz w:val="20"/>
                <w:szCs w:val="20"/>
              </w:rPr>
              <w:t>Exercise/workout</w:t>
            </w:r>
          </w:p>
        </w:tc>
        <w:tc>
          <w:tcPr>
            <w:tcW w:w="2732" w:type="pct"/>
            <w:tcBorders>
              <w:top w:val="single" w:sz="8" w:space="0" w:color="0B3D70"/>
            </w:tcBorders>
            <w:vAlign w:val="center"/>
          </w:tcPr>
          <w:p w14:paraId="0D0D2FF3" w14:textId="77777777" w:rsidR="00585E3B" w:rsidRPr="00585E3B" w:rsidRDefault="00585E3B" w:rsidP="00585E3B">
            <w:pPr>
              <w:spacing w:after="0" w:line="240" w:lineRule="auto"/>
              <w:jc w:val="left"/>
              <w:rPr>
                <w:rFonts w:eastAsia="Times New Roman" w:cs="Times New Roman"/>
                <w:sz w:val="20"/>
                <w:szCs w:val="20"/>
              </w:rPr>
            </w:pPr>
            <w:r w:rsidRPr="00585E3B">
              <w:rPr>
                <w:rFonts w:eastAsia="Times New Roman" w:cs="Times New Roman"/>
                <w:sz w:val="20"/>
                <w:szCs w:val="20"/>
              </w:rPr>
              <w:t>Yes</w:t>
            </w:r>
          </w:p>
        </w:tc>
      </w:tr>
      <w:tr w:rsidR="00585E3B" w:rsidRPr="00585E3B" w14:paraId="1A9BCEDB" w14:textId="77777777" w:rsidTr="00585E3B">
        <w:trPr>
          <w:cantSplit/>
          <w:trHeight w:val="288"/>
          <w:jc w:val="center"/>
        </w:trPr>
        <w:tc>
          <w:tcPr>
            <w:tcW w:w="2268" w:type="pct"/>
            <w:vAlign w:val="center"/>
          </w:tcPr>
          <w:p w14:paraId="51E37337" w14:textId="77777777" w:rsidR="00585E3B" w:rsidRPr="00585E3B" w:rsidRDefault="00585E3B" w:rsidP="00585E3B">
            <w:pPr>
              <w:tabs>
                <w:tab w:val="left" w:pos="-1890"/>
              </w:tabs>
              <w:spacing w:after="0" w:line="240" w:lineRule="auto"/>
              <w:jc w:val="left"/>
              <w:rPr>
                <w:rFonts w:eastAsia="Times New Roman" w:cs="Times New Roman"/>
                <w:color w:val="365F91"/>
                <w:sz w:val="20"/>
                <w:szCs w:val="20"/>
              </w:rPr>
            </w:pPr>
            <w:r w:rsidRPr="00585E3B">
              <w:rPr>
                <w:rFonts w:eastAsia="Times New Roman" w:cs="Times New Roman"/>
                <w:color w:val="365F91"/>
                <w:sz w:val="20"/>
                <w:szCs w:val="20"/>
              </w:rPr>
              <w:t xml:space="preserve">Kitchen/dormitory </w:t>
            </w:r>
          </w:p>
        </w:tc>
        <w:tc>
          <w:tcPr>
            <w:tcW w:w="2732" w:type="pct"/>
            <w:vAlign w:val="center"/>
          </w:tcPr>
          <w:p w14:paraId="1DC7F201" w14:textId="77777777" w:rsidR="00585E3B" w:rsidRPr="00585E3B" w:rsidRDefault="00585E3B" w:rsidP="00585E3B">
            <w:pPr>
              <w:spacing w:after="0" w:line="240" w:lineRule="auto"/>
              <w:jc w:val="left"/>
              <w:rPr>
                <w:rFonts w:eastAsia="Times New Roman" w:cs="Times New Roman"/>
                <w:sz w:val="20"/>
                <w:szCs w:val="20"/>
              </w:rPr>
            </w:pPr>
            <w:r w:rsidRPr="00585E3B">
              <w:rPr>
                <w:rFonts w:eastAsia="Times New Roman" w:cs="Times New Roman"/>
                <w:sz w:val="20"/>
                <w:szCs w:val="20"/>
              </w:rPr>
              <w:t>Yes</w:t>
            </w:r>
          </w:p>
        </w:tc>
      </w:tr>
      <w:tr w:rsidR="00585E3B" w:rsidRPr="00585E3B" w14:paraId="6F3F149A" w14:textId="77777777" w:rsidTr="00585E3B">
        <w:trPr>
          <w:cantSplit/>
          <w:trHeight w:val="288"/>
          <w:jc w:val="center"/>
        </w:trPr>
        <w:tc>
          <w:tcPr>
            <w:tcW w:w="2268" w:type="pct"/>
            <w:vAlign w:val="center"/>
          </w:tcPr>
          <w:p w14:paraId="665B6DC4" w14:textId="77777777" w:rsidR="00585E3B" w:rsidRPr="00585E3B" w:rsidRDefault="00585E3B" w:rsidP="00585E3B">
            <w:pPr>
              <w:tabs>
                <w:tab w:val="left" w:pos="-1890"/>
              </w:tabs>
              <w:spacing w:after="0" w:line="240" w:lineRule="auto"/>
              <w:jc w:val="left"/>
              <w:rPr>
                <w:rFonts w:eastAsia="Times New Roman" w:cs="Times New Roman"/>
                <w:color w:val="365F91"/>
                <w:sz w:val="20"/>
                <w:szCs w:val="20"/>
              </w:rPr>
            </w:pPr>
            <w:r w:rsidRPr="00585E3B">
              <w:rPr>
                <w:rFonts w:eastAsia="Times New Roman" w:cs="Times New Roman"/>
                <w:color w:val="365F91"/>
                <w:sz w:val="20"/>
                <w:szCs w:val="20"/>
              </w:rPr>
              <w:t>Lockers/showers</w:t>
            </w:r>
          </w:p>
        </w:tc>
        <w:tc>
          <w:tcPr>
            <w:tcW w:w="2732" w:type="pct"/>
            <w:vAlign w:val="center"/>
          </w:tcPr>
          <w:p w14:paraId="5C8ED99C" w14:textId="77777777" w:rsidR="00585E3B" w:rsidRPr="00585E3B" w:rsidRDefault="00585E3B" w:rsidP="00585E3B">
            <w:pPr>
              <w:spacing w:after="0" w:line="240" w:lineRule="auto"/>
              <w:jc w:val="left"/>
              <w:rPr>
                <w:rFonts w:eastAsia="Times New Roman" w:cs="Times New Roman"/>
                <w:sz w:val="20"/>
                <w:szCs w:val="20"/>
              </w:rPr>
            </w:pPr>
            <w:r w:rsidRPr="00585E3B">
              <w:rPr>
                <w:rFonts w:eastAsia="Times New Roman" w:cs="Times New Roman"/>
                <w:sz w:val="20"/>
                <w:szCs w:val="20"/>
              </w:rPr>
              <w:t>Yes</w:t>
            </w:r>
          </w:p>
        </w:tc>
      </w:tr>
      <w:tr w:rsidR="00585E3B" w:rsidRPr="00585E3B" w14:paraId="13CAEEB1" w14:textId="77777777" w:rsidTr="00585E3B">
        <w:trPr>
          <w:cantSplit/>
          <w:trHeight w:val="288"/>
          <w:jc w:val="center"/>
        </w:trPr>
        <w:tc>
          <w:tcPr>
            <w:tcW w:w="2268" w:type="pct"/>
            <w:vAlign w:val="center"/>
          </w:tcPr>
          <w:p w14:paraId="62065D77" w14:textId="77777777" w:rsidR="00585E3B" w:rsidRPr="00585E3B" w:rsidRDefault="00585E3B" w:rsidP="00585E3B">
            <w:pPr>
              <w:tabs>
                <w:tab w:val="left" w:pos="-1890"/>
              </w:tabs>
              <w:spacing w:after="0" w:line="240" w:lineRule="auto"/>
              <w:jc w:val="left"/>
              <w:rPr>
                <w:rFonts w:eastAsia="Times New Roman" w:cs="Times New Roman"/>
                <w:color w:val="365F91"/>
                <w:sz w:val="20"/>
                <w:szCs w:val="20"/>
              </w:rPr>
            </w:pPr>
            <w:r w:rsidRPr="00585E3B">
              <w:rPr>
                <w:rFonts w:eastAsia="Times New Roman" w:cs="Times New Roman"/>
                <w:color w:val="365F91"/>
                <w:sz w:val="20"/>
                <w:szCs w:val="20"/>
              </w:rPr>
              <w:t>Training/meetings</w:t>
            </w:r>
          </w:p>
        </w:tc>
        <w:tc>
          <w:tcPr>
            <w:tcW w:w="2732" w:type="pct"/>
            <w:vAlign w:val="center"/>
          </w:tcPr>
          <w:p w14:paraId="293C9272" w14:textId="3526ED1B" w:rsidR="00585E3B" w:rsidRPr="00585E3B" w:rsidRDefault="00585E3B" w:rsidP="00585E3B">
            <w:pPr>
              <w:spacing w:after="0" w:line="240" w:lineRule="auto"/>
              <w:jc w:val="left"/>
              <w:rPr>
                <w:rFonts w:eastAsia="Times New Roman" w:cs="Times New Roman"/>
                <w:sz w:val="20"/>
                <w:szCs w:val="20"/>
              </w:rPr>
            </w:pPr>
            <w:r w:rsidRPr="00585E3B">
              <w:rPr>
                <w:rFonts w:eastAsia="Times New Roman" w:cs="Times New Roman"/>
                <w:sz w:val="20"/>
                <w:szCs w:val="20"/>
              </w:rPr>
              <w:t>Yes</w:t>
            </w:r>
            <w:r w:rsidR="006F0630">
              <w:rPr>
                <w:rFonts w:eastAsia="Times New Roman" w:cs="Times New Roman"/>
                <w:sz w:val="20"/>
                <w:szCs w:val="20"/>
              </w:rPr>
              <w:t>, occupancy of 27</w:t>
            </w:r>
          </w:p>
        </w:tc>
      </w:tr>
      <w:tr w:rsidR="00585E3B" w:rsidRPr="00585E3B" w14:paraId="7769B547" w14:textId="77777777" w:rsidTr="00585E3B">
        <w:trPr>
          <w:cantSplit/>
          <w:trHeight w:val="288"/>
          <w:jc w:val="center"/>
        </w:trPr>
        <w:tc>
          <w:tcPr>
            <w:tcW w:w="2268" w:type="pct"/>
            <w:tcBorders>
              <w:bottom w:val="single" w:sz="8" w:space="0" w:color="0B3D70"/>
            </w:tcBorders>
            <w:vAlign w:val="center"/>
          </w:tcPr>
          <w:p w14:paraId="6B33B685" w14:textId="77777777" w:rsidR="00585E3B" w:rsidRPr="00585E3B" w:rsidRDefault="00585E3B" w:rsidP="00585E3B">
            <w:pPr>
              <w:tabs>
                <w:tab w:val="left" w:pos="-1890"/>
              </w:tabs>
              <w:spacing w:after="0" w:line="240" w:lineRule="auto"/>
              <w:jc w:val="left"/>
              <w:rPr>
                <w:rFonts w:eastAsia="Times New Roman" w:cs="Times New Roman"/>
                <w:color w:val="365F91"/>
                <w:sz w:val="20"/>
                <w:szCs w:val="20"/>
              </w:rPr>
            </w:pPr>
            <w:r w:rsidRPr="00585E3B">
              <w:rPr>
                <w:rFonts w:eastAsia="Times New Roman" w:cs="Times New Roman"/>
                <w:color w:val="365F91"/>
                <w:sz w:val="20"/>
                <w:szCs w:val="20"/>
              </w:rPr>
              <w:t>Washer/dryer</w:t>
            </w:r>
          </w:p>
        </w:tc>
        <w:tc>
          <w:tcPr>
            <w:tcW w:w="2732" w:type="pct"/>
            <w:tcBorders>
              <w:bottom w:val="single" w:sz="8" w:space="0" w:color="0B3D70"/>
            </w:tcBorders>
            <w:vAlign w:val="center"/>
          </w:tcPr>
          <w:p w14:paraId="39EDEB54" w14:textId="77777777" w:rsidR="00585E3B" w:rsidRPr="00585E3B" w:rsidRDefault="00585E3B" w:rsidP="00585E3B">
            <w:pPr>
              <w:spacing w:after="0" w:line="240" w:lineRule="auto"/>
              <w:jc w:val="left"/>
              <w:rPr>
                <w:rFonts w:eastAsia="Times New Roman" w:cs="Times New Roman"/>
                <w:sz w:val="20"/>
                <w:szCs w:val="20"/>
              </w:rPr>
            </w:pPr>
            <w:r w:rsidRPr="00585E3B">
              <w:rPr>
                <w:rFonts w:eastAsia="Times New Roman" w:cs="Times New Roman"/>
                <w:sz w:val="20"/>
                <w:szCs w:val="20"/>
              </w:rPr>
              <w:t>No</w:t>
            </w:r>
          </w:p>
        </w:tc>
      </w:tr>
      <w:tr w:rsidR="00585E3B" w:rsidRPr="00585E3B" w14:paraId="4A2B9886" w14:textId="77777777" w:rsidTr="00585E3B">
        <w:trPr>
          <w:cantSplit/>
          <w:trHeight w:val="317"/>
          <w:jc w:val="center"/>
        </w:trPr>
        <w:tc>
          <w:tcPr>
            <w:tcW w:w="5000" w:type="pct"/>
            <w:gridSpan w:val="2"/>
            <w:tcBorders>
              <w:top w:val="single" w:sz="8" w:space="0" w:color="0B3D70"/>
              <w:bottom w:val="single" w:sz="8" w:space="0" w:color="0B3D70"/>
            </w:tcBorders>
            <w:shd w:val="clear" w:color="auto" w:fill="D9D9D9"/>
            <w:vAlign w:val="center"/>
            <w:hideMark/>
          </w:tcPr>
          <w:p w14:paraId="2D5C54BD" w14:textId="77777777" w:rsidR="00585E3B" w:rsidRPr="00585E3B" w:rsidRDefault="00585E3B" w:rsidP="00585E3B">
            <w:pPr>
              <w:spacing w:after="0" w:line="240" w:lineRule="auto"/>
              <w:jc w:val="left"/>
              <w:rPr>
                <w:rFonts w:eastAsia="Times New Roman" w:cs="Times New Roman"/>
                <w:caps/>
                <w:sz w:val="20"/>
                <w:szCs w:val="20"/>
              </w:rPr>
            </w:pPr>
            <w:r w:rsidRPr="00585E3B">
              <w:rPr>
                <w:rFonts w:eastAsia="Times New Roman" w:cs="Times New Roman"/>
                <w:b/>
                <w:caps/>
                <w:color w:val="365F91"/>
                <w:sz w:val="20"/>
                <w:szCs w:val="20"/>
              </w:rPr>
              <w:t>facilities available</w:t>
            </w:r>
          </w:p>
        </w:tc>
      </w:tr>
      <w:tr w:rsidR="00585E3B" w:rsidRPr="00585E3B" w14:paraId="45076D37" w14:textId="77777777" w:rsidTr="00585E3B">
        <w:trPr>
          <w:cantSplit/>
          <w:trHeight w:val="288"/>
          <w:jc w:val="center"/>
        </w:trPr>
        <w:tc>
          <w:tcPr>
            <w:tcW w:w="2268" w:type="pct"/>
            <w:tcBorders>
              <w:top w:val="single" w:sz="8" w:space="0" w:color="0B3D70"/>
            </w:tcBorders>
            <w:vAlign w:val="center"/>
          </w:tcPr>
          <w:p w14:paraId="0587198F" w14:textId="77777777" w:rsidR="00585E3B" w:rsidRPr="00585E3B" w:rsidRDefault="00585E3B" w:rsidP="00585E3B">
            <w:pPr>
              <w:tabs>
                <w:tab w:val="left" w:pos="-1890"/>
              </w:tabs>
              <w:spacing w:after="0" w:line="240" w:lineRule="auto"/>
              <w:jc w:val="left"/>
              <w:rPr>
                <w:rFonts w:eastAsia="Times New Roman" w:cs="Times New Roman"/>
                <w:color w:val="365F91"/>
                <w:sz w:val="20"/>
                <w:szCs w:val="20"/>
              </w:rPr>
            </w:pPr>
            <w:r w:rsidRPr="00585E3B">
              <w:rPr>
                <w:rFonts w:eastAsia="Times New Roman" w:cs="Times New Roman"/>
                <w:color w:val="365F91"/>
                <w:sz w:val="20"/>
                <w:szCs w:val="20"/>
              </w:rPr>
              <w:t>Sprinkler system</w:t>
            </w:r>
          </w:p>
        </w:tc>
        <w:tc>
          <w:tcPr>
            <w:tcW w:w="2732" w:type="pct"/>
            <w:tcBorders>
              <w:top w:val="single" w:sz="8" w:space="0" w:color="0B3D70"/>
            </w:tcBorders>
            <w:vAlign w:val="center"/>
          </w:tcPr>
          <w:p w14:paraId="2AEC445D" w14:textId="77777777" w:rsidR="00585E3B" w:rsidRPr="00585E3B" w:rsidRDefault="00585E3B" w:rsidP="00585E3B">
            <w:pPr>
              <w:spacing w:after="0" w:line="240" w:lineRule="auto"/>
              <w:jc w:val="left"/>
              <w:rPr>
                <w:rFonts w:eastAsia="Times New Roman" w:cs="Times New Roman"/>
                <w:sz w:val="20"/>
                <w:szCs w:val="20"/>
              </w:rPr>
            </w:pPr>
            <w:r w:rsidRPr="00585E3B">
              <w:rPr>
                <w:rFonts w:eastAsia="Times New Roman" w:cs="Times New Roman"/>
                <w:sz w:val="20"/>
                <w:szCs w:val="20"/>
              </w:rPr>
              <w:t>Yes</w:t>
            </w:r>
          </w:p>
        </w:tc>
      </w:tr>
      <w:tr w:rsidR="00585E3B" w:rsidRPr="00585E3B" w14:paraId="420F1352" w14:textId="77777777" w:rsidTr="00585E3B">
        <w:trPr>
          <w:cantSplit/>
          <w:trHeight w:val="288"/>
          <w:jc w:val="center"/>
        </w:trPr>
        <w:tc>
          <w:tcPr>
            <w:tcW w:w="2268" w:type="pct"/>
            <w:vAlign w:val="center"/>
          </w:tcPr>
          <w:p w14:paraId="48F5B11E" w14:textId="77777777" w:rsidR="00585E3B" w:rsidRPr="00585E3B" w:rsidRDefault="00585E3B" w:rsidP="00585E3B">
            <w:pPr>
              <w:tabs>
                <w:tab w:val="left" w:pos="-1890"/>
              </w:tabs>
              <w:spacing w:after="0" w:line="240" w:lineRule="auto"/>
              <w:jc w:val="left"/>
              <w:rPr>
                <w:rFonts w:eastAsia="Times New Roman" w:cs="Times New Roman"/>
                <w:color w:val="365F91"/>
                <w:sz w:val="20"/>
                <w:szCs w:val="20"/>
              </w:rPr>
            </w:pPr>
            <w:r w:rsidRPr="00585E3B">
              <w:rPr>
                <w:rFonts w:eastAsia="Times New Roman" w:cs="Times New Roman"/>
                <w:color w:val="365F91"/>
                <w:sz w:val="20"/>
                <w:szCs w:val="20"/>
              </w:rPr>
              <w:t>Smoke detection</w:t>
            </w:r>
          </w:p>
        </w:tc>
        <w:tc>
          <w:tcPr>
            <w:tcW w:w="2732" w:type="pct"/>
            <w:vAlign w:val="center"/>
          </w:tcPr>
          <w:p w14:paraId="1498B972" w14:textId="77777777" w:rsidR="00585E3B" w:rsidRPr="00585E3B" w:rsidRDefault="00585E3B" w:rsidP="00585E3B">
            <w:pPr>
              <w:spacing w:after="0" w:line="240" w:lineRule="auto"/>
              <w:jc w:val="left"/>
              <w:rPr>
                <w:rFonts w:eastAsia="Times New Roman" w:cs="Times New Roman"/>
                <w:sz w:val="20"/>
                <w:szCs w:val="20"/>
              </w:rPr>
            </w:pPr>
            <w:r w:rsidRPr="00585E3B">
              <w:rPr>
                <w:rFonts w:eastAsia="Times New Roman" w:cs="Times New Roman"/>
                <w:sz w:val="20"/>
                <w:szCs w:val="20"/>
              </w:rPr>
              <w:t>Yes</w:t>
            </w:r>
          </w:p>
        </w:tc>
      </w:tr>
      <w:tr w:rsidR="00585E3B" w:rsidRPr="00585E3B" w14:paraId="78FFEB0B" w14:textId="77777777" w:rsidTr="00585E3B">
        <w:trPr>
          <w:cantSplit/>
          <w:trHeight w:val="288"/>
          <w:jc w:val="center"/>
        </w:trPr>
        <w:tc>
          <w:tcPr>
            <w:tcW w:w="2268" w:type="pct"/>
            <w:tcBorders>
              <w:bottom w:val="single" w:sz="2" w:space="0" w:color="000000"/>
            </w:tcBorders>
            <w:vAlign w:val="center"/>
          </w:tcPr>
          <w:p w14:paraId="57650083" w14:textId="77777777" w:rsidR="00585E3B" w:rsidRPr="00585E3B" w:rsidRDefault="00585E3B" w:rsidP="00585E3B">
            <w:pPr>
              <w:tabs>
                <w:tab w:val="left" w:pos="-1890"/>
              </w:tabs>
              <w:spacing w:after="0" w:line="240" w:lineRule="auto"/>
              <w:jc w:val="left"/>
              <w:rPr>
                <w:rFonts w:eastAsia="Times New Roman" w:cs="Times New Roman"/>
                <w:color w:val="365F91"/>
                <w:sz w:val="20"/>
                <w:szCs w:val="20"/>
              </w:rPr>
            </w:pPr>
            <w:r w:rsidRPr="00585E3B">
              <w:rPr>
                <w:rFonts w:eastAsia="Times New Roman" w:cs="Times New Roman"/>
                <w:color w:val="365F91"/>
                <w:sz w:val="20"/>
                <w:szCs w:val="20"/>
              </w:rPr>
              <w:t>Security</w:t>
            </w:r>
          </w:p>
        </w:tc>
        <w:tc>
          <w:tcPr>
            <w:tcW w:w="2732" w:type="pct"/>
            <w:vAlign w:val="center"/>
          </w:tcPr>
          <w:p w14:paraId="58D1859E" w14:textId="51458AA1" w:rsidR="00585E3B" w:rsidRPr="00585E3B" w:rsidRDefault="00585E3B" w:rsidP="00585E3B">
            <w:pPr>
              <w:spacing w:after="0" w:line="240" w:lineRule="auto"/>
              <w:jc w:val="left"/>
              <w:rPr>
                <w:rFonts w:eastAsia="Times New Roman" w:cs="Times New Roman"/>
                <w:sz w:val="20"/>
                <w:szCs w:val="20"/>
              </w:rPr>
            </w:pPr>
            <w:r w:rsidRPr="00585E3B">
              <w:rPr>
                <w:rFonts w:eastAsia="Times New Roman" w:cs="Times New Roman"/>
                <w:sz w:val="20"/>
                <w:szCs w:val="20"/>
              </w:rPr>
              <w:t>No</w:t>
            </w:r>
            <w:r>
              <w:rPr>
                <w:rFonts w:eastAsia="Times New Roman" w:cs="Times New Roman"/>
                <w:sz w:val="20"/>
                <w:szCs w:val="20"/>
              </w:rPr>
              <w:t>. Required to be l</w:t>
            </w:r>
            <w:r w:rsidRPr="00585E3B">
              <w:rPr>
                <w:rFonts w:eastAsia="Times New Roman" w:cs="Times New Roman"/>
                <w:sz w:val="20"/>
                <w:szCs w:val="20"/>
              </w:rPr>
              <w:t>ocked at all times due to FAA rules</w:t>
            </w:r>
            <w:r w:rsidR="002548E8">
              <w:rPr>
                <w:rFonts w:eastAsia="Times New Roman" w:cs="Times New Roman"/>
                <w:sz w:val="20"/>
                <w:szCs w:val="20"/>
              </w:rPr>
              <w:t>.</w:t>
            </w:r>
          </w:p>
        </w:tc>
      </w:tr>
      <w:tr w:rsidR="00585E3B" w:rsidRPr="00585E3B" w14:paraId="66389F8E" w14:textId="77777777" w:rsidTr="00585E3B">
        <w:trPr>
          <w:cantSplit/>
          <w:trHeight w:val="288"/>
          <w:jc w:val="center"/>
        </w:trPr>
        <w:tc>
          <w:tcPr>
            <w:tcW w:w="2268" w:type="pct"/>
            <w:vAlign w:val="center"/>
          </w:tcPr>
          <w:p w14:paraId="0CE8ED60" w14:textId="77777777" w:rsidR="00585E3B" w:rsidRPr="00585E3B" w:rsidRDefault="00585E3B" w:rsidP="00585E3B">
            <w:pPr>
              <w:tabs>
                <w:tab w:val="left" w:pos="-1890"/>
              </w:tabs>
              <w:spacing w:after="0" w:line="240" w:lineRule="auto"/>
              <w:jc w:val="left"/>
              <w:rPr>
                <w:rFonts w:eastAsia="Times New Roman" w:cs="Times New Roman"/>
                <w:color w:val="365F91"/>
                <w:sz w:val="20"/>
                <w:szCs w:val="20"/>
              </w:rPr>
            </w:pPr>
            <w:r w:rsidRPr="00585E3B">
              <w:rPr>
                <w:rFonts w:eastAsia="Times New Roman" w:cs="Times New Roman"/>
                <w:color w:val="365F91"/>
                <w:sz w:val="20"/>
                <w:szCs w:val="20"/>
              </w:rPr>
              <w:t>Apparatus exhaust system</w:t>
            </w:r>
          </w:p>
        </w:tc>
        <w:tc>
          <w:tcPr>
            <w:tcW w:w="2732" w:type="pct"/>
            <w:vAlign w:val="center"/>
          </w:tcPr>
          <w:p w14:paraId="5EE73066" w14:textId="1974F429" w:rsidR="00585E3B" w:rsidRPr="00585E3B" w:rsidRDefault="00585E3B" w:rsidP="00585E3B">
            <w:pPr>
              <w:spacing w:after="0" w:line="240" w:lineRule="auto"/>
              <w:jc w:val="left"/>
              <w:rPr>
                <w:rFonts w:eastAsia="Times New Roman" w:cs="Times New Roman"/>
                <w:sz w:val="20"/>
                <w:szCs w:val="20"/>
              </w:rPr>
            </w:pPr>
            <w:r w:rsidRPr="00585E3B">
              <w:rPr>
                <w:rFonts w:eastAsia="Times New Roman" w:cs="Times New Roman"/>
                <w:sz w:val="20"/>
                <w:szCs w:val="20"/>
              </w:rPr>
              <w:t>No</w:t>
            </w:r>
            <w:r>
              <w:rPr>
                <w:rFonts w:eastAsia="Times New Roman" w:cs="Times New Roman"/>
                <w:sz w:val="20"/>
                <w:szCs w:val="20"/>
              </w:rPr>
              <w:t xml:space="preserve"> – budgeted for 2017</w:t>
            </w:r>
          </w:p>
        </w:tc>
      </w:tr>
    </w:tbl>
    <w:p w14:paraId="129AF862" w14:textId="77777777" w:rsidR="00DC291C" w:rsidRDefault="00DC291C">
      <w:pPr>
        <w:spacing w:after="200"/>
        <w:jc w:val="left"/>
      </w:pPr>
    </w:p>
    <w:p w14:paraId="5D091255" w14:textId="77777777" w:rsidR="00DC291C" w:rsidRDefault="00DC291C">
      <w:pPr>
        <w:spacing w:after="200"/>
        <w:jc w:val="left"/>
      </w:pPr>
    </w:p>
    <w:p w14:paraId="7356B671" w14:textId="77777777" w:rsidR="00DC291C" w:rsidRDefault="00DC291C">
      <w:pPr>
        <w:spacing w:after="200"/>
        <w:jc w:val="left"/>
      </w:pPr>
    </w:p>
    <w:p w14:paraId="5AC86ACB" w14:textId="77777777" w:rsidR="00DC291C" w:rsidRDefault="00DC291C">
      <w:pPr>
        <w:spacing w:after="200"/>
        <w:jc w:val="left"/>
      </w:pPr>
    </w:p>
    <w:p w14:paraId="14701615" w14:textId="77777777" w:rsidR="00DC291C" w:rsidRDefault="00DC291C">
      <w:pPr>
        <w:spacing w:after="200"/>
        <w:jc w:val="left"/>
      </w:pPr>
    </w:p>
    <w:p w14:paraId="32D31E72" w14:textId="73885077" w:rsidR="00DC291C" w:rsidRDefault="00DC291C">
      <w:pPr>
        <w:spacing w:after="200"/>
        <w:jc w:val="left"/>
      </w:pPr>
    </w:p>
    <w:p w14:paraId="4F83D339" w14:textId="368DB7AD" w:rsidR="00DC291C" w:rsidRDefault="00DC291C" w:rsidP="00574D69">
      <w:pPr>
        <w:pStyle w:val="Caption"/>
        <w:spacing w:after="0"/>
      </w:pPr>
      <w:bookmarkStart w:id="212" w:name="_Toc464323693"/>
      <w:r>
        <w:t xml:space="preserve">Figure </w:t>
      </w:r>
      <w:r w:rsidR="00432AD4">
        <w:fldChar w:fldCharType="begin"/>
      </w:r>
      <w:r w:rsidR="00432AD4">
        <w:instrText xml:space="preserve"> SEQ Figure \* ARABIC </w:instrText>
      </w:r>
      <w:r w:rsidR="00432AD4">
        <w:fldChar w:fldCharType="separate"/>
      </w:r>
      <w:r w:rsidR="008209A2">
        <w:rPr>
          <w:noProof/>
        </w:rPr>
        <w:t>51</w:t>
      </w:r>
      <w:r w:rsidR="00432AD4">
        <w:rPr>
          <w:noProof/>
        </w:rPr>
        <w:fldChar w:fldCharType="end"/>
      </w:r>
      <w:r w:rsidR="00574D69">
        <w:t xml:space="preserve">: </w:t>
      </w:r>
      <w:r>
        <w:t>Station 83</w:t>
      </w:r>
      <w:bookmarkEnd w:id="212"/>
    </w:p>
    <w:p w14:paraId="442B7E40" w14:textId="2DC3E1B2" w:rsidR="00DC291C" w:rsidRPr="00DC291C" w:rsidRDefault="00DC291C" w:rsidP="00DC291C">
      <w:pPr>
        <w:spacing w:after="0" w:line="240" w:lineRule="auto"/>
        <w:jc w:val="center"/>
        <w:rPr>
          <w:sz w:val="20"/>
          <w:szCs w:val="20"/>
        </w:rPr>
      </w:pPr>
      <w:r w:rsidRPr="00DC291C">
        <w:rPr>
          <w:sz w:val="20"/>
          <w:szCs w:val="20"/>
        </w:rPr>
        <w:t>Address: 3203 Road 68</w:t>
      </w:r>
    </w:p>
    <w:tbl>
      <w:tblPr>
        <w:tblW w:w="3716" w:type="pct"/>
        <w:jc w:val="center"/>
        <w:tblBorders>
          <w:top w:val="single" w:sz="2" w:space="0" w:color="000000"/>
          <w:bottom w:val="single" w:sz="2" w:space="0" w:color="000000"/>
          <w:insideH w:val="single" w:sz="2" w:space="0" w:color="000000"/>
          <w:insideV w:val="single" w:sz="2" w:space="0" w:color="000000"/>
        </w:tblBorders>
        <w:tblLayout w:type="fixed"/>
        <w:tblCellMar>
          <w:left w:w="115" w:type="dxa"/>
          <w:right w:w="115" w:type="dxa"/>
        </w:tblCellMar>
        <w:tblLook w:val="04A0" w:firstRow="1" w:lastRow="0" w:firstColumn="1" w:lastColumn="0" w:noHBand="0" w:noVBand="1"/>
      </w:tblPr>
      <w:tblGrid>
        <w:gridCol w:w="3233"/>
        <w:gridCol w:w="3894"/>
      </w:tblGrid>
      <w:tr w:rsidR="00DC291C" w:rsidRPr="00DC291C" w14:paraId="25D44A37" w14:textId="77777777" w:rsidTr="00DC291C">
        <w:trPr>
          <w:cantSplit/>
          <w:trHeight w:hRule="exact" w:val="2592"/>
          <w:jc w:val="center"/>
        </w:trPr>
        <w:tc>
          <w:tcPr>
            <w:tcW w:w="2268" w:type="pct"/>
            <w:tcBorders>
              <w:top w:val="single" w:sz="8" w:space="0" w:color="0B3D70"/>
              <w:left w:val="single" w:sz="8" w:space="0" w:color="0B3D70"/>
              <w:bottom w:val="single" w:sz="8" w:space="0" w:color="0B3D70"/>
              <w:right w:val="single" w:sz="8" w:space="0" w:color="0B3D70"/>
            </w:tcBorders>
            <w:shd w:val="clear" w:color="auto" w:fill="auto"/>
            <w:vAlign w:val="center"/>
          </w:tcPr>
          <w:p w14:paraId="0A01347C" w14:textId="1C2FB8B8" w:rsidR="00DC291C" w:rsidRPr="00DC291C" w:rsidRDefault="002969DA" w:rsidP="00DC291C">
            <w:pPr>
              <w:spacing w:after="0" w:line="240" w:lineRule="auto"/>
              <w:jc w:val="center"/>
              <w:rPr>
                <w:rFonts w:eastAsia="Calibri" w:cs="Times New Roman"/>
                <w:lang w:eastAsia="en-US"/>
              </w:rPr>
            </w:pPr>
            <w:r w:rsidRPr="002969DA">
              <w:rPr>
                <w:rFonts w:eastAsia="Calibri" w:cs="Times New Roman"/>
                <w:noProof/>
                <w:lang w:eastAsia="en-US"/>
              </w:rPr>
              <w:drawing>
                <wp:inline distT="0" distB="0" distL="0" distR="0" wp14:anchorId="1B7D3790" wp14:editId="37E6614E">
                  <wp:extent cx="1905000" cy="1428750"/>
                  <wp:effectExtent l="0" t="0" r="0" b="0"/>
                  <wp:docPr id="18" name="Picture 18" descr="Fire Station No.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ire Station No. 8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inline>
              </w:drawing>
            </w:r>
          </w:p>
        </w:tc>
        <w:tc>
          <w:tcPr>
            <w:tcW w:w="2732" w:type="pct"/>
            <w:tcBorders>
              <w:top w:val="single" w:sz="8" w:space="0" w:color="0B3D70"/>
              <w:left w:val="single" w:sz="8" w:space="0" w:color="0B3D70"/>
              <w:bottom w:val="single" w:sz="8" w:space="0" w:color="0B3D70"/>
              <w:right w:val="single" w:sz="8" w:space="0" w:color="0B3D70"/>
            </w:tcBorders>
            <w:shd w:val="clear" w:color="auto" w:fill="auto"/>
            <w:vAlign w:val="center"/>
          </w:tcPr>
          <w:p w14:paraId="6B47354A" w14:textId="4D0738EF" w:rsidR="00DC291C" w:rsidRPr="00DC291C" w:rsidRDefault="006F0630" w:rsidP="002548E8">
            <w:pPr>
              <w:spacing w:after="0" w:line="240" w:lineRule="auto"/>
              <w:jc w:val="left"/>
              <w:rPr>
                <w:rFonts w:eastAsia="Calibri" w:cs="Times New Roman"/>
                <w:sz w:val="20"/>
                <w:szCs w:val="20"/>
                <w:lang w:eastAsia="en-US"/>
              </w:rPr>
            </w:pPr>
            <w:r>
              <w:rPr>
                <w:rFonts w:eastAsia="Calibri" w:cs="Times New Roman"/>
                <w:sz w:val="20"/>
                <w:szCs w:val="20"/>
                <w:lang w:eastAsia="en-US"/>
              </w:rPr>
              <w:t xml:space="preserve">This is a </w:t>
            </w:r>
            <w:r w:rsidR="009C39AC">
              <w:rPr>
                <w:rFonts w:eastAsia="Calibri" w:cs="Times New Roman"/>
                <w:sz w:val="20"/>
                <w:szCs w:val="20"/>
                <w:lang w:eastAsia="en-US"/>
              </w:rPr>
              <w:t>two</w:t>
            </w:r>
            <w:r w:rsidR="002548E8">
              <w:rPr>
                <w:rFonts w:eastAsia="Calibri" w:cs="Times New Roman"/>
                <w:sz w:val="20"/>
                <w:szCs w:val="20"/>
                <w:lang w:eastAsia="en-US"/>
              </w:rPr>
              <w:t>-</w:t>
            </w:r>
            <w:r w:rsidRPr="006F0630">
              <w:rPr>
                <w:rFonts w:eastAsia="Calibri" w:cs="Times New Roman"/>
                <w:sz w:val="20"/>
                <w:szCs w:val="20"/>
                <w:lang w:eastAsia="en-US"/>
              </w:rPr>
              <w:t xml:space="preserve">bay station </w:t>
            </w:r>
            <w:r>
              <w:rPr>
                <w:rFonts w:eastAsia="Calibri" w:cs="Times New Roman"/>
                <w:sz w:val="20"/>
                <w:szCs w:val="20"/>
                <w:lang w:eastAsia="en-US"/>
              </w:rPr>
              <w:t>(</w:t>
            </w:r>
            <w:r w:rsidRPr="006F0630">
              <w:rPr>
                <w:rFonts w:eastAsia="Calibri" w:cs="Times New Roman"/>
                <w:sz w:val="20"/>
                <w:szCs w:val="20"/>
                <w:lang w:eastAsia="en-US"/>
              </w:rPr>
              <w:t>with four bay storage building out back</w:t>
            </w:r>
            <w:r>
              <w:rPr>
                <w:rFonts w:eastAsia="Calibri" w:cs="Times New Roman"/>
                <w:sz w:val="20"/>
                <w:szCs w:val="20"/>
                <w:lang w:eastAsia="en-US"/>
              </w:rPr>
              <w:t xml:space="preserve">) and a </w:t>
            </w:r>
            <w:r w:rsidRPr="006F0630">
              <w:rPr>
                <w:rFonts w:eastAsia="Calibri" w:cs="Times New Roman"/>
                <w:sz w:val="20"/>
                <w:szCs w:val="20"/>
                <w:lang w:eastAsia="en-US"/>
              </w:rPr>
              <w:t xml:space="preserve">minimum </w:t>
            </w:r>
            <w:r>
              <w:rPr>
                <w:rFonts w:eastAsia="Calibri" w:cs="Times New Roman"/>
                <w:sz w:val="20"/>
                <w:szCs w:val="20"/>
                <w:lang w:eastAsia="en-US"/>
              </w:rPr>
              <w:t xml:space="preserve">of </w:t>
            </w:r>
            <w:r w:rsidR="009C39AC">
              <w:rPr>
                <w:rFonts w:eastAsia="Calibri" w:cs="Times New Roman"/>
                <w:sz w:val="20"/>
                <w:szCs w:val="20"/>
                <w:lang w:eastAsia="en-US"/>
              </w:rPr>
              <w:t>four</w:t>
            </w:r>
            <w:r>
              <w:rPr>
                <w:rFonts w:eastAsia="Calibri" w:cs="Times New Roman"/>
                <w:sz w:val="20"/>
                <w:szCs w:val="20"/>
                <w:lang w:eastAsia="en-US"/>
              </w:rPr>
              <w:t xml:space="preserve"> personnel</w:t>
            </w:r>
            <w:r w:rsidRPr="006F0630">
              <w:rPr>
                <w:rFonts w:eastAsia="Calibri" w:cs="Times New Roman"/>
                <w:sz w:val="20"/>
                <w:szCs w:val="20"/>
                <w:lang w:eastAsia="en-US"/>
              </w:rPr>
              <w:t xml:space="preserve">, maximum </w:t>
            </w:r>
            <w:r w:rsidR="009C39AC">
              <w:rPr>
                <w:rFonts w:eastAsia="Calibri" w:cs="Times New Roman"/>
                <w:sz w:val="20"/>
                <w:szCs w:val="20"/>
                <w:lang w:eastAsia="en-US"/>
              </w:rPr>
              <w:t>five staffing</w:t>
            </w:r>
            <w:r w:rsidRPr="006F0630">
              <w:rPr>
                <w:rFonts w:eastAsia="Calibri" w:cs="Times New Roman"/>
                <w:sz w:val="20"/>
                <w:szCs w:val="20"/>
                <w:lang w:eastAsia="en-US"/>
              </w:rPr>
              <w:t xml:space="preserve">.  </w:t>
            </w:r>
            <w:r w:rsidR="009C39AC">
              <w:rPr>
                <w:rFonts w:eastAsia="Calibri" w:cs="Times New Roman"/>
                <w:sz w:val="20"/>
                <w:szCs w:val="20"/>
                <w:lang w:eastAsia="en-US"/>
              </w:rPr>
              <w:t xml:space="preserve">The crew splits response on an </w:t>
            </w:r>
            <w:r w:rsidRPr="006F0630">
              <w:rPr>
                <w:rFonts w:eastAsia="Calibri" w:cs="Times New Roman"/>
                <w:sz w:val="20"/>
                <w:szCs w:val="20"/>
                <w:lang w:eastAsia="en-US"/>
              </w:rPr>
              <w:t xml:space="preserve">Engine and </w:t>
            </w:r>
            <w:r w:rsidR="009C39AC">
              <w:rPr>
                <w:rFonts w:eastAsia="Calibri" w:cs="Times New Roman"/>
                <w:sz w:val="20"/>
                <w:szCs w:val="20"/>
                <w:lang w:eastAsia="en-US"/>
              </w:rPr>
              <w:t xml:space="preserve">a </w:t>
            </w:r>
            <w:r w:rsidRPr="006F0630">
              <w:rPr>
                <w:rFonts w:eastAsia="Calibri" w:cs="Times New Roman"/>
                <w:sz w:val="20"/>
                <w:szCs w:val="20"/>
                <w:lang w:eastAsia="en-US"/>
              </w:rPr>
              <w:t>Medic</w:t>
            </w:r>
            <w:r w:rsidR="009C39AC">
              <w:rPr>
                <w:rFonts w:eastAsia="Calibri" w:cs="Times New Roman"/>
                <w:sz w:val="20"/>
                <w:szCs w:val="20"/>
                <w:lang w:eastAsia="en-US"/>
              </w:rPr>
              <w:t xml:space="preserve"> Unit (two each).</w:t>
            </w:r>
            <w:r w:rsidR="000B69B6">
              <w:rPr>
                <w:rFonts w:eastAsia="Calibri" w:cs="Times New Roman"/>
                <w:sz w:val="20"/>
                <w:szCs w:val="20"/>
                <w:lang w:eastAsia="en-US"/>
              </w:rPr>
              <w:t xml:space="preserve"> Extremely tight living quarters.</w:t>
            </w:r>
          </w:p>
        </w:tc>
      </w:tr>
      <w:tr w:rsidR="00DC291C" w:rsidRPr="00DC291C" w14:paraId="1AE91091" w14:textId="77777777" w:rsidTr="00DC291C">
        <w:trPr>
          <w:cantSplit/>
          <w:trHeight w:val="360"/>
          <w:jc w:val="center"/>
        </w:trPr>
        <w:tc>
          <w:tcPr>
            <w:tcW w:w="2268" w:type="pct"/>
            <w:tcBorders>
              <w:top w:val="single" w:sz="8" w:space="0" w:color="0B3D70"/>
              <w:bottom w:val="nil"/>
              <w:right w:val="single" w:sz="2" w:space="0" w:color="FFFFFF"/>
            </w:tcBorders>
            <w:shd w:val="clear" w:color="auto" w:fill="365F91"/>
            <w:vAlign w:val="center"/>
            <w:hideMark/>
          </w:tcPr>
          <w:p w14:paraId="5C2FF1BA" w14:textId="77777777" w:rsidR="00DC291C" w:rsidRPr="00DC291C" w:rsidRDefault="00DC291C" w:rsidP="00DC291C">
            <w:pPr>
              <w:spacing w:after="0" w:line="240" w:lineRule="auto"/>
              <w:jc w:val="left"/>
              <w:rPr>
                <w:rFonts w:eastAsia="Calibri" w:cs="Times New Roman"/>
                <w:b/>
                <w:caps/>
                <w:color w:val="FFFFFF"/>
                <w:sz w:val="20"/>
                <w:szCs w:val="20"/>
              </w:rPr>
            </w:pPr>
            <w:r w:rsidRPr="00DC291C">
              <w:rPr>
                <w:rFonts w:eastAsia="Calibri" w:cs="Times New Roman"/>
                <w:b/>
                <w:caps/>
                <w:color w:val="FFFFFF"/>
                <w:sz w:val="20"/>
                <w:szCs w:val="20"/>
              </w:rPr>
              <w:t>SURVEY COMPONENT</w:t>
            </w:r>
          </w:p>
        </w:tc>
        <w:tc>
          <w:tcPr>
            <w:tcW w:w="2732" w:type="pct"/>
            <w:tcBorders>
              <w:top w:val="single" w:sz="8" w:space="0" w:color="0B3D70"/>
              <w:left w:val="single" w:sz="2" w:space="0" w:color="FFFFFF"/>
              <w:bottom w:val="nil"/>
            </w:tcBorders>
            <w:shd w:val="clear" w:color="auto" w:fill="365F91"/>
            <w:vAlign w:val="center"/>
          </w:tcPr>
          <w:p w14:paraId="36594CEE" w14:textId="77777777" w:rsidR="00DC291C" w:rsidRPr="00DC291C" w:rsidRDefault="00DC291C" w:rsidP="00DC291C">
            <w:pPr>
              <w:spacing w:after="0" w:line="240" w:lineRule="auto"/>
              <w:jc w:val="left"/>
              <w:rPr>
                <w:rFonts w:eastAsia="Calibri" w:cs="Times New Roman"/>
                <w:b/>
                <w:caps/>
                <w:color w:val="FFFFFF"/>
                <w:sz w:val="20"/>
                <w:szCs w:val="20"/>
              </w:rPr>
            </w:pPr>
            <w:r w:rsidRPr="00DC291C">
              <w:rPr>
                <w:rFonts w:eastAsia="Calibri" w:cs="Times New Roman"/>
                <w:b/>
                <w:caps/>
                <w:color w:val="FFFFFF"/>
                <w:sz w:val="20"/>
                <w:szCs w:val="20"/>
              </w:rPr>
              <w:t>Observations</w:t>
            </w:r>
          </w:p>
        </w:tc>
      </w:tr>
      <w:tr w:rsidR="00DC291C" w:rsidRPr="00DC291C" w14:paraId="3867E54B" w14:textId="77777777" w:rsidTr="00DC291C">
        <w:trPr>
          <w:cantSplit/>
          <w:trHeight w:val="315"/>
          <w:jc w:val="center"/>
        </w:trPr>
        <w:tc>
          <w:tcPr>
            <w:tcW w:w="5000" w:type="pct"/>
            <w:gridSpan w:val="2"/>
            <w:tcBorders>
              <w:top w:val="nil"/>
              <w:bottom w:val="single" w:sz="8" w:space="0" w:color="0B3D70"/>
            </w:tcBorders>
            <w:shd w:val="clear" w:color="auto" w:fill="D9D9D9"/>
            <w:vAlign w:val="center"/>
            <w:hideMark/>
          </w:tcPr>
          <w:p w14:paraId="7A2D56CD" w14:textId="07851C04" w:rsidR="00DC291C" w:rsidRPr="00DC291C" w:rsidRDefault="00DC291C" w:rsidP="00DC291C">
            <w:pPr>
              <w:spacing w:after="0" w:line="240" w:lineRule="auto"/>
              <w:jc w:val="left"/>
              <w:rPr>
                <w:rFonts w:eastAsia="Times New Roman" w:cs="Times New Roman"/>
                <w:caps/>
                <w:sz w:val="20"/>
                <w:szCs w:val="20"/>
              </w:rPr>
            </w:pPr>
            <w:r w:rsidRPr="00DC291C">
              <w:rPr>
                <w:rFonts w:eastAsia="Times New Roman" w:cs="Times New Roman"/>
                <w:b/>
                <w:caps/>
                <w:color w:val="365F91"/>
                <w:sz w:val="20"/>
                <w:szCs w:val="20"/>
              </w:rPr>
              <w:t xml:space="preserve">structure </w:t>
            </w:r>
            <w:r w:rsidR="002969DA">
              <w:rPr>
                <w:rFonts w:eastAsia="Times New Roman" w:cs="Times New Roman"/>
                <w:b/>
                <w:caps/>
                <w:color w:val="365F91"/>
                <w:sz w:val="20"/>
                <w:szCs w:val="20"/>
              </w:rPr>
              <w:t>--</w:t>
            </w:r>
            <w:r w:rsidRPr="00DC291C">
              <w:rPr>
                <w:rFonts w:eastAsia="Times New Roman" w:cs="Times New Roman"/>
                <w:b/>
                <w:caps/>
                <w:color w:val="365F91"/>
                <w:sz w:val="20"/>
                <w:szCs w:val="20"/>
              </w:rPr>
              <w:t xml:space="preserve"> Station 83</w:t>
            </w:r>
          </w:p>
        </w:tc>
      </w:tr>
      <w:tr w:rsidR="00DC291C" w:rsidRPr="00DC291C" w14:paraId="06A0EFD5" w14:textId="77777777" w:rsidTr="00DC291C">
        <w:trPr>
          <w:cantSplit/>
          <w:trHeight w:val="288"/>
          <w:jc w:val="center"/>
        </w:trPr>
        <w:tc>
          <w:tcPr>
            <w:tcW w:w="2268" w:type="pct"/>
            <w:tcBorders>
              <w:top w:val="single" w:sz="8" w:space="0" w:color="0B3D70"/>
            </w:tcBorders>
            <w:vAlign w:val="center"/>
          </w:tcPr>
          <w:p w14:paraId="04D43A9A" w14:textId="77777777" w:rsidR="00DC291C" w:rsidRPr="00DC291C" w:rsidRDefault="00DC291C" w:rsidP="00DC291C">
            <w:pPr>
              <w:tabs>
                <w:tab w:val="left" w:pos="-1890"/>
              </w:tabs>
              <w:spacing w:after="0" w:line="240" w:lineRule="auto"/>
              <w:jc w:val="left"/>
              <w:rPr>
                <w:rFonts w:eastAsia="Times New Roman" w:cs="Times New Roman"/>
                <w:color w:val="365F91"/>
                <w:sz w:val="20"/>
                <w:szCs w:val="20"/>
              </w:rPr>
            </w:pPr>
            <w:r w:rsidRPr="00DC291C">
              <w:rPr>
                <w:rFonts w:eastAsia="Times New Roman" w:cs="Times New Roman"/>
                <w:color w:val="365F91"/>
                <w:sz w:val="20"/>
                <w:szCs w:val="20"/>
              </w:rPr>
              <w:t>Construction type</w:t>
            </w:r>
          </w:p>
        </w:tc>
        <w:tc>
          <w:tcPr>
            <w:tcW w:w="2732" w:type="pct"/>
            <w:tcBorders>
              <w:top w:val="single" w:sz="8" w:space="0" w:color="0B3D70"/>
            </w:tcBorders>
            <w:vAlign w:val="center"/>
          </w:tcPr>
          <w:p w14:paraId="5CD8DCF1" w14:textId="77777777" w:rsidR="00DC291C" w:rsidRPr="00DC291C" w:rsidRDefault="00DC291C" w:rsidP="00DC291C">
            <w:pPr>
              <w:spacing w:after="0" w:line="240" w:lineRule="auto"/>
              <w:jc w:val="left"/>
              <w:rPr>
                <w:rFonts w:eastAsia="Times New Roman" w:cs="Times New Roman"/>
                <w:sz w:val="20"/>
                <w:szCs w:val="20"/>
              </w:rPr>
            </w:pPr>
            <w:r w:rsidRPr="00DC291C">
              <w:rPr>
                <w:rFonts w:eastAsia="Times New Roman" w:cs="Times New Roman"/>
                <w:sz w:val="20"/>
                <w:szCs w:val="20"/>
              </w:rPr>
              <w:t>Wood frame</w:t>
            </w:r>
          </w:p>
        </w:tc>
      </w:tr>
      <w:tr w:rsidR="00DC291C" w:rsidRPr="00DC291C" w14:paraId="67DFCE36" w14:textId="77777777" w:rsidTr="00DC291C">
        <w:trPr>
          <w:cantSplit/>
          <w:trHeight w:val="288"/>
          <w:jc w:val="center"/>
        </w:trPr>
        <w:tc>
          <w:tcPr>
            <w:tcW w:w="2268" w:type="pct"/>
            <w:tcBorders>
              <w:top w:val="single" w:sz="8" w:space="0" w:color="0B3D70"/>
            </w:tcBorders>
            <w:vAlign w:val="center"/>
          </w:tcPr>
          <w:p w14:paraId="671D6F88" w14:textId="77777777" w:rsidR="00DC291C" w:rsidRPr="00DC291C" w:rsidRDefault="00DC291C" w:rsidP="00DC291C">
            <w:pPr>
              <w:tabs>
                <w:tab w:val="left" w:pos="-1890"/>
              </w:tabs>
              <w:spacing w:after="0" w:line="240" w:lineRule="auto"/>
              <w:jc w:val="left"/>
              <w:rPr>
                <w:rFonts w:eastAsia="Times New Roman" w:cs="Times New Roman"/>
                <w:color w:val="365F91"/>
                <w:sz w:val="20"/>
                <w:szCs w:val="20"/>
              </w:rPr>
            </w:pPr>
            <w:r w:rsidRPr="00DC291C">
              <w:rPr>
                <w:rFonts w:eastAsia="Times New Roman" w:cs="Times New Roman"/>
                <w:color w:val="365F91"/>
                <w:sz w:val="20"/>
                <w:szCs w:val="20"/>
              </w:rPr>
              <w:t>Date</w:t>
            </w:r>
          </w:p>
        </w:tc>
        <w:tc>
          <w:tcPr>
            <w:tcW w:w="2732" w:type="pct"/>
            <w:vAlign w:val="center"/>
          </w:tcPr>
          <w:p w14:paraId="6F4C943D" w14:textId="77777777" w:rsidR="00DC291C" w:rsidRPr="00DC291C" w:rsidRDefault="00DC291C" w:rsidP="00DC291C">
            <w:pPr>
              <w:spacing w:after="0" w:line="240" w:lineRule="auto"/>
              <w:jc w:val="left"/>
              <w:rPr>
                <w:rFonts w:eastAsia="Times New Roman" w:cs="Times New Roman"/>
                <w:sz w:val="20"/>
                <w:szCs w:val="20"/>
              </w:rPr>
            </w:pPr>
            <w:r w:rsidRPr="00DC291C">
              <w:rPr>
                <w:rFonts w:eastAsia="Times New Roman" w:cs="Times New Roman"/>
                <w:sz w:val="20"/>
                <w:szCs w:val="20"/>
              </w:rPr>
              <w:t>12-04-1998</w:t>
            </w:r>
          </w:p>
        </w:tc>
      </w:tr>
      <w:tr w:rsidR="00DC291C" w:rsidRPr="00DC291C" w14:paraId="093FEA70" w14:textId="77777777" w:rsidTr="00DC291C">
        <w:trPr>
          <w:cantSplit/>
          <w:trHeight w:val="288"/>
          <w:jc w:val="center"/>
        </w:trPr>
        <w:tc>
          <w:tcPr>
            <w:tcW w:w="2268" w:type="pct"/>
            <w:tcBorders>
              <w:top w:val="single" w:sz="8" w:space="0" w:color="0B3D70"/>
            </w:tcBorders>
            <w:vAlign w:val="center"/>
          </w:tcPr>
          <w:p w14:paraId="0FF6D6BF" w14:textId="77777777" w:rsidR="00DC291C" w:rsidRPr="00DC291C" w:rsidRDefault="00DC291C" w:rsidP="00DC291C">
            <w:pPr>
              <w:tabs>
                <w:tab w:val="left" w:pos="-1890"/>
              </w:tabs>
              <w:spacing w:after="0" w:line="240" w:lineRule="auto"/>
              <w:jc w:val="left"/>
              <w:rPr>
                <w:rFonts w:eastAsia="Times New Roman" w:cs="Times New Roman"/>
                <w:color w:val="365F91"/>
                <w:sz w:val="20"/>
                <w:szCs w:val="20"/>
              </w:rPr>
            </w:pPr>
            <w:r w:rsidRPr="00DC291C">
              <w:rPr>
                <w:rFonts w:eastAsia="Times New Roman" w:cs="Times New Roman"/>
                <w:color w:val="365F91"/>
                <w:sz w:val="20"/>
                <w:szCs w:val="20"/>
              </w:rPr>
              <w:t>Seismic protection/energy audits</w:t>
            </w:r>
          </w:p>
        </w:tc>
        <w:tc>
          <w:tcPr>
            <w:tcW w:w="2732" w:type="pct"/>
            <w:vAlign w:val="center"/>
          </w:tcPr>
          <w:p w14:paraId="0B990ACC" w14:textId="77777777" w:rsidR="00DC291C" w:rsidRPr="00DC291C" w:rsidRDefault="00DC291C" w:rsidP="00DC291C">
            <w:pPr>
              <w:spacing w:after="0" w:line="240" w:lineRule="auto"/>
              <w:jc w:val="left"/>
              <w:rPr>
                <w:rFonts w:eastAsia="Times New Roman" w:cs="Times New Roman"/>
                <w:sz w:val="20"/>
                <w:szCs w:val="20"/>
              </w:rPr>
            </w:pPr>
            <w:r w:rsidRPr="00DC291C">
              <w:rPr>
                <w:rFonts w:eastAsia="Times New Roman" w:cs="Times New Roman"/>
                <w:sz w:val="20"/>
                <w:szCs w:val="20"/>
              </w:rPr>
              <w:t>No</w:t>
            </w:r>
          </w:p>
        </w:tc>
      </w:tr>
      <w:tr w:rsidR="00DC291C" w:rsidRPr="00DC291C" w14:paraId="574FD94F" w14:textId="77777777" w:rsidTr="00DC291C">
        <w:trPr>
          <w:cantSplit/>
          <w:trHeight w:val="288"/>
          <w:jc w:val="center"/>
        </w:trPr>
        <w:tc>
          <w:tcPr>
            <w:tcW w:w="2268" w:type="pct"/>
            <w:tcBorders>
              <w:top w:val="single" w:sz="8" w:space="0" w:color="0B3D70"/>
            </w:tcBorders>
            <w:vAlign w:val="center"/>
          </w:tcPr>
          <w:p w14:paraId="7411723F" w14:textId="77777777" w:rsidR="00DC291C" w:rsidRPr="00DC291C" w:rsidRDefault="00DC291C" w:rsidP="00DC291C">
            <w:pPr>
              <w:tabs>
                <w:tab w:val="left" w:pos="-1890"/>
              </w:tabs>
              <w:spacing w:after="0" w:line="240" w:lineRule="auto"/>
              <w:jc w:val="left"/>
              <w:rPr>
                <w:rFonts w:eastAsia="Times New Roman" w:cs="Times New Roman"/>
                <w:color w:val="365F91"/>
                <w:sz w:val="20"/>
                <w:szCs w:val="20"/>
              </w:rPr>
            </w:pPr>
            <w:r w:rsidRPr="00DC291C">
              <w:rPr>
                <w:rFonts w:eastAsia="Times New Roman" w:cs="Times New Roman"/>
                <w:color w:val="365F91"/>
                <w:sz w:val="20"/>
                <w:szCs w:val="20"/>
              </w:rPr>
              <w:t>Auxiliary power</w:t>
            </w:r>
          </w:p>
        </w:tc>
        <w:tc>
          <w:tcPr>
            <w:tcW w:w="2732" w:type="pct"/>
            <w:vAlign w:val="center"/>
          </w:tcPr>
          <w:p w14:paraId="5C58D77E" w14:textId="3C6DA7A9" w:rsidR="00DC291C" w:rsidRPr="00DC291C" w:rsidRDefault="00DC291C" w:rsidP="00DC291C">
            <w:pPr>
              <w:spacing w:after="0" w:line="240" w:lineRule="auto"/>
              <w:jc w:val="left"/>
              <w:rPr>
                <w:rFonts w:eastAsia="Times New Roman" w:cs="Times New Roman"/>
                <w:sz w:val="20"/>
                <w:szCs w:val="20"/>
              </w:rPr>
            </w:pPr>
            <w:r w:rsidRPr="00DC291C">
              <w:rPr>
                <w:rFonts w:eastAsia="Times New Roman" w:cs="Times New Roman"/>
                <w:sz w:val="20"/>
                <w:szCs w:val="20"/>
              </w:rPr>
              <w:t>Diesel Generator</w:t>
            </w:r>
          </w:p>
        </w:tc>
      </w:tr>
      <w:tr w:rsidR="00DC291C" w:rsidRPr="00DC291C" w14:paraId="20895BF8" w14:textId="77777777" w:rsidTr="00DC291C">
        <w:trPr>
          <w:cantSplit/>
          <w:trHeight w:val="288"/>
          <w:jc w:val="center"/>
        </w:trPr>
        <w:tc>
          <w:tcPr>
            <w:tcW w:w="2268" w:type="pct"/>
            <w:tcBorders>
              <w:top w:val="single" w:sz="8" w:space="0" w:color="0B3D70"/>
            </w:tcBorders>
            <w:vAlign w:val="center"/>
          </w:tcPr>
          <w:p w14:paraId="2D50920D" w14:textId="77777777" w:rsidR="00DC291C" w:rsidRPr="00DC291C" w:rsidRDefault="00DC291C" w:rsidP="00DC291C">
            <w:pPr>
              <w:tabs>
                <w:tab w:val="left" w:pos="-1890"/>
              </w:tabs>
              <w:spacing w:after="0" w:line="240" w:lineRule="auto"/>
              <w:jc w:val="left"/>
              <w:rPr>
                <w:rFonts w:eastAsia="Times New Roman" w:cs="Times New Roman"/>
                <w:color w:val="365F91"/>
                <w:sz w:val="20"/>
                <w:szCs w:val="20"/>
              </w:rPr>
            </w:pPr>
            <w:r w:rsidRPr="00DC291C">
              <w:rPr>
                <w:rFonts w:eastAsia="Times New Roman" w:cs="Times New Roman"/>
                <w:color w:val="365F91"/>
                <w:sz w:val="20"/>
                <w:szCs w:val="20"/>
              </w:rPr>
              <w:t>Condition</w:t>
            </w:r>
          </w:p>
        </w:tc>
        <w:tc>
          <w:tcPr>
            <w:tcW w:w="2732" w:type="pct"/>
            <w:vAlign w:val="center"/>
          </w:tcPr>
          <w:p w14:paraId="06FFDB36" w14:textId="77777777" w:rsidR="00DC291C" w:rsidRPr="00DC291C" w:rsidRDefault="00DC291C" w:rsidP="00DC291C">
            <w:pPr>
              <w:spacing w:after="0" w:line="240" w:lineRule="auto"/>
              <w:jc w:val="left"/>
              <w:rPr>
                <w:rFonts w:eastAsia="Times New Roman" w:cs="Times New Roman"/>
                <w:sz w:val="20"/>
                <w:szCs w:val="20"/>
              </w:rPr>
            </w:pPr>
            <w:r w:rsidRPr="00DC291C">
              <w:rPr>
                <w:rFonts w:eastAsia="Times New Roman" w:cs="Times New Roman"/>
                <w:sz w:val="20"/>
                <w:szCs w:val="20"/>
              </w:rPr>
              <w:t>Fair</w:t>
            </w:r>
          </w:p>
        </w:tc>
      </w:tr>
      <w:tr w:rsidR="002969DA" w:rsidRPr="00DC291C" w14:paraId="7B7A9322" w14:textId="77777777" w:rsidTr="00DC291C">
        <w:trPr>
          <w:cantSplit/>
          <w:trHeight w:val="288"/>
          <w:jc w:val="center"/>
        </w:trPr>
        <w:tc>
          <w:tcPr>
            <w:tcW w:w="2268" w:type="pct"/>
            <w:vAlign w:val="center"/>
          </w:tcPr>
          <w:p w14:paraId="5099F928" w14:textId="77777777" w:rsidR="002969DA" w:rsidRPr="00DC291C" w:rsidRDefault="002969DA" w:rsidP="002969DA">
            <w:pPr>
              <w:tabs>
                <w:tab w:val="left" w:pos="-1890"/>
              </w:tabs>
              <w:spacing w:after="0" w:line="240" w:lineRule="auto"/>
              <w:jc w:val="left"/>
              <w:rPr>
                <w:rFonts w:eastAsia="Times New Roman" w:cs="Times New Roman"/>
                <w:color w:val="365F91"/>
                <w:sz w:val="20"/>
                <w:szCs w:val="20"/>
              </w:rPr>
            </w:pPr>
            <w:r w:rsidRPr="00DC291C">
              <w:rPr>
                <w:rFonts w:eastAsia="Times New Roman" w:cs="Times New Roman"/>
                <w:color w:val="365F91"/>
                <w:sz w:val="20"/>
                <w:szCs w:val="20"/>
              </w:rPr>
              <w:t>Special considerations (ADA, mixed gender appropriate, storage, etc.)</w:t>
            </w:r>
          </w:p>
        </w:tc>
        <w:tc>
          <w:tcPr>
            <w:tcW w:w="2732" w:type="pct"/>
            <w:vAlign w:val="center"/>
          </w:tcPr>
          <w:p w14:paraId="3DF858FC" w14:textId="50CA6BDE" w:rsidR="002969DA" w:rsidRPr="00DC291C" w:rsidRDefault="002969DA" w:rsidP="002969DA">
            <w:pPr>
              <w:spacing w:after="0" w:line="240" w:lineRule="auto"/>
              <w:jc w:val="left"/>
              <w:rPr>
                <w:rFonts w:eastAsia="Times New Roman" w:cs="Times New Roman"/>
                <w:sz w:val="20"/>
                <w:szCs w:val="20"/>
              </w:rPr>
            </w:pPr>
            <w:r>
              <w:rPr>
                <w:rFonts w:eastAsia="Times New Roman" w:cs="Times New Roman"/>
                <w:sz w:val="20"/>
                <w:szCs w:val="20"/>
              </w:rPr>
              <w:t xml:space="preserve">Meets </w:t>
            </w:r>
            <w:r w:rsidRPr="00407744">
              <w:rPr>
                <w:rFonts w:eastAsia="Times New Roman" w:cs="Times New Roman"/>
                <w:sz w:val="20"/>
                <w:szCs w:val="20"/>
              </w:rPr>
              <w:t xml:space="preserve">ADA </w:t>
            </w:r>
            <w:r>
              <w:rPr>
                <w:rFonts w:eastAsia="Times New Roman" w:cs="Times New Roman"/>
                <w:sz w:val="20"/>
                <w:szCs w:val="20"/>
              </w:rPr>
              <w:t xml:space="preserve">standards and is mixed gender appropriate.  </w:t>
            </w:r>
            <w:r w:rsidRPr="00407744">
              <w:rPr>
                <w:rFonts w:eastAsia="Times New Roman" w:cs="Times New Roman"/>
                <w:sz w:val="20"/>
                <w:szCs w:val="20"/>
              </w:rPr>
              <w:t xml:space="preserve">Storage </w:t>
            </w:r>
            <w:r>
              <w:rPr>
                <w:rFonts w:eastAsia="Times New Roman" w:cs="Times New Roman"/>
                <w:sz w:val="20"/>
                <w:szCs w:val="20"/>
              </w:rPr>
              <w:t>is m</w:t>
            </w:r>
            <w:r w:rsidRPr="00407744">
              <w:rPr>
                <w:rFonts w:eastAsia="Times New Roman" w:cs="Times New Roman"/>
                <w:sz w:val="20"/>
                <w:szCs w:val="20"/>
              </w:rPr>
              <w:t>inimal</w:t>
            </w:r>
          </w:p>
        </w:tc>
      </w:tr>
      <w:tr w:rsidR="00DC291C" w:rsidRPr="00DC291C" w14:paraId="65EF1873" w14:textId="77777777" w:rsidTr="00DC291C">
        <w:trPr>
          <w:cantSplit/>
          <w:trHeight w:val="288"/>
          <w:jc w:val="center"/>
        </w:trPr>
        <w:tc>
          <w:tcPr>
            <w:tcW w:w="2268" w:type="pct"/>
            <w:tcBorders>
              <w:bottom w:val="single" w:sz="8" w:space="0" w:color="0B3D70"/>
            </w:tcBorders>
            <w:vAlign w:val="center"/>
          </w:tcPr>
          <w:p w14:paraId="286B8C85" w14:textId="77777777" w:rsidR="00DC291C" w:rsidRPr="00DC291C" w:rsidRDefault="00DC291C" w:rsidP="00DC291C">
            <w:pPr>
              <w:tabs>
                <w:tab w:val="left" w:pos="-1890"/>
              </w:tabs>
              <w:spacing w:after="0" w:line="240" w:lineRule="auto"/>
              <w:jc w:val="left"/>
              <w:rPr>
                <w:rFonts w:eastAsia="Times New Roman" w:cs="Times New Roman"/>
                <w:color w:val="365F91"/>
                <w:sz w:val="20"/>
                <w:szCs w:val="20"/>
              </w:rPr>
            </w:pPr>
            <w:r w:rsidRPr="00DC291C">
              <w:rPr>
                <w:rFonts w:eastAsia="Times New Roman" w:cs="Times New Roman"/>
                <w:color w:val="365F91"/>
                <w:sz w:val="20"/>
                <w:szCs w:val="20"/>
              </w:rPr>
              <w:t>Square footage</w:t>
            </w:r>
          </w:p>
        </w:tc>
        <w:tc>
          <w:tcPr>
            <w:tcW w:w="2732" w:type="pct"/>
            <w:tcBorders>
              <w:bottom w:val="single" w:sz="8" w:space="0" w:color="0B3D70"/>
            </w:tcBorders>
            <w:vAlign w:val="center"/>
          </w:tcPr>
          <w:p w14:paraId="40FA85E2" w14:textId="12D3167C" w:rsidR="00DC291C" w:rsidRPr="00DC291C" w:rsidRDefault="009A5371" w:rsidP="00DC291C">
            <w:pPr>
              <w:spacing w:after="0" w:line="240" w:lineRule="auto"/>
              <w:jc w:val="left"/>
              <w:rPr>
                <w:rFonts w:eastAsia="Times New Roman" w:cs="Times New Roman"/>
                <w:sz w:val="20"/>
                <w:szCs w:val="20"/>
              </w:rPr>
            </w:pPr>
            <w:r>
              <w:rPr>
                <w:rFonts w:eastAsia="Times New Roman" w:cs="Times New Roman"/>
                <w:sz w:val="20"/>
                <w:szCs w:val="20"/>
              </w:rPr>
              <w:t>Not Available</w:t>
            </w:r>
          </w:p>
        </w:tc>
      </w:tr>
      <w:tr w:rsidR="00DC291C" w:rsidRPr="00DC291C" w14:paraId="63DB1E76" w14:textId="77777777" w:rsidTr="00DC291C">
        <w:trPr>
          <w:cantSplit/>
          <w:trHeight w:val="313"/>
          <w:jc w:val="center"/>
        </w:trPr>
        <w:tc>
          <w:tcPr>
            <w:tcW w:w="5000" w:type="pct"/>
            <w:gridSpan w:val="2"/>
            <w:tcBorders>
              <w:top w:val="single" w:sz="8" w:space="0" w:color="0B3D70"/>
              <w:bottom w:val="single" w:sz="8" w:space="0" w:color="0B3D70"/>
            </w:tcBorders>
            <w:shd w:val="clear" w:color="auto" w:fill="D9D9D9"/>
            <w:vAlign w:val="center"/>
            <w:hideMark/>
          </w:tcPr>
          <w:p w14:paraId="2089DC74" w14:textId="77777777" w:rsidR="00DC291C" w:rsidRPr="00DC291C" w:rsidRDefault="00DC291C" w:rsidP="00DC291C">
            <w:pPr>
              <w:spacing w:after="0" w:line="240" w:lineRule="auto"/>
              <w:jc w:val="left"/>
              <w:rPr>
                <w:rFonts w:eastAsia="Times New Roman" w:cs="Times New Roman"/>
                <w:caps/>
                <w:sz w:val="20"/>
                <w:szCs w:val="20"/>
              </w:rPr>
            </w:pPr>
            <w:r w:rsidRPr="00DC291C">
              <w:rPr>
                <w:rFonts w:eastAsia="Times New Roman" w:cs="Times New Roman"/>
                <w:b/>
                <w:caps/>
                <w:color w:val="365F91"/>
                <w:sz w:val="20"/>
                <w:szCs w:val="20"/>
              </w:rPr>
              <w:t>facilities available</w:t>
            </w:r>
          </w:p>
        </w:tc>
      </w:tr>
      <w:tr w:rsidR="00DC291C" w:rsidRPr="00DC291C" w14:paraId="15B651C1" w14:textId="77777777" w:rsidTr="00DC291C">
        <w:trPr>
          <w:cantSplit/>
          <w:trHeight w:val="288"/>
          <w:jc w:val="center"/>
        </w:trPr>
        <w:tc>
          <w:tcPr>
            <w:tcW w:w="2268" w:type="pct"/>
            <w:tcBorders>
              <w:top w:val="single" w:sz="8" w:space="0" w:color="0B3D70"/>
            </w:tcBorders>
            <w:vAlign w:val="center"/>
          </w:tcPr>
          <w:p w14:paraId="682C8A47" w14:textId="77777777" w:rsidR="00DC291C" w:rsidRPr="00DC291C" w:rsidRDefault="00DC291C" w:rsidP="00DC291C">
            <w:pPr>
              <w:tabs>
                <w:tab w:val="left" w:pos="-1890"/>
              </w:tabs>
              <w:spacing w:after="0" w:line="240" w:lineRule="auto"/>
              <w:jc w:val="left"/>
              <w:rPr>
                <w:rFonts w:eastAsia="Times New Roman" w:cs="Times New Roman"/>
                <w:color w:val="365F91"/>
                <w:sz w:val="20"/>
                <w:szCs w:val="20"/>
              </w:rPr>
            </w:pPr>
            <w:r w:rsidRPr="00DC291C">
              <w:rPr>
                <w:rFonts w:eastAsia="Times New Roman" w:cs="Times New Roman"/>
                <w:color w:val="365F91"/>
                <w:sz w:val="20"/>
                <w:szCs w:val="20"/>
              </w:rPr>
              <w:t>Exercise/workout</w:t>
            </w:r>
          </w:p>
        </w:tc>
        <w:tc>
          <w:tcPr>
            <w:tcW w:w="2732" w:type="pct"/>
            <w:tcBorders>
              <w:top w:val="single" w:sz="8" w:space="0" w:color="0B3D70"/>
            </w:tcBorders>
            <w:vAlign w:val="center"/>
          </w:tcPr>
          <w:p w14:paraId="0FC1B7D6" w14:textId="77777777" w:rsidR="00DC291C" w:rsidRPr="00DC291C" w:rsidRDefault="00DC291C" w:rsidP="00DC291C">
            <w:pPr>
              <w:spacing w:after="0" w:line="240" w:lineRule="auto"/>
              <w:jc w:val="left"/>
              <w:rPr>
                <w:rFonts w:eastAsia="Times New Roman" w:cs="Times New Roman"/>
                <w:sz w:val="20"/>
                <w:szCs w:val="20"/>
              </w:rPr>
            </w:pPr>
            <w:r w:rsidRPr="00DC291C">
              <w:rPr>
                <w:rFonts w:eastAsia="Times New Roman" w:cs="Times New Roman"/>
                <w:sz w:val="20"/>
                <w:szCs w:val="20"/>
              </w:rPr>
              <w:t>No</w:t>
            </w:r>
          </w:p>
        </w:tc>
      </w:tr>
      <w:tr w:rsidR="00DC291C" w:rsidRPr="00DC291C" w14:paraId="36D18C24" w14:textId="77777777" w:rsidTr="00DC291C">
        <w:trPr>
          <w:cantSplit/>
          <w:trHeight w:val="288"/>
          <w:jc w:val="center"/>
        </w:trPr>
        <w:tc>
          <w:tcPr>
            <w:tcW w:w="2268" w:type="pct"/>
            <w:vAlign w:val="center"/>
          </w:tcPr>
          <w:p w14:paraId="0E6B17C2" w14:textId="77777777" w:rsidR="00DC291C" w:rsidRPr="00DC291C" w:rsidRDefault="00DC291C" w:rsidP="00DC291C">
            <w:pPr>
              <w:tabs>
                <w:tab w:val="left" w:pos="-1890"/>
              </w:tabs>
              <w:spacing w:after="0" w:line="240" w:lineRule="auto"/>
              <w:jc w:val="left"/>
              <w:rPr>
                <w:rFonts w:eastAsia="Times New Roman" w:cs="Times New Roman"/>
                <w:color w:val="365F91"/>
                <w:sz w:val="20"/>
                <w:szCs w:val="20"/>
              </w:rPr>
            </w:pPr>
            <w:r w:rsidRPr="00DC291C">
              <w:rPr>
                <w:rFonts w:eastAsia="Times New Roman" w:cs="Times New Roman"/>
                <w:color w:val="365F91"/>
                <w:sz w:val="20"/>
                <w:szCs w:val="20"/>
              </w:rPr>
              <w:t xml:space="preserve">Kitchen/dormitory </w:t>
            </w:r>
          </w:p>
        </w:tc>
        <w:tc>
          <w:tcPr>
            <w:tcW w:w="2732" w:type="pct"/>
            <w:vAlign w:val="center"/>
          </w:tcPr>
          <w:p w14:paraId="3D7B1B42" w14:textId="77777777" w:rsidR="00DC291C" w:rsidRPr="00DC291C" w:rsidRDefault="00DC291C" w:rsidP="00DC291C">
            <w:pPr>
              <w:spacing w:after="0" w:line="240" w:lineRule="auto"/>
              <w:jc w:val="left"/>
              <w:rPr>
                <w:rFonts w:eastAsia="Times New Roman" w:cs="Times New Roman"/>
                <w:sz w:val="20"/>
                <w:szCs w:val="20"/>
              </w:rPr>
            </w:pPr>
            <w:r w:rsidRPr="00DC291C">
              <w:rPr>
                <w:rFonts w:eastAsia="Times New Roman" w:cs="Times New Roman"/>
                <w:sz w:val="20"/>
                <w:szCs w:val="20"/>
              </w:rPr>
              <w:t>Yes</w:t>
            </w:r>
          </w:p>
        </w:tc>
      </w:tr>
      <w:tr w:rsidR="00DC291C" w:rsidRPr="00DC291C" w14:paraId="5CDC71DB" w14:textId="77777777" w:rsidTr="00DC291C">
        <w:trPr>
          <w:cantSplit/>
          <w:trHeight w:val="288"/>
          <w:jc w:val="center"/>
        </w:trPr>
        <w:tc>
          <w:tcPr>
            <w:tcW w:w="2268" w:type="pct"/>
            <w:vAlign w:val="center"/>
          </w:tcPr>
          <w:p w14:paraId="1FFA20C4" w14:textId="77777777" w:rsidR="00DC291C" w:rsidRPr="00DC291C" w:rsidRDefault="00DC291C" w:rsidP="00DC291C">
            <w:pPr>
              <w:tabs>
                <w:tab w:val="left" w:pos="-1890"/>
              </w:tabs>
              <w:spacing w:after="0" w:line="240" w:lineRule="auto"/>
              <w:jc w:val="left"/>
              <w:rPr>
                <w:rFonts w:eastAsia="Times New Roman" w:cs="Times New Roman"/>
                <w:color w:val="365F91"/>
                <w:sz w:val="20"/>
                <w:szCs w:val="20"/>
              </w:rPr>
            </w:pPr>
            <w:r w:rsidRPr="00DC291C">
              <w:rPr>
                <w:rFonts w:eastAsia="Times New Roman" w:cs="Times New Roman"/>
                <w:color w:val="365F91"/>
                <w:sz w:val="20"/>
                <w:szCs w:val="20"/>
              </w:rPr>
              <w:t>Lockers/showers</w:t>
            </w:r>
          </w:p>
        </w:tc>
        <w:tc>
          <w:tcPr>
            <w:tcW w:w="2732" w:type="pct"/>
            <w:vAlign w:val="center"/>
          </w:tcPr>
          <w:p w14:paraId="59C7B0F4" w14:textId="77777777" w:rsidR="00DC291C" w:rsidRPr="00DC291C" w:rsidRDefault="00DC291C" w:rsidP="00DC291C">
            <w:pPr>
              <w:spacing w:after="0" w:line="240" w:lineRule="auto"/>
              <w:jc w:val="left"/>
              <w:rPr>
                <w:rFonts w:eastAsia="Times New Roman" w:cs="Times New Roman"/>
                <w:sz w:val="20"/>
                <w:szCs w:val="20"/>
              </w:rPr>
            </w:pPr>
            <w:r w:rsidRPr="00DC291C">
              <w:rPr>
                <w:rFonts w:eastAsia="Times New Roman" w:cs="Times New Roman"/>
                <w:sz w:val="20"/>
                <w:szCs w:val="20"/>
              </w:rPr>
              <w:t>Yes</w:t>
            </w:r>
          </w:p>
        </w:tc>
      </w:tr>
      <w:tr w:rsidR="00DC291C" w:rsidRPr="00DC291C" w14:paraId="298DD744" w14:textId="77777777" w:rsidTr="00DC291C">
        <w:trPr>
          <w:cantSplit/>
          <w:trHeight w:val="288"/>
          <w:jc w:val="center"/>
        </w:trPr>
        <w:tc>
          <w:tcPr>
            <w:tcW w:w="2268" w:type="pct"/>
            <w:vAlign w:val="center"/>
          </w:tcPr>
          <w:p w14:paraId="1008CA02" w14:textId="77777777" w:rsidR="00DC291C" w:rsidRPr="00DC291C" w:rsidRDefault="00DC291C" w:rsidP="00DC291C">
            <w:pPr>
              <w:tabs>
                <w:tab w:val="left" w:pos="-1890"/>
              </w:tabs>
              <w:spacing w:after="0" w:line="240" w:lineRule="auto"/>
              <w:jc w:val="left"/>
              <w:rPr>
                <w:rFonts w:eastAsia="Times New Roman" w:cs="Times New Roman"/>
                <w:color w:val="365F91"/>
                <w:sz w:val="20"/>
                <w:szCs w:val="20"/>
              </w:rPr>
            </w:pPr>
            <w:r w:rsidRPr="00DC291C">
              <w:rPr>
                <w:rFonts w:eastAsia="Times New Roman" w:cs="Times New Roman"/>
                <w:color w:val="365F91"/>
                <w:sz w:val="20"/>
                <w:szCs w:val="20"/>
              </w:rPr>
              <w:t>Training/meetings</w:t>
            </w:r>
          </w:p>
        </w:tc>
        <w:tc>
          <w:tcPr>
            <w:tcW w:w="2732" w:type="pct"/>
            <w:vAlign w:val="center"/>
          </w:tcPr>
          <w:p w14:paraId="3C3A7456" w14:textId="77777777" w:rsidR="00DC291C" w:rsidRPr="00DC291C" w:rsidRDefault="00DC291C" w:rsidP="00DC291C">
            <w:pPr>
              <w:spacing w:after="0" w:line="240" w:lineRule="auto"/>
              <w:jc w:val="left"/>
              <w:rPr>
                <w:rFonts w:eastAsia="Times New Roman" w:cs="Times New Roman"/>
                <w:sz w:val="20"/>
                <w:szCs w:val="20"/>
              </w:rPr>
            </w:pPr>
            <w:r w:rsidRPr="00DC291C">
              <w:rPr>
                <w:rFonts w:eastAsia="Times New Roman" w:cs="Times New Roman"/>
                <w:sz w:val="20"/>
                <w:szCs w:val="20"/>
              </w:rPr>
              <w:t>No</w:t>
            </w:r>
          </w:p>
        </w:tc>
      </w:tr>
      <w:tr w:rsidR="00DC291C" w:rsidRPr="00DC291C" w14:paraId="4E0CFE73" w14:textId="77777777" w:rsidTr="00DC291C">
        <w:trPr>
          <w:cantSplit/>
          <w:trHeight w:val="288"/>
          <w:jc w:val="center"/>
        </w:trPr>
        <w:tc>
          <w:tcPr>
            <w:tcW w:w="2268" w:type="pct"/>
            <w:tcBorders>
              <w:bottom w:val="single" w:sz="8" w:space="0" w:color="0B3D70"/>
            </w:tcBorders>
            <w:vAlign w:val="center"/>
          </w:tcPr>
          <w:p w14:paraId="4188253E" w14:textId="77777777" w:rsidR="00DC291C" w:rsidRPr="00DC291C" w:rsidRDefault="00DC291C" w:rsidP="00DC291C">
            <w:pPr>
              <w:tabs>
                <w:tab w:val="left" w:pos="-1890"/>
              </w:tabs>
              <w:spacing w:after="0" w:line="240" w:lineRule="auto"/>
              <w:jc w:val="left"/>
              <w:rPr>
                <w:rFonts w:eastAsia="Times New Roman" w:cs="Times New Roman"/>
                <w:color w:val="365F91"/>
                <w:sz w:val="20"/>
                <w:szCs w:val="20"/>
              </w:rPr>
            </w:pPr>
            <w:r w:rsidRPr="00DC291C">
              <w:rPr>
                <w:rFonts w:eastAsia="Times New Roman" w:cs="Times New Roman"/>
                <w:color w:val="365F91"/>
                <w:sz w:val="20"/>
                <w:szCs w:val="20"/>
              </w:rPr>
              <w:t>Washer/dryer</w:t>
            </w:r>
          </w:p>
        </w:tc>
        <w:tc>
          <w:tcPr>
            <w:tcW w:w="2732" w:type="pct"/>
            <w:tcBorders>
              <w:bottom w:val="single" w:sz="8" w:space="0" w:color="0B3D70"/>
            </w:tcBorders>
            <w:vAlign w:val="center"/>
          </w:tcPr>
          <w:p w14:paraId="1F0997B0" w14:textId="77777777" w:rsidR="00DC291C" w:rsidRPr="00DC291C" w:rsidRDefault="00DC291C" w:rsidP="00DC291C">
            <w:pPr>
              <w:spacing w:after="0" w:line="240" w:lineRule="auto"/>
              <w:jc w:val="left"/>
              <w:rPr>
                <w:rFonts w:eastAsia="Times New Roman" w:cs="Times New Roman"/>
                <w:sz w:val="20"/>
                <w:szCs w:val="20"/>
              </w:rPr>
            </w:pPr>
            <w:r w:rsidRPr="00DC291C">
              <w:rPr>
                <w:rFonts w:eastAsia="Times New Roman" w:cs="Times New Roman"/>
                <w:sz w:val="20"/>
                <w:szCs w:val="20"/>
              </w:rPr>
              <w:t>No</w:t>
            </w:r>
          </w:p>
        </w:tc>
      </w:tr>
      <w:tr w:rsidR="00DC291C" w:rsidRPr="00DC291C" w14:paraId="4BF284B4" w14:textId="77777777" w:rsidTr="00DC291C">
        <w:trPr>
          <w:cantSplit/>
          <w:trHeight w:val="317"/>
          <w:jc w:val="center"/>
        </w:trPr>
        <w:tc>
          <w:tcPr>
            <w:tcW w:w="5000" w:type="pct"/>
            <w:gridSpan w:val="2"/>
            <w:tcBorders>
              <w:top w:val="single" w:sz="8" w:space="0" w:color="0B3D70"/>
              <w:bottom w:val="single" w:sz="8" w:space="0" w:color="0B3D70"/>
            </w:tcBorders>
            <w:shd w:val="clear" w:color="auto" w:fill="D9D9D9"/>
            <w:vAlign w:val="center"/>
            <w:hideMark/>
          </w:tcPr>
          <w:p w14:paraId="638A4E81" w14:textId="77777777" w:rsidR="00DC291C" w:rsidRPr="00DC291C" w:rsidRDefault="00DC291C" w:rsidP="00DC291C">
            <w:pPr>
              <w:spacing w:after="0" w:line="240" w:lineRule="auto"/>
              <w:jc w:val="left"/>
              <w:rPr>
                <w:rFonts w:eastAsia="Times New Roman" w:cs="Times New Roman"/>
                <w:caps/>
                <w:sz w:val="20"/>
                <w:szCs w:val="20"/>
              </w:rPr>
            </w:pPr>
            <w:r w:rsidRPr="00DC291C">
              <w:rPr>
                <w:rFonts w:eastAsia="Times New Roman" w:cs="Times New Roman"/>
                <w:b/>
                <w:caps/>
                <w:color w:val="365F91"/>
                <w:sz w:val="20"/>
                <w:szCs w:val="20"/>
              </w:rPr>
              <w:t>facilities available</w:t>
            </w:r>
          </w:p>
        </w:tc>
      </w:tr>
      <w:tr w:rsidR="00DC291C" w:rsidRPr="00DC291C" w14:paraId="19F2731E" w14:textId="77777777" w:rsidTr="00DC291C">
        <w:trPr>
          <w:cantSplit/>
          <w:trHeight w:val="288"/>
          <w:jc w:val="center"/>
        </w:trPr>
        <w:tc>
          <w:tcPr>
            <w:tcW w:w="2268" w:type="pct"/>
            <w:tcBorders>
              <w:top w:val="single" w:sz="8" w:space="0" w:color="0B3D70"/>
            </w:tcBorders>
            <w:vAlign w:val="center"/>
          </w:tcPr>
          <w:p w14:paraId="31D9BF10" w14:textId="77777777" w:rsidR="00DC291C" w:rsidRPr="00DC291C" w:rsidRDefault="00DC291C" w:rsidP="00DC291C">
            <w:pPr>
              <w:tabs>
                <w:tab w:val="left" w:pos="-1890"/>
              </w:tabs>
              <w:spacing w:after="0" w:line="240" w:lineRule="auto"/>
              <w:jc w:val="left"/>
              <w:rPr>
                <w:rFonts w:eastAsia="Times New Roman" w:cs="Times New Roman"/>
                <w:color w:val="365F91"/>
                <w:sz w:val="20"/>
                <w:szCs w:val="20"/>
              </w:rPr>
            </w:pPr>
            <w:r w:rsidRPr="00DC291C">
              <w:rPr>
                <w:rFonts w:eastAsia="Times New Roman" w:cs="Times New Roman"/>
                <w:color w:val="365F91"/>
                <w:sz w:val="20"/>
                <w:szCs w:val="20"/>
              </w:rPr>
              <w:t>Sprinkler system</w:t>
            </w:r>
          </w:p>
        </w:tc>
        <w:tc>
          <w:tcPr>
            <w:tcW w:w="2732" w:type="pct"/>
            <w:tcBorders>
              <w:top w:val="single" w:sz="8" w:space="0" w:color="0B3D70"/>
            </w:tcBorders>
            <w:vAlign w:val="center"/>
          </w:tcPr>
          <w:p w14:paraId="0983A235" w14:textId="77777777" w:rsidR="00DC291C" w:rsidRPr="00DC291C" w:rsidRDefault="00DC291C" w:rsidP="00DC291C">
            <w:pPr>
              <w:spacing w:after="0" w:line="240" w:lineRule="auto"/>
              <w:jc w:val="left"/>
              <w:rPr>
                <w:rFonts w:eastAsia="Times New Roman" w:cs="Times New Roman"/>
                <w:sz w:val="20"/>
                <w:szCs w:val="20"/>
              </w:rPr>
            </w:pPr>
            <w:r w:rsidRPr="00DC291C">
              <w:rPr>
                <w:rFonts w:eastAsia="Times New Roman" w:cs="Times New Roman"/>
                <w:sz w:val="20"/>
                <w:szCs w:val="20"/>
              </w:rPr>
              <w:t>Yes</w:t>
            </w:r>
          </w:p>
        </w:tc>
      </w:tr>
      <w:tr w:rsidR="00DC291C" w:rsidRPr="00DC291C" w14:paraId="03D83DD4" w14:textId="77777777" w:rsidTr="00DC291C">
        <w:trPr>
          <w:cantSplit/>
          <w:trHeight w:val="288"/>
          <w:jc w:val="center"/>
        </w:trPr>
        <w:tc>
          <w:tcPr>
            <w:tcW w:w="2268" w:type="pct"/>
            <w:vAlign w:val="center"/>
          </w:tcPr>
          <w:p w14:paraId="053711A8" w14:textId="77777777" w:rsidR="00DC291C" w:rsidRPr="00DC291C" w:rsidRDefault="00DC291C" w:rsidP="00DC291C">
            <w:pPr>
              <w:tabs>
                <w:tab w:val="left" w:pos="-1890"/>
              </w:tabs>
              <w:spacing w:after="0" w:line="240" w:lineRule="auto"/>
              <w:jc w:val="left"/>
              <w:rPr>
                <w:rFonts w:eastAsia="Times New Roman" w:cs="Times New Roman"/>
                <w:color w:val="365F91"/>
                <w:sz w:val="20"/>
                <w:szCs w:val="20"/>
              </w:rPr>
            </w:pPr>
            <w:r w:rsidRPr="00DC291C">
              <w:rPr>
                <w:rFonts w:eastAsia="Times New Roman" w:cs="Times New Roman"/>
                <w:color w:val="365F91"/>
                <w:sz w:val="20"/>
                <w:szCs w:val="20"/>
              </w:rPr>
              <w:t>Smoke detection</w:t>
            </w:r>
          </w:p>
        </w:tc>
        <w:tc>
          <w:tcPr>
            <w:tcW w:w="2732" w:type="pct"/>
            <w:vAlign w:val="center"/>
          </w:tcPr>
          <w:p w14:paraId="2CACFFA6" w14:textId="77777777" w:rsidR="00DC291C" w:rsidRPr="00DC291C" w:rsidRDefault="00DC291C" w:rsidP="00DC291C">
            <w:pPr>
              <w:spacing w:after="0" w:line="240" w:lineRule="auto"/>
              <w:jc w:val="left"/>
              <w:rPr>
                <w:rFonts w:eastAsia="Times New Roman" w:cs="Times New Roman"/>
                <w:sz w:val="20"/>
                <w:szCs w:val="20"/>
              </w:rPr>
            </w:pPr>
            <w:r w:rsidRPr="00DC291C">
              <w:rPr>
                <w:rFonts w:eastAsia="Times New Roman" w:cs="Times New Roman"/>
                <w:sz w:val="20"/>
                <w:szCs w:val="20"/>
              </w:rPr>
              <w:t>Yes</w:t>
            </w:r>
          </w:p>
        </w:tc>
      </w:tr>
      <w:tr w:rsidR="00DC291C" w:rsidRPr="00DC291C" w14:paraId="11100092" w14:textId="77777777" w:rsidTr="00DC291C">
        <w:trPr>
          <w:cantSplit/>
          <w:trHeight w:val="288"/>
          <w:jc w:val="center"/>
        </w:trPr>
        <w:tc>
          <w:tcPr>
            <w:tcW w:w="2268" w:type="pct"/>
            <w:tcBorders>
              <w:bottom w:val="single" w:sz="2" w:space="0" w:color="000000"/>
            </w:tcBorders>
            <w:vAlign w:val="center"/>
          </w:tcPr>
          <w:p w14:paraId="19C89C2D" w14:textId="77777777" w:rsidR="00DC291C" w:rsidRPr="00DC291C" w:rsidRDefault="00DC291C" w:rsidP="00DC291C">
            <w:pPr>
              <w:tabs>
                <w:tab w:val="left" w:pos="-1890"/>
              </w:tabs>
              <w:spacing w:after="0" w:line="240" w:lineRule="auto"/>
              <w:jc w:val="left"/>
              <w:rPr>
                <w:rFonts w:eastAsia="Times New Roman" w:cs="Times New Roman"/>
                <w:color w:val="365F91"/>
                <w:sz w:val="20"/>
                <w:szCs w:val="20"/>
              </w:rPr>
            </w:pPr>
            <w:r w:rsidRPr="00DC291C">
              <w:rPr>
                <w:rFonts w:eastAsia="Times New Roman" w:cs="Times New Roman"/>
                <w:color w:val="365F91"/>
                <w:sz w:val="20"/>
                <w:szCs w:val="20"/>
              </w:rPr>
              <w:t>Security</w:t>
            </w:r>
          </w:p>
        </w:tc>
        <w:tc>
          <w:tcPr>
            <w:tcW w:w="2732" w:type="pct"/>
            <w:vAlign w:val="center"/>
          </w:tcPr>
          <w:p w14:paraId="401C19A1" w14:textId="77777777" w:rsidR="00DC291C" w:rsidRPr="00DC291C" w:rsidRDefault="00DC291C" w:rsidP="00DC291C">
            <w:pPr>
              <w:spacing w:after="0" w:line="240" w:lineRule="auto"/>
              <w:jc w:val="left"/>
              <w:rPr>
                <w:rFonts w:eastAsia="Times New Roman" w:cs="Times New Roman"/>
                <w:sz w:val="20"/>
                <w:szCs w:val="20"/>
              </w:rPr>
            </w:pPr>
            <w:r w:rsidRPr="00DC291C">
              <w:rPr>
                <w:rFonts w:eastAsia="Times New Roman" w:cs="Times New Roman"/>
                <w:sz w:val="20"/>
                <w:szCs w:val="20"/>
              </w:rPr>
              <w:t>No</w:t>
            </w:r>
          </w:p>
        </w:tc>
      </w:tr>
      <w:tr w:rsidR="00DC291C" w:rsidRPr="00DC291C" w14:paraId="3FF9704C" w14:textId="77777777" w:rsidTr="00DC291C">
        <w:trPr>
          <w:cantSplit/>
          <w:trHeight w:val="288"/>
          <w:jc w:val="center"/>
        </w:trPr>
        <w:tc>
          <w:tcPr>
            <w:tcW w:w="2268" w:type="pct"/>
            <w:vAlign w:val="center"/>
          </w:tcPr>
          <w:p w14:paraId="2DF294AB" w14:textId="77777777" w:rsidR="00DC291C" w:rsidRPr="00DC291C" w:rsidRDefault="00DC291C" w:rsidP="00DC291C">
            <w:pPr>
              <w:tabs>
                <w:tab w:val="left" w:pos="-1890"/>
              </w:tabs>
              <w:spacing w:after="0" w:line="240" w:lineRule="auto"/>
              <w:jc w:val="left"/>
              <w:rPr>
                <w:rFonts w:eastAsia="Times New Roman" w:cs="Times New Roman"/>
                <w:color w:val="365F91"/>
                <w:sz w:val="20"/>
                <w:szCs w:val="20"/>
              </w:rPr>
            </w:pPr>
            <w:r w:rsidRPr="00DC291C">
              <w:rPr>
                <w:rFonts w:eastAsia="Times New Roman" w:cs="Times New Roman"/>
                <w:color w:val="365F91"/>
                <w:sz w:val="20"/>
                <w:szCs w:val="20"/>
              </w:rPr>
              <w:t>Apparatus exhaust system</w:t>
            </w:r>
          </w:p>
        </w:tc>
        <w:tc>
          <w:tcPr>
            <w:tcW w:w="2732" w:type="pct"/>
            <w:vAlign w:val="center"/>
          </w:tcPr>
          <w:p w14:paraId="4E3E1D5E" w14:textId="2BC8F87C" w:rsidR="00DC291C" w:rsidRPr="00DC291C" w:rsidRDefault="002969DA" w:rsidP="002969DA">
            <w:pPr>
              <w:spacing w:after="0" w:line="240" w:lineRule="auto"/>
              <w:jc w:val="left"/>
              <w:rPr>
                <w:rFonts w:eastAsia="Times New Roman" w:cs="Times New Roman"/>
                <w:sz w:val="20"/>
                <w:szCs w:val="20"/>
              </w:rPr>
            </w:pPr>
            <w:r>
              <w:rPr>
                <w:rFonts w:eastAsia="Times New Roman" w:cs="Times New Roman"/>
                <w:sz w:val="20"/>
                <w:szCs w:val="20"/>
              </w:rPr>
              <w:t xml:space="preserve">Yes </w:t>
            </w:r>
          </w:p>
        </w:tc>
      </w:tr>
    </w:tbl>
    <w:p w14:paraId="324E6717" w14:textId="77777777" w:rsidR="00DC291C" w:rsidRDefault="00DC291C">
      <w:pPr>
        <w:spacing w:after="200"/>
        <w:jc w:val="left"/>
      </w:pPr>
    </w:p>
    <w:p w14:paraId="3132C712" w14:textId="77777777" w:rsidR="002969DA" w:rsidRDefault="002969DA">
      <w:pPr>
        <w:spacing w:after="200"/>
        <w:jc w:val="left"/>
      </w:pPr>
    </w:p>
    <w:p w14:paraId="5A5EB9B8" w14:textId="77777777" w:rsidR="002969DA" w:rsidRDefault="002969DA">
      <w:pPr>
        <w:spacing w:after="200"/>
        <w:jc w:val="left"/>
      </w:pPr>
    </w:p>
    <w:p w14:paraId="483718BB" w14:textId="77777777" w:rsidR="002969DA" w:rsidRDefault="002969DA">
      <w:pPr>
        <w:spacing w:after="200"/>
        <w:jc w:val="left"/>
      </w:pPr>
    </w:p>
    <w:p w14:paraId="29F42B10" w14:textId="77777777" w:rsidR="002969DA" w:rsidRDefault="002969DA">
      <w:pPr>
        <w:spacing w:after="200"/>
        <w:jc w:val="left"/>
      </w:pPr>
    </w:p>
    <w:p w14:paraId="49578EED" w14:textId="77777777" w:rsidR="002969DA" w:rsidRDefault="002969DA">
      <w:pPr>
        <w:spacing w:after="200"/>
        <w:jc w:val="left"/>
      </w:pPr>
    </w:p>
    <w:p w14:paraId="1DC6F290" w14:textId="397E258D" w:rsidR="002969DA" w:rsidRDefault="009826A9" w:rsidP="00574D69">
      <w:pPr>
        <w:pStyle w:val="Caption"/>
        <w:spacing w:after="0"/>
      </w:pPr>
      <w:bookmarkStart w:id="213" w:name="_Toc464323694"/>
      <w:r>
        <w:t xml:space="preserve">Figure </w:t>
      </w:r>
      <w:r w:rsidR="00432AD4">
        <w:fldChar w:fldCharType="begin"/>
      </w:r>
      <w:r w:rsidR="00432AD4">
        <w:instrText xml:space="preserve"> SEQ Figure \* ARABIC </w:instrText>
      </w:r>
      <w:r w:rsidR="00432AD4">
        <w:fldChar w:fldCharType="separate"/>
      </w:r>
      <w:r w:rsidR="008209A2">
        <w:rPr>
          <w:noProof/>
        </w:rPr>
        <w:t>52</w:t>
      </w:r>
      <w:r w:rsidR="00432AD4">
        <w:rPr>
          <w:noProof/>
        </w:rPr>
        <w:fldChar w:fldCharType="end"/>
      </w:r>
      <w:r w:rsidR="00574D69">
        <w:t xml:space="preserve">: </w:t>
      </w:r>
      <w:r>
        <w:t>Vehicle Storage (Station 83 Annex)</w:t>
      </w:r>
      <w:bookmarkEnd w:id="213"/>
    </w:p>
    <w:p w14:paraId="7F2849B8" w14:textId="6BACC3D5" w:rsidR="009826A9" w:rsidRPr="009826A9" w:rsidRDefault="009826A9" w:rsidP="009826A9">
      <w:pPr>
        <w:spacing w:after="60" w:line="240" w:lineRule="auto"/>
        <w:jc w:val="center"/>
        <w:rPr>
          <w:sz w:val="20"/>
          <w:szCs w:val="20"/>
        </w:rPr>
      </w:pPr>
      <w:r w:rsidRPr="009826A9">
        <w:rPr>
          <w:sz w:val="20"/>
          <w:szCs w:val="20"/>
        </w:rPr>
        <w:t>Address: 3203 Road 68</w:t>
      </w:r>
      <w:r>
        <w:rPr>
          <w:sz w:val="20"/>
          <w:szCs w:val="20"/>
        </w:rPr>
        <w:t xml:space="preserve"> (directly behind)</w:t>
      </w:r>
    </w:p>
    <w:tbl>
      <w:tblPr>
        <w:tblW w:w="3716" w:type="pct"/>
        <w:jc w:val="center"/>
        <w:tblBorders>
          <w:top w:val="single" w:sz="2" w:space="0" w:color="000000"/>
          <w:bottom w:val="single" w:sz="2" w:space="0" w:color="000000"/>
          <w:insideH w:val="single" w:sz="2" w:space="0" w:color="000000"/>
          <w:insideV w:val="single" w:sz="2" w:space="0" w:color="000000"/>
        </w:tblBorders>
        <w:tblLayout w:type="fixed"/>
        <w:tblCellMar>
          <w:left w:w="115" w:type="dxa"/>
          <w:right w:w="115" w:type="dxa"/>
        </w:tblCellMar>
        <w:tblLook w:val="04A0" w:firstRow="1" w:lastRow="0" w:firstColumn="1" w:lastColumn="0" w:noHBand="0" w:noVBand="1"/>
      </w:tblPr>
      <w:tblGrid>
        <w:gridCol w:w="3233"/>
        <w:gridCol w:w="3894"/>
      </w:tblGrid>
      <w:tr w:rsidR="002969DA" w:rsidRPr="002969DA" w14:paraId="1B8A2A00" w14:textId="77777777" w:rsidTr="002969DA">
        <w:trPr>
          <w:cantSplit/>
          <w:trHeight w:hRule="exact" w:val="2592"/>
          <w:jc w:val="center"/>
        </w:trPr>
        <w:tc>
          <w:tcPr>
            <w:tcW w:w="2268" w:type="pct"/>
            <w:tcBorders>
              <w:top w:val="single" w:sz="8" w:space="0" w:color="0B3D70"/>
              <w:left w:val="single" w:sz="8" w:space="0" w:color="0B3D70"/>
              <w:bottom w:val="single" w:sz="8" w:space="0" w:color="0B3D70"/>
              <w:right w:val="single" w:sz="8" w:space="0" w:color="0B3D70"/>
            </w:tcBorders>
            <w:shd w:val="clear" w:color="auto" w:fill="auto"/>
            <w:vAlign w:val="center"/>
          </w:tcPr>
          <w:p w14:paraId="13801964" w14:textId="64F95CF6" w:rsidR="002969DA" w:rsidRPr="002969DA" w:rsidRDefault="00E474E2" w:rsidP="002969DA">
            <w:pPr>
              <w:spacing w:after="0" w:line="240" w:lineRule="auto"/>
              <w:jc w:val="center"/>
              <w:rPr>
                <w:rFonts w:eastAsia="Calibri" w:cs="Times New Roman"/>
                <w:lang w:eastAsia="en-US"/>
              </w:rPr>
            </w:pPr>
            <w:r>
              <w:rPr>
                <w:rFonts w:eastAsia="Calibri" w:cs="Times New Roman"/>
                <w:lang w:eastAsia="en-US"/>
              </w:rPr>
              <w:t>No Picture Available</w:t>
            </w:r>
          </w:p>
        </w:tc>
        <w:tc>
          <w:tcPr>
            <w:tcW w:w="2732" w:type="pct"/>
            <w:tcBorders>
              <w:top w:val="single" w:sz="8" w:space="0" w:color="0B3D70"/>
              <w:left w:val="single" w:sz="8" w:space="0" w:color="0B3D70"/>
              <w:bottom w:val="single" w:sz="8" w:space="0" w:color="0B3D70"/>
              <w:right w:val="single" w:sz="8" w:space="0" w:color="0B3D70"/>
            </w:tcBorders>
            <w:shd w:val="clear" w:color="auto" w:fill="auto"/>
            <w:vAlign w:val="center"/>
          </w:tcPr>
          <w:p w14:paraId="345AD42A" w14:textId="6CDB5913" w:rsidR="002969DA" w:rsidRPr="002969DA" w:rsidRDefault="009826A9" w:rsidP="009C39AC">
            <w:pPr>
              <w:spacing w:after="0" w:line="240" w:lineRule="auto"/>
              <w:jc w:val="left"/>
              <w:rPr>
                <w:rFonts w:eastAsia="Calibri" w:cs="Times New Roman"/>
                <w:sz w:val="20"/>
                <w:szCs w:val="20"/>
                <w:lang w:eastAsia="en-US"/>
              </w:rPr>
            </w:pPr>
            <w:r w:rsidRPr="009826A9">
              <w:rPr>
                <w:rFonts w:eastAsia="Calibri" w:cs="Times New Roman"/>
                <w:sz w:val="20"/>
                <w:szCs w:val="20"/>
                <w:lang w:eastAsia="en-US"/>
              </w:rPr>
              <w:t xml:space="preserve">This </w:t>
            </w:r>
            <w:r>
              <w:rPr>
                <w:rFonts w:eastAsia="Calibri" w:cs="Times New Roman"/>
                <w:sz w:val="20"/>
                <w:szCs w:val="20"/>
                <w:lang w:eastAsia="en-US"/>
              </w:rPr>
              <w:t xml:space="preserve">building serves as an </w:t>
            </w:r>
            <w:r w:rsidRPr="009826A9">
              <w:rPr>
                <w:rFonts w:eastAsia="Calibri" w:cs="Times New Roman"/>
                <w:sz w:val="20"/>
                <w:szCs w:val="20"/>
                <w:lang w:eastAsia="en-US"/>
              </w:rPr>
              <w:t>annex</w:t>
            </w:r>
            <w:r>
              <w:rPr>
                <w:rFonts w:eastAsia="Calibri" w:cs="Times New Roman"/>
                <w:sz w:val="20"/>
                <w:szCs w:val="20"/>
                <w:lang w:eastAsia="en-US"/>
              </w:rPr>
              <w:t xml:space="preserve"> locate</w:t>
            </w:r>
            <w:r w:rsidR="009C39AC">
              <w:rPr>
                <w:rFonts w:eastAsia="Calibri" w:cs="Times New Roman"/>
                <w:sz w:val="20"/>
                <w:szCs w:val="20"/>
                <w:lang w:eastAsia="en-US"/>
              </w:rPr>
              <w:t>d</w:t>
            </w:r>
            <w:r>
              <w:rPr>
                <w:rFonts w:eastAsia="Calibri" w:cs="Times New Roman"/>
                <w:sz w:val="20"/>
                <w:szCs w:val="20"/>
                <w:lang w:eastAsia="en-US"/>
              </w:rPr>
              <w:t xml:space="preserve"> directly behind Station 83.  The building</w:t>
            </w:r>
            <w:r w:rsidRPr="009826A9">
              <w:rPr>
                <w:rFonts w:eastAsia="Calibri" w:cs="Times New Roman"/>
                <w:sz w:val="20"/>
                <w:szCs w:val="20"/>
                <w:lang w:eastAsia="en-US"/>
              </w:rPr>
              <w:t xml:space="preserve"> stores seasonal apparatus and equipment, as well as exercise equipment.  While not convenient, the </w:t>
            </w:r>
            <w:r>
              <w:rPr>
                <w:rFonts w:eastAsia="Calibri" w:cs="Times New Roman"/>
                <w:sz w:val="20"/>
                <w:szCs w:val="20"/>
                <w:lang w:eastAsia="en-US"/>
              </w:rPr>
              <w:t xml:space="preserve">Station 83 </w:t>
            </w:r>
            <w:r w:rsidRPr="009826A9">
              <w:rPr>
                <w:rFonts w:eastAsia="Calibri" w:cs="Times New Roman"/>
                <w:sz w:val="20"/>
                <w:szCs w:val="20"/>
                <w:lang w:eastAsia="en-US"/>
              </w:rPr>
              <w:t>crew does have access to the exercise equipment while on duty.</w:t>
            </w:r>
          </w:p>
        </w:tc>
      </w:tr>
      <w:tr w:rsidR="002969DA" w:rsidRPr="002969DA" w14:paraId="032A5387" w14:textId="77777777" w:rsidTr="002969DA">
        <w:trPr>
          <w:cantSplit/>
          <w:trHeight w:val="360"/>
          <w:jc w:val="center"/>
        </w:trPr>
        <w:tc>
          <w:tcPr>
            <w:tcW w:w="2268" w:type="pct"/>
            <w:tcBorders>
              <w:top w:val="single" w:sz="8" w:space="0" w:color="0B3D70"/>
              <w:bottom w:val="nil"/>
              <w:right w:val="single" w:sz="2" w:space="0" w:color="FFFFFF"/>
            </w:tcBorders>
            <w:shd w:val="clear" w:color="auto" w:fill="365F91"/>
            <w:vAlign w:val="center"/>
            <w:hideMark/>
          </w:tcPr>
          <w:p w14:paraId="1E79F434" w14:textId="77777777" w:rsidR="002969DA" w:rsidRPr="002969DA" w:rsidRDefault="002969DA" w:rsidP="002969DA">
            <w:pPr>
              <w:spacing w:after="0" w:line="240" w:lineRule="auto"/>
              <w:jc w:val="left"/>
              <w:rPr>
                <w:rFonts w:eastAsia="Calibri" w:cs="Times New Roman"/>
                <w:b/>
                <w:caps/>
                <w:color w:val="FFFFFF"/>
                <w:sz w:val="20"/>
                <w:szCs w:val="20"/>
              </w:rPr>
            </w:pPr>
            <w:r w:rsidRPr="002969DA">
              <w:rPr>
                <w:rFonts w:eastAsia="Calibri" w:cs="Times New Roman"/>
                <w:b/>
                <w:caps/>
                <w:color w:val="FFFFFF"/>
                <w:sz w:val="20"/>
                <w:szCs w:val="20"/>
              </w:rPr>
              <w:t>SURVEY COMPONENT</w:t>
            </w:r>
          </w:p>
        </w:tc>
        <w:tc>
          <w:tcPr>
            <w:tcW w:w="2732" w:type="pct"/>
            <w:tcBorders>
              <w:top w:val="single" w:sz="8" w:space="0" w:color="0B3D70"/>
              <w:left w:val="single" w:sz="2" w:space="0" w:color="FFFFFF"/>
              <w:bottom w:val="nil"/>
            </w:tcBorders>
            <w:shd w:val="clear" w:color="auto" w:fill="365F91"/>
            <w:vAlign w:val="center"/>
          </w:tcPr>
          <w:p w14:paraId="479A3D31" w14:textId="77777777" w:rsidR="002969DA" w:rsidRPr="002969DA" w:rsidRDefault="002969DA" w:rsidP="002969DA">
            <w:pPr>
              <w:spacing w:after="0" w:line="240" w:lineRule="auto"/>
              <w:jc w:val="left"/>
              <w:rPr>
                <w:rFonts w:eastAsia="Calibri" w:cs="Times New Roman"/>
                <w:b/>
                <w:caps/>
                <w:color w:val="FFFFFF"/>
                <w:sz w:val="20"/>
                <w:szCs w:val="20"/>
              </w:rPr>
            </w:pPr>
            <w:r w:rsidRPr="002969DA">
              <w:rPr>
                <w:rFonts w:eastAsia="Calibri" w:cs="Times New Roman"/>
                <w:b/>
                <w:caps/>
                <w:color w:val="FFFFFF"/>
                <w:sz w:val="20"/>
                <w:szCs w:val="20"/>
              </w:rPr>
              <w:t>Observations</w:t>
            </w:r>
          </w:p>
        </w:tc>
      </w:tr>
      <w:tr w:rsidR="002969DA" w:rsidRPr="002969DA" w14:paraId="7F3B8006" w14:textId="77777777" w:rsidTr="002969DA">
        <w:trPr>
          <w:cantSplit/>
          <w:trHeight w:val="315"/>
          <w:jc w:val="center"/>
        </w:trPr>
        <w:tc>
          <w:tcPr>
            <w:tcW w:w="5000" w:type="pct"/>
            <w:gridSpan w:val="2"/>
            <w:tcBorders>
              <w:top w:val="nil"/>
              <w:bottom w:val="single" w:sz="8" w:space="0" w:color="0B3D70"/>
            </w:tcBorders>
            <w:shd w:val="clear" w:color="auto" w:fill="D9D9D9"/>
            <w:vAlign w:val="center"/>
            <w:hideMark/>
          </w:tcPr>
          <w:p w14:paraId="09D3038A" w14:textId="248DA22B" w:rsidR="002969DA" w:rsidRPr="002969DA" w:rsidRDefault="002969DA" w:rsidP="002969DA">
            <w:pPr>
              <w:spacing w:after="0" w:line="240" w:lineRule="auto"/>
              <w:jc w:val="left"/>
              <w:rPr>
                <w:rFonts w:eastAsia="Times New Roman" w:cs="Times New Roman"/>
                <w:caps/>
                <w:sz w:val="20"/>
                <w:szCs w:val="20"/>
              </w:rPr>
            </w:pPr>
            <w:r w:rsidRPr="002969DA">
              <w:rPr>
                <w:rFonts w:eastAsia="Times New Roman" w:cs="Times New Roman"/>
                <w:b/>
                <w:caps/>
                <w:color w:val="365F91"/>
                <w:sz w:val="20"/>
                <w:szCs w:val="20"/>
              </w:rPr>
              <w:t xml:space="preserve">structure </w:t>
            </w:r>
            <w:r>
              <w:rPr>
                <w:rFonts w:eastAsia="Times New Roman" w:cs="Times New Roman"/>
                <w:b/>
                <w:caps/>
                <w:color w:val="365F91"/>
                <w:sz w:val="20"/>
                <w:szCs w:val="20"/>
              </w:rPr>
              <w:t>--</w:t>
            </w:r>
            <w:r w:rsidRPr="002969DA">
              <w:rPr>
                <w:rFonts w:eastAsia="Times New Roman" w:cs="Times New Roman"/>
                <w:b/>
                <w:caps/>
                <w:color w:val="365F91"/>
                <w:sz w:val="20"/>
                <w:szCs w:val="20"/>
              </w:rPr>
              <w:t xml:space="preserve"> Vehicl</w:t>
            </w:r>
            <w:r>
              <w:rPr>
                <w:rFonts w:eastAsia="Times New Roman" w:cs="Times New Roman"/>
                <w:b/>
                <w:caps/>
                <w:color w:val="365F91"/>
                <w:sz w:val="20"/>
                <w:szCs w:val="20"/>
              </w:rPr>
              <w:t>e</w:t>
            </w:r>
            <w:r w:rsidRPr="002969DA">
              <w:rPr>
                <w:rFonts w:eastAsia="Times New Roman" w:cs="Times New Roman"/>
                <w:b/>
                <w:caps/>
                <w:color w:val="365F91"/>
                <w:sz w:val="20"/>
                <w:szCs w:val="20"/>
              </w:rPr>
              <w:t xml:space="preserve"> Storage Building</w:t>
            </w:r>
            <w:r>
              <w:rPr>
                <w:rFonts w:eastAsia="Times New Roman" w:cs="Times New Roman"/>
                <w:b/>
                <w:caps/>
                <w:color w:val="365F91"/>
                <w:sz w:val="20"/>
                <w:szCs w:val="20"/>
              </w:rPr>
              <w:t xml:space="preserve"> (Station 83 Annex)</w:t>
            </w:r>
          </w:p>
        </w:tc>
      </w:tr>
      <w:tr w:rsidR="002969DA" w:rsidRPr="002969DA" w14:paraId="785455B4" w14:textId="77777777" w:rsidTr="002969DA">
        <w:trPr>
          <w:cantSplit/>
          <w:trHeight w:val="288"/>
          <w:jc w:val="center"/>
        </w:trPr>
        <w:tc>
          <w:tcPr>
            <w:tcW w:w="2268" w:type="pct"/>
            <w:tcBorders>
              <w:top w:val="single" w:sz="8" w:space="0" w:color="0B3D70"/>
            </w:tcBorders>
            <w:vAlign w:val="center"/>
          </w:tcPr>
          <w:p w14:paraId="28AB7489" w14:textId="77777777" w:rsidR="002969DA" w:rsidRPr="002969DA" w:rsidRDefault="002969DA" w:rsidP="002969DA">
            <w:pPr>
              <w:tabs>
                <w:tab w:val="left" w:pos="-1890"/>
              </w:tabs>
              <w:spacing w:after="0" w:line="240" w:lineRule="auto"/>
              <w:jc w:val="left"/>
              <w:rPr>
                <w:rFonts w:eastAsia="Times New Roman" w:cs="Times New Roman"/>
                <w:color w:val="365F91"/>
                <w:sz w:val="20"/>
                <w:szCs w:val="20"/>
              </w:rPr>
            </w:pPr>
            <w:r w:rsidRPr="002969DA">
              <w:rPr>
                <w:rFonts w:eastAsia="Times New Roman" w:cs="Times New Roman"/>
                <w:color w:val="365F91"/>
                <w:sz w:val="20"/>
                <w:szCs w:val="20"/>
              </w:rPr>
              <w:t>Construction type</w:t>
            </w:r>
          </w:p>
        </w:tc>
        <w:tc>
          <w:tcPr>
            <w:tcW w:w="2732" w:type="pct"/>
            <w:tcBorders>
              <w:top w:val="single" w:sz="8" w:space="0" w:color="0B3D70"/>
            </w:tcBorders>
            <w:vAlign w:val="center"/>
          </w:tcPr>
          <w:p w14:paraId="54A27AF8" w14:textId="77777777" w:rsidR="002969DA" w:rsidRPr="002969DA" w:rsidRDefault="002969DA" w:rsidP="002969DA">
            <w:pPr>
              <w:spacing w:after="0" w:line="240" w:lineRule="auto"/>
              <w:jc w:val="left"/>
              <w:rPr>
                <w:rFonts w:eastAsia="Times New Roman" w:cs="Times New Roman"/>
                <w:sz w:val="20"/>
                <w:szCs w:val="20"/>
              </w:rPr>
            </w:pPr>
            <w:r w:rsidRPr="002969DA">
              <w:rPr>
                <w:rFonts w:eastAsia="Times New Roman" w:cs="Times New Roman"/>
                <w:sz w:val="20"/>
                <w:szCs w:val="20"/>
              </w:rPr>
              <w:t>Steel Frame</w:t>
            </w:r>
          </w:p>
        </w:tc>
      </w:tr>
      <w:tr w:rsidR="002969DA" w:rsidRPr="002969DA" w14:paraId="11109089" w14:textId="77777777" w:rsidTr="002969DA">
        <w:trPr>
          <w:cantSplit/>
          <w:trHeight w:val="288"/>
          <w:jc w:val="center"/>
        </w:trPr>
        <w:tc>
          <w:tcPr>
            <w:tcW w:w="2268" w:type="pct"/>
            <w:tcBorders>
              <w:top w:val="single" w:sz="8" w:space="0" w:color="0B3D70"/>
            </w:tcBorders>
            <w:vAlign w:val="center"/>
          </w:tcPr>
          <w:p w14:paraId="5668E3E2" w14:textId="77777777" w:rsidR="002969DA" w:rsidRPr="002969DA" w:rsidRDefault="002969DA" w:rsidP="002969DA">
            <w:pPr>
              <w:tabs>
                <w:tab w:val="left" w:pos="-1890"/>
              </w:tabs>
              <w:spacing w:after="0" w:line="240" w:lineRule="auto"/>
              <w:jc w:val="left"/>
              <w:rPr>
                <w:rFonts w:eastAsia="Times New Roman" w:cs="Times New Roman"/>
                <w:color w:val="365F91"/>
                <w:sz w:val="20"/>
                <w:szCs w:val="20"/>
              </w:rPr>
            </w:pPr>
            <w:r w:rsidRPr="002969DA">
              <w:rPr>
                <w:rFonts w:eastAsia="Times New Roman" w:cs="Times New Roman"/>
                <w:color w:val="365F91"/>
                <w:sz w:val="20"/>
                <w:szCs w:val="20"/>
              </w:rPr>
              <w:t>Date</w:t>
            </w:r>
          </w:p>
        </w:tc>
        <w:tc>
          <w:tcPr>
            <w:tcW w:w="2732" w:type="pct"/>
            <w:vAlign w:val="center"/>
          </w:tcPr>
          <w:p w14:paraId="10FB3AEF" w14:textId="77777777" w:rsidR="002969DA" w:rsidRPr="002969DA" w:rsidRDefault="002969DA" w:rsidP="002969DA">
            <w:pPr>
              <w:spacing w:after="0" w:line="240" w:lineRule="auto"/>
              <w:jc w:val="left"/>
              <w:rPr>
                <w:rFonts w:eastAsia="Times New Roman" w:cs="Times New Roman"/>
                <w:sz w:val="20"/>
                <w:szCs w:val="20"/>
              </w:rPr>
            </w:pPr>
            <w:r w:rsidRPr="002969DA">
              <w:rPr>
                <w:rFonts w:eastAsia="Times New Roman" w:cs="Times New Roman"/>
                <w:sz w:val="20"/>
                <w:szCs w:val="20"/>
              </w:rPr>
              <w:t>02-27-2009</w:t>
            </w:r>
          </w:p>
        </w:tc>
      </w:tr>
      <w:tr w:rsidR="002969DA" w:rsidRPr="002969DA" w14:paraId="206F337E" w14:textId="77777777" w:rsidTr="002969DA">
        <w:trPr>
          <w:cantSplit/>
          <w:trHeight w:val="288"/>
          <w:jc w:val="center"/>
        </w:trPr>
        <w:tc>
          <w:tcPr>
            <w:tcW w:w="2268" w:type="pct"/>
            <w:tcBorders>
              <w:top w:val="single" w:sz="8" w:space="0" w:color="0B3D70"/>
            </w:tcBorders>
            <w:vAlign w:val="center"/>
          </w:tcPr>
          <w:p w14:paraId="4385839A" w14:textId="77777777" w:rsidR="002969DA" w:rsidRPr="002969DA" w:rsidRDefault="002969DA" w:rsidP="002969DA">
            <w:pPr>
              <w:tabs>
                <w:tab w:val="left" w:pos="-1890"/>
              </w:tabs>
              <w:spacing w:after="0" w:line="240" w:lineRule="auto"/>
              <w:jc w:val="left"/>
              <w:rPr>
                <w:rFonts w:eastAsia="Times New Roman" w:cs="Times New Roman"/>
                <w:color w:val="365F91"/>
                <w:sz w:val="20"/>
                <w:szCs w:val="20"/>
              </w:rPr>
            </w:pPr>
            <w:r w:rsidRPr="002969DA">
              <w:rPr>
                <w:rFonts w:eastAsia="Times New Roman" w:cs="Times New Roman"/>
                <w:color w:val="365F91"/>
                <w:sz w:val="20"/>
                <w:szCs w:val="20"/>
              </w:rPr>
              <w:t>Seismic protection/energy audits</w:t>
            </w:r>
          </w:p>
        </w:tc>
        <w:tc>
          <w:tcPr>
            <w:tcW w:w="2732" w:type="pct"/>
            <w:vAlign w:val="center"/>
          </w:tcPr>
          <w:p w14:paraId="74168EBF" w14:textId="77777777" w:rsidR="002969DA" w:rsidRPr="002969DA" w:rsidRDefault="002969DA" w:rsidP="002969DA">
            <w:pPr>
              <w:spacing w:after="0" w:line="240" w:lineRule="auto"/>
              <w:jc w:val="left"/>
              <w:rPr>
                <w:rFonts w:eastAsia="Times New Roman" w:cs="Times New Roman"/>
                <w:sz w:val="20"/>
                <w:szCs w:val="20"/>
              </w:rPr>
            </w:pPr>
            <w:r w:rsidRPr="002969DA">
              <w:rPr>
                <w:rFonts w:eastAsia="Times New Roman" w:cs="Times New Roman"/>
                <w:sz w:val="20"/>
                <w:szCs w:val="20"/>
              </w:rPr>
              <w:t>No</w:t>
            </w:r>
          </w:p>
        </w:tc>
      </w:tr>
      <w:tr w:rsidR="002969DA" w:rsidRPr="002969DA" w14:paraId="2B99E3C4" w14:textId="77777777" w:rsidTr="002969DA">
        <w:trPr>
          <w:cantSplit/>
          <w:trHeight w:val="288"/>
          <w:jc w:val="center"/>
        </w:trPr>
        <w:tc>
          <w:tcPr>
            <w:tcW w:w="2268" w:type="pct"/>
            <w:tcBorders>
              <w:top w:val="single" w:sz="8" w:space="0" w:color="0B3D70"/>
            </w:tcBorders>
            <w:vAlign w:val="center"/>
          </w:tcPr>
          <w:p w14:paraId="65173739" w14:textId="77777777" w:rsidR="002969DA" w:rsidRPr="002969DA" w:rsidRDefault="002969DA" w:rsidP="002969DA">
            <w:pPr>
              <w:tabs>
                <w:tab w:val="left" w:pos="-1890"/>
              </w:tabs>
              <w:spacing w:after="0" w:line="240" w:lineRule="auto"/>
              <w:jc w:val="left"/>
              <w:rPr>
                <w:rFonts w:eastAsia="Times New Roman" w:cs="Times New Roman"/>
                <w:color w:val="365F91"/>
                <w:sz w:val="20"/>
                <w:szCs w:val="20"/>
              </w:rPr>
            </w:pPr>
            <w:r w:rsidRPr="002969DA">
              <w:rPr>
                <w:rFonts w:eastAsia="Times New Roman" w:cs="Times New Roman"/>
                <w:color w:val="365F91"/>
                <w:sz w:val="20"/>
                <w:szCs w:val="20"/>
              </w:rPr>
              <w:t>Auxiliary power</w:t>
            </w:r>
          </w:p>
        </w:tc>
        <w:tc>
          <w:tcPr>
            <w:tcW w:w="2732" w:type="pct"/>
            <w:vAlign w:val="center"/>
          </w:tcPr>
          <w:p w14:paraId="46AE665D" w14:textId="77777777" w:rsidR="002969DA" w:rsidRPr="002969DA" w:rsidRDefault="002969DA" w:rsidP="002969DA">
            <w:pPr>
              <w:spacing w:after="0" w:line="240" w:lineRule="auto"/>
              <w:jc w:val="left"/>
              <w:rPr>
                <w:rFonts w:eastAsia="Times New Roman" w:cs="Times New Roman"/>
                <w:sz w:val="20"/>
                <w:szCs w:val="20"/>
              </w:rPr>
            </w:pPr>
            <w:r w:rsidRPr="002969DA">
              <w:rPr>
                <w:rFonts w:eastAsia="Times New Roman" w:cs="Times New Roman"/>
                <w:sz w:val="20"/>
                <w:szCs w:val="20"/>
              </w:rPr>
              <w:t>No</w:t>
            </w:r>
          </w:p>
        </w:tc>
      </w:tr>
      <w:tr w:rsidR="002969DA" w:rsidRPr="002969DA" w14:paraId="2FCE3293" w14:textId="77777777" w:rsidTr="002969DA">
        <w:trPr>
          <w:cantSplit/>
          <w:trHeight w:val="288"/>
          <w:jc w:val="center"/>
        </w:trPr>
        <w:tc>
          <w:tcPr>
            <w:tcW w:w="2268" w:type="pct"/>
            <w:tcBorders>
              <w:top w:val="single" w:sz="8" w:space="0" w:color="0B3D70"/>
            </w:tcBorders>
            <w:vAlign w:val="center"/>
          </w:tcPr>
          <w:p w14:paraId="49C391D9" w14:textId="77777777" w:rsidR="002969DA" w:rsidRPr="002969DA" w:rsidRDefault="002969DA" w:rsidP="002969DA">
            <w:pPr>
              <w:tabs>
                <w:tab w:val="left" w:pos="-1890"/>
              </w:tabs>
              <w:spacing w:after="0" w:line="240" w:lineRule="auto"/>
              <w:jc w:val="left"/>
              <w:rPr>
                <w:rFonts w:eastAsia="Times New Roman" w:cs="Times New Roman"/>
                <w:color w:val="365F91"/>
                <w:sz w:val="20"/>
                <w:szCs w:val="20"/>
              </w:rPr>
            </w:pPr>
            <w:r w:rsidRPr="002969DA">
              <w:rPr>
                <w:rFonts w:eastAsia="Times New Roman" w:cs="Times New Roman"/>
                <w:color w:val="365F91"/>
                <w:sz w:val="20"/>
                <w:szCs w:val="20"/>
              </w:rPr>
              <w:t>Condition</w:t>
            </w:r>
          </w:p>
        </w:tc>
        <w:tc>
          <w:tcPr>
            <w:tcW w:w="2732" w:type="pct"/>
            <w:vAlign w:val="center"/>
          </w:tcPr>
          <w:p w14:paraId="6EBEFBC9" w14:textId="6DCBD322" w:rsidR="002969DA" w:rsidRPr="002969DA" w:rsidRDefault="009826A9" w:rsidP="002969DA">
            <w:pPr>
              <w:spacing w:after="0" w:line="240" w:lineRule="auto"/>
              <w:jc w:val="left"/>
              <w:rPr>
                <w:rFonts w:eastAsia="Times New Roman" w:cs="Times New Roman"/>
                <w:sz w:val="20"/>
                <w:szCs w:val="20"/>
              </w:rPr>
            </w:pPr>
            <w:r>
              <w:rPr>
                <w:rFonts w:eastAsia="Times New Roman" w:cs="Times New Roman"/>
                <w:sz w:val="20"/>
                <w:szCs w:val="20"/>
              </w:rPr>
              <w:t>Good</w:t>
            </w:r>
          </w:p>
        </w:tc>
      </w:tr>
      <w:tr w:rsidR="002969DA" w:rsidRPr="002969DA" w14:paraId="32D983AD" w14:textId="77777777" w:rsidTr="002969DA">
        <w:trPr>
          <w:cantSplit/>
          <w:trHeight w:val="288"/>
          <w:jc w:val="center"/>
        </w:trPr>
        <w:tc>
          <w:tcPr>
            <w:tcW w:w="2268" w:type="pct"/>
            <w:vAlign w:val="center"/>
          </w:tcPr>
          <w:p w14:paraId="14770241" w14:textId="77777777" w:rsidR="002969DA" w:rsidRPr="002969DA" w:rsidRDefault="002969DA" w:rsidP="002969DA">
            <w:pPr>
              <w:tabs>
                <w:tab w:val="left" w:pos="-1890"/>
              </w:tabs>
              <w:spacing w:after="0" w:line="240" w:lineRule="auto"/>
              <w:jc w:val="left"/>
              <w:rPr>
                <w:rFonts w:eastAsia="Times New Roman" w:cs="Times New Roman"/>
                <w:color w:val="365F91"/>
                <w:sz w:val="20"/>
                <w:szCs w:val="20"/>
              </w:rPr>
            </w:pPr>
            <w:r w:rsidRPr="002969DA">
              <w:rPr>
                <w:rFonts w:eastAsia="Times New Roman" w:cs="Times New Roman"/>
                <w:color w:val="365F91"/>
                <w:sz w:val="20"/>
                <w:szCs w:val="20"/>
              </w:rPr>
              <w:t>Special considerations (ADA, mixed gender appropriate, storage, etc.)</w:t>
            </w:r>
          </w:p>
        </w:tc>
        <w:tc>
          <w:tcPr>
            <w:tcW w:w="2732" w:type="pct"/>
            <w:vAlign w:val="center"/>
          </w:tcPr>
          <w:p w14:paraId="349E2AB7" w14:textId="14C5F479" w:rsidR="002969DA" w:rsidRPr="002969DA" w:rsidRDefault="009826A9" w:rsidP="002969DA">
            <w:pPr>
              <w:spacing w:after="0" w:line="240" w:lineRule="auto"/>
              <w:jc w:val="left"/>
              <w:rPr>
                <w:rFonts w:eastAsia="Times New Roman" w:cs="Times New Roman"/>
                <w:sz w:val="20"/>
                <w:szCs w:val="20"/>
              </w:rPr>
            </w:pPr>
            <w:r>
              <w:rPr>
                <w:rFonts w:eastAsia="Times New Roman" w:cs="Times New Roman"/>
                <w:sz w:val="20"/>
                <w:szCs w:val="20"/>
              </w:rPr>
              <w:t>N/A -- Building is all storage</w:t>
            </w:r>
          </w:p>
        </w:tc>
      </w:tr>
      <w:tr w:rsidR="002969DA" w:rsidRPr="002969DA" w14:paraId="2E0788A2" w14:textId="77777777" w:rsidTr="002969DA">
        <w:trPr>
          <w:cantSplit/>
          <w:trHeight w:val="288"/>
          <w:jc w:val="center"/>
        </w:trPr>
        <w:tc>
          <w:tcPr>
            <w:tcW w:w="2268" w:type="pct"/>
            <w:tcBorders>
              <w:bottom w:val="single" w:sz="8" w:space="0" w:color="0B3D70"/>
            </w:tcBorders>
            <w:vAlign w:val="center"/>
          </w:tcPr>
          <w:p w14:paraId="5D9D4B7A" w14:textId="77777777" w:rsidR="002969DA" w:rsidRPr="002969DA" w:rsidRDefault="002969DA" w:rsidP="002969DA">
            <w:pPr>
              <w:tabs>
                <w:tab w:val="left" w:pos="-1890"/>
              </w:tabs>
              <w:spacing w:after="0" w:line="240" w:lineRule="auto"/>
              <w:jc w:val="left"/>
              <w:rPr>
                <w:rFonts w:eastAsia="Times New Roman" w:cs="Times New Roman"/>
                <w:color w:val="365F91"/>
                <w:sz w:val="20"/>
                <w:szCs w:val="20"/>
              </w:rPr>
            </w:pPr>
            <w:r w:rsidRPr="002969DA">
              <w:rPr>
                <w:rFonts w:eastAsia="Times New Roman" w:cs="Times New Roman"/>
                <w:color w:val="365F91"/>
                <w:sz w:val="20"/>
                <w:szCs w:val="20"/>
              </w:rPr>
              <w:t>Square footage</w:t>
            </w:r>
          </w:p>
        </w:tc>
        <w:tc>
          <w:tcPr>
            <w:tcW w:w="2732" w:type="pct"/>
            <w:tcBorders>
              <w:bottom w:val="single" w:sz="8" w:space="0" w:color="0B3D70"/>
            </w:tcBorders>
            <w:vAlign w:val="center"/>
          </w:tcPr>
          <w:p w14:paraId="76657A08" w14:textId="4D9A95DC" w:rsidR="002969DA" w:rsidRPr="002969DA" w:rsidRDefault="002969DA" w:rsidP="002969DA">
            <w:pPr>
              <w:spacing w:after="0" w:line="240" w:lineRule="auto"/>
              <w:jc w:val="left"/>
              <w:rPr>
                <w:rFonts w:eastAsia="Times New Roman" w:cs="Times New Roman"/>
                <w:sz w:val="20"/>
                <w:szCs w:val="20"/>
              </w:rPr>
            </w:pPr>
            <w:r w:rsidRPr="002969DA">
              <w:rPr>
                <w:rFonts w:eastAsia="Times New Roman" w:cs="Times New Roman"/>
                <w:sz w:val="20"/>
                <w:szCs w:val="20"/>
              </w:rPr>
              <w:t>3</w:t>
            </w:r>
            <w:r w:rsidR="002548E8">
              <w:rPr>
                <w:rFonts w:eastAsia="Times New Roman" w:cs="Times New Roman"/>
                <w:sz w:val="20"/>
                <w:szCs w:val="20"/>
              </w:rPr>
              <w:t>,</w:t>
            </w:r>
            <w:r w:rsidRPr="002969DA">
              <w:rPr>
                <w:rFonts w:eastAsia="Times New Roman" w:cs="Times New Roman"/>
                <w:sz w:val="20"/>
                <w:szCs w:val="20"/>
              </w:rPr>
              <w:t>500</w:t>
            </w:r>
          </w:p>
        </w:tc>
      </w:tr>
      <w:tr w:rsidR="002969DA" w:rsidRPr="002969DA" w14:paraId="21D8EC77" w14:textId="77777777" w:rsidTr="002969DA">
        <w:trPr>
          <w:cantSplit/>
          <w:trHeight w:val="313"/>
          <w:jc w:val="center"/>
        </w:trPr>
        <w:tc>
          <w:tcPr>
            <w:tcW w:w="5000" w:type="pct"/>
            <w:gridSpan w:val="2"/>
            <w:tcBorders>
              <w:top w:val="single" w:sz="8" w:space="0" w:color="0B3D70"/>
              <w:bottom w:val="single" w:sz="8" w:space="0" w:color="0B3D70"/>
            </w:tcBorders>
            <w:shd w:val="clear" w:color="auto" w:fill="D9D9D9"/>
            <w:vAlign w:val="center"/>
            <w:hideMark/>
          </w:tcPr>
          <w:p w14:paraId="72116EEA" w14:textId="77777777" w:rsidR="002969DA" w:rsidRPr="002969DA" w:rsidRDefault="002969DA" w:rsidP="002969DA">
            <w:pPr>
              <w:spacing w:after="0" w:line="240" w:lineRule="auto"/>
              <w:jc w:val="left"/>
              <w:rPr>
                <w:rFonts w:eastAsia="Times New Roman" w:cs="Times New Roman"/>
                <w:caps/>
                <w:sz w:val="20"/>
                <w:szCs w:val="20"/>
              </w:rPr>
            </w:pPr>
            <w:r w:rsidRPr="002969DA">
              <w:rPr>
                <w:rFonts w:eastAsia="Times New Roman" w:cs="Times New Roman"/>
                <w:b/>
                <w:caps/>
                <w:color w:val="365F91"/>
                <w:sz w:val="20"/>
                <w:szCs w:val="20"/>
              </w:rPr>
              <w:t>facilities available</w:t>
            </w:r>
          </w:p>
        </w:tc>
      </w:tr>
      <w:tr w:rsidR="002969DA" w:rsidRPr="002969DA" w14:paraId="49AF8B0C" w14:textId="77777777" w:rsidTr="002969DA">
        <w:trPr>
          <w:cantSplit/>
          <w:trHeight w:val="288"/>
          <w:jc w:val="center"/>
        </w:trPr>
        <w:tc>
          <w:tcPr>
            <w:tcW w:w="2268" w:type="pct"/>
            <w:tcBorders>
              <w:top w:val="single" w:sz="8" w:space="0" w:color="0B3D70"/>
            </w:tcBorders>
            <w:vAlign w:val="center"/>
          </w:tcPr>
          <w:p w14:paraId="19F4429C" w14:textId="77777777" w:rsidR="002969DA" w:rsidRPr="002969DA" w:rsidRDefault="002969DA" w:rsidP="002969DA">
            <w:pPr>
              <w:tabs>
                <w:tab w:val="left" w:pos="-1890"/>
              </w:tabs>
              <w:spacing w:after="0" w:line="240" w:lineRule="auto"/>
              <w:jc w:val="left"/>
              <w:rPr>
                <w:rFonts w:eastAsia="Times New Roman" w:cs="Times New Roman"/>
                <w:color w:val="365F91"/>
                <w:sz w:val="20"/>
                <w:szCs w:val="20"/>
              </w:rPr>
            </w:pPr>
            <w:r w:rsidRPr="002969DA">
              <w:rPr>
                <w:rFonts w:eastAsia="Times New Roman" w:cs="Times New Roman"/>
                <w:color w:val="365F91"/>
                <w:sz w:val="20"/>
                <w:szCs w:val="20"/>
              </w:rPr>
              <w:t>Exercise/workout</w:t>
            </w:r>
          </w:p>
        </w:tc>
        <w:tc>
          <w:tcPr>
            <w:tcW w:w="2732" w:type="pct"/>
            <w:tcBorders>
              <w:top w:val="single" w:sz="8" w:space="0" w:color="0B3D70"/>
            </w:tcBorders>
            <w:vAlign w:val="center"/>
          </w:tcPr>
          <w:p w14:paraId="4AAC290C" w14:textId="77777777" w:rsidR="002969DA" w:rsidRPr="002969DA" w:rsidRDefault="002969DA" w:rsidP="002969DA">
            <w:pPr>
              <w:spacing w:after="0" w:line="240" w:lineRule="auto"/>
              <w:jc w:val="left"/>
              <w:rPr>
                <w:rFonts w:eastAsia="Times New Roman" w:cs="Times New Roman"/>
                <w:sz w:val="20"/>
                <w:szCs w:val="20"/>
              </w:rPr>
            </w:pPr>
            <w:r w:rsidRPr="002969DA">
              <w:rPr>
                <w:rFonts w:eastAsia="Times New Roman" w:cs="Times New Roman"/>
                <w:sz w:val="20"/>
                <w:szCs w:val="20"/>
              </w:rPr>
              <w:t>Yes</w:t>
            </w:r>
          </w:p>
        </w:tc>
      </w:tr>
      <w:tr w:rsidR="002969DA" w:rsidRPr="002969DA" w14:paraId="03CB2B45" w14:textId="77777777" w:rsidTr="002969DA">
        <w:trPr>
          <w:cantSplit/>
          <w:trHeight w:val="288"/>
          <w:jc w:val="center"/>
        </w:trPr>
        <w:tc>
          <w:tcPr>
            <w:tcW w:w="2268" w:type="pct"/>
            <w:vAlign w:val="center"/>
          </w:tcPr>
          <w:p w14:paraId="6E763575" w14:textId="77777777" w:rsidR="002969DA" w:rsidRPr="002969DA" w:rsidRDefault="002969DA" w:rsidP="002969DA">
            <w:pPr>
              <w:tabs>
                <w:tab w:val="left" w:pos="-1890"/>
              </w:tabs>
              <w:spacing w:after="0" w:line="240" w:lineRule="auto"/>
              <w:jc w:val="left"/>
              <w:rPr>
                <w:rFonts w:eastAsia="Times New Roman" w:cs="Times New Roman"/>
                <w:color w:val="365F91"/>
                <w:sz w:val="20"/>
                <w:szCs w:val="20"/>
              </w:rPr>
            </w:pPr>
            <w:r w:rsidRPr="002969DA">
              <w:rPr>
                <w:rFonts w:eastAsia="Times New Roman" w:cs="Times New Roman"/>
                <w:color w:val="365F91"/>
                <w:sz w:val="20"/>
                <w:szCs w:val="20"/>
              </w:rPr>
              <w:t xml:space="preserve">Kitchen/dormitory </w:t>
            </w:r>
          </w:p>
        </w:tc>
        <w:tc>
          <w:tcPr>
            <w:tcW w:w="2732" w:type="pct"/>
            <w:vAlign w:val="center"/>
          </w:tcPr>
          <w:p w14:paraId="47EDAB23" w14:textId="77777777" w:rsidR="002969DA" w:rsidRPr="002969DA" w:rsidRDefault="002969DA" w:rsidP="002969DA">
            <w:pPr>
              <w:spacing w:after="0" w:line="240" w:lineRule="auto"/>
              <w:jc w:val="left"/>
              <w:rPr>
                <w:rFonts w:eastAsia="Times New Roman" w:cs="Times New Roman"/>
                <w:sz w:val="20"/>
                <w:szCs w:val="20"/>
              </w:rPr>
            </w:pPr>
            <w:r w:rsidRPr="002969DA">
              <w:rPr>
                <w:rFonts w:eastAsia="Times New Roman" w:cs="Times New Roman"/>
                <w:sz w:val="20"/>
                <w:szCs w:val="20"/>
              </w:rPr>
              <w:t>No</w:t>
            </w:r>
          </w:p>
        </w:tc>
      </w:tr>
      <w:tr w:rsidR="002969DA" w:rsidRPr="002969DA" w14:paraId="01B2E020" w14:textId="77777777" w:rsidTr="002969DA">
        <w:trPr>
          <w:cantSplit/>
          <w:trHeight w:val="288"/>
          <w:jc w:val="center"/>
        </w:trPr>
        <w:tc>
          <w:tcPr>
            <w:tcW w:w="2268" w:type="pct"/>
            <w:vAlign w:val="center"/>
          </w:tcPr>
          <w:p w14:paraId="2447A978" w14:textId="77777777" w:rsidR="002969DA" w:rsidRPr="002969DA" w:rsidRDefault="002969DA" w:rsidP="002969DA">
            <w:pPr>
              <w:tabs>
                <w:tab w:val="left" w:pos="-1890"/>
              </w:tabs>
              <w:spacing w:after="0" w:line="240" w:lineRule="auto"/>
              <w:jc w:val="left"/>
              <w:rPr>
                <w:rFonts w:eastAsia="Times New Roman" w:cs="Times New Roman"/>
                <w:color w:val="365F91"/>
                <w:sz w:val="20"/>
                <w:szCs w:val="20"/>
              </w:rPr>
            </w:pPr>
            <w:r w:rsidRPr="002969DA">
              <w:rPr>
                <w:rFonts w:eastAsia="Times New Roman" w:cs="Times New Roman"/>
                <w:color w:val="365F91"/>
                <w:sz w:val="20"/>
                <w:szCs w:val="20"/>
              </w:rPr>
              <w:t>Lockers/showers</w:t>
            </w:r>
          </w:p>
        </w:tc>
        <w:tc>
          <w:tcPr>
            <w:tcW w:w="2732" w:type="pct"/>
            <w:vAlign w:val="center"/>
          </w:tcPr>
          <w:p w14:paraId="6C3D2B4B" w14:textId="77777777" w:rsidR="002969DA" w:rsidRPr="002969DA" w:rsidRDefault="002969DA" w:rsidP="002969DA">
            <w:pPr>
              <w:spacing w:after="0" w:line="240" w:lineRule="auto"/>
              <w:jc w:val="left"/>
              <w:rPr>
                <w:rFonts w:eastAsia="Times New Roman" w:cs="Times New Roman"/>
                <w:sz w:val="20"/>
                <w:szCs w:val="20"/>
              </w:rPr>
            </w:pPr>
            <w:r w:rsidRPr="002969DA">
              <w:rPr>
                <w:rFonts w:eastAsia="Times New Roman" w:cs="Times New Roman"/>
                <w:sz w:val="20"/>
                <w:szCs w:val="20"/>
              </w:rPr>
              <w:t>No</w:t>
            </w:r>
          </w:p>
        </w:tc>
      </w:tr>
      <w:tr w:rsidR="002969DA" w:rsidRPr="002969DA" w14:paraId="5349D2C9" w14:textId="77777777" w:rsidTr="002969DA">
        <w:trPr>
          <w:cantSplit/>
          <w:trHeight w:val="288"/>
          <w:jc w:val="center"/>
        </w:trPr>
        <w:tc>
          <w:tcPr>
            <w:tcW w:w="2268" w:type="pct"/>
            <w:vAlign w:val="center"/>
          </w:tcPr>
          <w:p w14:paraId="464CD31D" w14:textId="77777777" w:rsidR="002969DA" w:rsidRPr="002969DA" w:rsidRDefault="002969DA" w:rsidP="002969DA">
            <w:pPr>
              <w:tabs>
                <w:tab w:val="left" w:pos="-1890"/>
              </w:tabs>
              <w:spacing w:after="0" w:line="240" w:lineRule="auto"/>
              <w:jc w:val="left"/>
              <w:rPr>
                <w:rFonts w:eastAsia="Times New Roman" w:cs="Times New Roman"/>
                <w:color w:val="365F91"/>
                <w:sz w:val="20"/>
                <w:szCs w:val="20"/>
              </w:rPr>
            </w:pPr>
            <w:r w:rsidRPr="002969DA">
              <w:rPr>
                <w:rFonts w:eastAsia="Times New Roman" w:cs="Times New Roman"/>
                <w:color w:val="365F91"/>
                <w:sz w:val="20"/>
                <w:szCs w:val="20"/>
              </w:rPr>
              <w:t>Training/meetings</w:t>
            </w:r>
          </w:p>
        </w:tc>
        <w:tc>
          <w:tcPr>
            <w:tcW w:w="2732" w:type="pct"/>
            <w:vAlign w:val="center"/>
          </w:tcPr>
          <w:p w14:paraId="0C4BCED1" w14:textId="77777777" w:rsidR="002969DA" w:rsidRPr="002969DA" w:rsidRDefault="002969DA" w:rsidP="002969DA">
            <w:pPr>
              <w:spacing w:after="0" w:line="240" w:lineRule="auto"/>
              <w:jc w:val="left"/>
              <w:rPr>
                <w:rFonts w:eastAsia="Times New Roman" w:cs="Times New Roman"/>
                <w:sz w:val="20"/>
                <w:szCs w:val="20"/>
              </w:rPr>
            </w:pPr>
            <w:r w:rsidRPr="002969DA">
              <w:rPr>
                <w:rFonts w:eastAsia="Times New Roman" w:cs="Times New Roman"/>
                <w:sz w:val="20"/>
                <w:szCs w:val="20"/>
              </w:rPr>
              <w:t>No</w:t>
            </w:r>
          </w:p>
        </w:tc>
      </w:tr>
      <w:tr w:rsidR="002969DA" w:rsidRPr="002969DA" w14:paraId="58A3F54B" w14:textId="77777777" w:rsidTr="002969DA">
        <w:trPr>
          <w:cantSplit/>
          <w:trHeight w:val="288"/>
          <w:jc w:val="center"/>
        </w:trPr>
        <w:tc>
          <w:tcPr>
            <w:tcW w:w="2268" w:type="pct"/>
            <w:tcBorders>
              <w:bottom w:val="single" w:sz="8" w:space="0" w:color="0B3D70"/>
            </w:tcBorders>
            <w:vAlign w:val="center"/>
          </w:tcPr>
          <w:p w14:paraId="52283EF6" w14:textId="77777777" w:rsidR="002969DA" w:rsidRPr="002969DA" w:rsidRDefault="002969DA" w:rsidP="002969DA">
            <w:pPr>
              <w:tabs>
                <w:tab w:val="left" w:pos="-1890"/>
              </w:tabs>
              <w:spacing w:after="0" w:line="240" w:lineRule="auto"/>
              <w:jc w:val="left"/>
              <w:rPr>
                <w:rFonts w:eastAsia="Times New Roman" w:cs="Times New Roman"/>
                <w:color w:val="365F91"/>
                <w:sz w:val="20"/>
                <w:szCs w:val="20"/>
              </w:rPr>
            </w:pPr>
            <w:r w:rsidRPr="002969DA">
              <w:rPr>
                <w:rFonts w:eastAsia="Times New Roman" w:cs="Times New Roman"/>
                <w:color w:val="365F91"/>
                <w:sz w:val="20"/>
                <w:szCs w:val="20"/>
              </w:rPr>
              <w:t>Washer/dryer</w:t>
            </w:r>
          </w:p>
        </w:tc>
        <w:tc>
          <w:tcPr>
            <w:tcW w:w="2732" w:type="pct"/>
            <w:tcBorders>
              <w:bottom w:val="single" w:sz="8" w:space="0" w:color="0B3D70"/>
            </w:tcBorders>
            <w:vAlign w:val="center"/>
          </w:tcPr>
          <w:p w14:paraId="6D044A51" w14:textId="77777777" w:rsidR="002969DA" w:rsidRPr="002969DA" w:rsidRDefault="002969DA" w:rsidP="002969DA">
            <w:pPr>
              <w:spacing w:after="0" w:line="240" w:lineRule="auto"/>
              <w:jc w:val="left"/>
              <w:rPr>
                <w:rFonts w:eastAsia="Times New Roman" w:cs="Times New Roman"/>
                <w:sz w:val="20"/>
                <w:szCs w:val="20"/>
              </w:rPr>
            </w:pPr>
            <w:r w:rsidRPr="002969DA">
              <w:rPr>
                <w:rFonts w:eastAsia="Times New Roman" w:cs="Times New Roman"/>
                <w:sz w:val="20"/>
                <w:szCs w:val="20"/>
              </w:rPr>
              <w:t>No</w:t>
            </w:r>
          </w:p>
        </w:tc>
      </w:tr>
      <w:tr w:rsidR="002969DA" w:rsidRPr="002969DA" w14:paraId="76F088FD" w14:textId="77777777" w:rsidTr="002969DA">
        <w:trPr>
          <w:cantSplit/>
          <w:trHeight w:val="317"/>
          <w:jc w:val="center"/>
        </w:trPr>
        <w:tc>
          <w:tcPr>
            <w:tcW w:w="5000" w:type="pct"/>
            <w:gridSpan w:val="2"/>
            <w:tcBorders>
              <w:top w:val="single" w:sz="8" w:space="0" w:color="0B3D70"/>
              <w:bottom w:val="single" w:sz="8" w:space="0" w:color="0B3D70"/>
            </w:tcBorders>
            <w:shd w:val="clear" w:color="auto" w:fill="D9D9D9"/>
            <w:vAlign w:val="center"/>
            <w:hideMark/>
          </w:tcPr>
          <w:p w14:paraId="25061F6E" w14:textId="77777777" w:rsidR="002969DA" w:rsidRPr="002969DA" w:rsidRDefault="002969DA" w:rsidP="002969DA">
            <w:pPr>
              <w:spacing w:after="0" w:line="240" w:lineRule="auto"/>
              <w:jc w:val="left"/>
              <w:rPr>
                <w:rFonts w:eastAsia="Times New Roman" w:cs="Times New Roman"/>
                <w:caps/>
                <w:sz w:val="20"/>
                <w:szCs w:val="20"/>
              </w:rPr>
            </w:pPr>
            <w:r w:rsidRPr="002969DA">
              <w:rPr>
                <w:rFonts w:eastAsia="Times New Roman" w:cs="Times New Roman"/>
                <w:b/>
                <w:caps/>
                <w:color w:val="365F91"/>
                <w:sz w:val="20"/>
                <w:szCs w:val="20"/>
              </w:rPr>
              <w:t>facilities available</w:t>
            </w:r>
          </w:p>
        </w:tc>
      </w:tr>
      <w:tr w:rsidR="002969DA" w:rsidRPr="002969DA" w14:paraId="755424B0" w14:textId="77777777" w:rsidTr="002969DA">
        <w:trPr>
          <w:cantSplit/>
          <w:trHeight w:val="288"/>
          <w:jc w:val="center"/>
        </w:trPr>
        <w:tc>
          <w:tcPr>
            <w:tcW w:w="2268" w:type="pct"/>
            <w:tcBorders>
              <w:top w:val="single" w:sz="8" w:space="0" w:color="0B3D70"/>
            </w:tcBorders>
            <w:vAlign w:val="center"/>
          </w:tcPr>
          <w:p w14:paraId="04C43D70" w14:textId="77777777" w:rsidR="002969DA" w:rsidRPr="002969DA" w:rsidRDefault="002969DA" w:rsidP="002969DA">
            <w:pPr>
              <w:tabs>
                <w:tab w:val="left" w:pos="-1890"/>
              </w:tabs>
              <w:spacing w:after="0" w:line="240" w:lineRule="auto"/>
              <w:jc w:val="left"/>
              <w:rPr>
                <w:rFonts w:eastAsia="Times New Roman" w:cs="Times New Roman"/>
                <w:color w:val="365F91"/>
                <w:sz w:val="20"/>
                <w:szCs w:val="20"/>
              </w:rPr>
            </w:pPr>
            <w:r w:rsidRPr="002969DA">
              <w:rPr>
                <w:rFonts w:eastAsia="Times New Roman" w:cs="Times New Roman"/>
                <w:color w:val="365F91"/>
                <w:sz w:val="20"/>
                <w:szCs w:val="20"/>
              </w:rPr>
              <w:t>Sprinkler system</w:t>
            </w:r>
          </w:p>
        </w:tc>
        <w:tc>
          <w:tcPr>
            <w:tcW w:w="2732" w:type="pct"/>
            <w:tcBorders>
              <w:top w:val="single" w:sz="8" w:space="0" w:color="0B3D70"/>
            </w:tcBorders>
            <w:vAlign w:val="center"/>
          </w:tcPr>
          <w:p w14:paraId="777597F9" w14:textId="77777777" w:rsidR="002969DA" w:rsidRPr="002969DA" w:rsidRDefault="002969DA" w:rsidP="002969DA">
            <w:pPr>
              <w:spacing w:after="0" w:line="240" w:lineRule="auto"/>
              <w:jc w:val="left"/>
              <w:rPr>
                <w:rFonts w:eastAsia="Times New Roman" w:cs="Times New Roman"/>
                <w:sz w:val="20"/>
                <w:szCs w:val="20"/>
              </w:rPr>
            </w:pPr>
            <w:r w:rsidRPr="002969DA">
              <w:rPr>
                <w:rFonts w:eastAsia="Times New Roman" w:cs="Times New Roman"/>
                <w:sz w:val="20"/>
                <w:szCs w:val="20"/>
              </w:rPr>
              <w:t>No</w:t>
            </w:r>
          </w:p>
        </w:tc>
      </w:tr>
      <w:tr w:rsidR="002969DA" w:rsidRPr="002969DA" w14:paraId="750FAEB1" w14:textId="77777777" w:rsidTr="002969DA">
        <w:trPr>
          <w:cantSplit/>
          <w:trHeight w:val="288"/>
          <w:jc w:val="center"/>
        </w:trPr>
        <w:tc>
          <w:tcPr>
            <w:tcW w:w="2268" w:type="pct"/>
            <w:vAlign w:val="center"/>
          </w:tcPr>
          <w:p w14:paraId="3810703F" w14:textId="77777777" w:rsidR="002969DA" w:rsidRPr="002969DA" w:rsidRDefault="002969DA" w:rsidP="002969DA">
            <w:pPr>
              <w:tabs>
                <w:tab w:val="left" w:pos="-1890"/>
              </w:tabs>
              <w:spacing w:after="0" w:line="240" w:lineRule="auto"/>
              <w:jc w:val="left"/>
              <w:rPr>
                <w:rFonts w:eastAsia="Times New Roman" w:cs="Times New Roman"/>
                <w:color w:val="365F91"/>
                <w:sz w:val="20"/>
                <w:szCs w:val="20"/>
              </w:rPr>
            </w:pPr>
            <w:r w:rsidRPr="002969DA">
              <w:rPr>
                <w:rFonts w:eastAsia="Times New Roman" w:cs="Times New Roman"/>
                <w:color w:val="365F91"/>
                <w:sz w:val="20"/>
                <w:szCs w:val="20"/>
              </w:rPr>
              <w:t>Smoke detection</w:t>
            </w:r>
          </w:p>
        </w:tc>
        <w:tc>
          <w:tcPr>
            <w:tcW w:w="2732" w:type="pct"/>
            <w:vAlign w:val="center"/>
          </w:tcPr>
          <w:p w14:paraId="69AEE18C" w14:textId="77777777" w:rsidR="002969DA" w:rsidRPr="002969DA" w:rsidRDefault="002969DA" w:rsidP="002969DA">
            <w:pPr>
              <w:spacing w:after="0" w:line="240" w:lineRule="auto"/>
              <w:jc w:val="left"/>
              <w:rPr>
                <w:rFonts w:eastAsia="Times New Roman" w:cs="Times New Roman"/>
                <w:sz w:val="20"/>
                <w:szCs w:val="20"/>
              </w:rPr>
            </w:pPr>
            <w:r w:rsidRPr="002969DA">
              <w:rPr>
                <w:rFonts w:eastAsia="Times New Roman" w:cs="Times New Roman"/>
                <w:sz w:val="20"/>
                <w:szCs w:val="20"/>
              </w:rPr>
              <w:t>No</w:t>
            </w:r>
          </w:p>
        </w:tc>
      </w:tr>
      <w:tr w:rsidR="002969DA" w:rsidRPr="002969DA" w14:paraId="40380A83" w14:textId="77777777" w:rsidTr="002969DA">
        <w:trPr>
          <w:cantSplit/>
          <w:trHeight w:val="288"/>
          <w:jc w:val="center"/>
        </w:trPr>
        <w:tc>
          <w:tcPr>
            <w:tcW w:w="2268" w:type="pct"/>
            <w:tcBorders>
              <w:bottom w:val="single" w:sz="2" w:space="0" w:color="000000"/>
            </w:tcBorders>
            <w:vAlign w:val="center"/>
          </w:tcPr>
          <w:p w14:paraId="75ADBFA6" w14:textId="77777777" w:rsidR="002969DA" w:rsidRPr="002969DA" w:rsidRDefault="002969DA" w:rsidP="002969DA">
            <w:pPr>
              <w:tabs>
                <w:tab w:val="left" w:pos="-1890"/>
              </w:tabs>
              <w:spacing w:after="0" w:line="240" w:lineRule="auto"/>
              <w:jc w:val="left"/>
              <w:rPr>
                <w:rFonts w:eastAsia="Times New Roman" w:cs="Times New Roman"/>
                <w:color w:val="365F91"/>
                <w:sz w:val="20"/>
                <w:szCs w:val="20"/>
              </w:rPr>
            </w:pPr>
            <w:r w:rsidRPr="002969DA">
              <w:rPr>
                <w:rFonts w:eastAsia="Times New Roman" w:cs="Times New Roman"/>
                <w:color w:val="365F91"/>
                <w:sz w:val="20"/>
                <w:szCs w:val="20"/>
              </w:rPr>
              <w:t>Security</w:t>
            </w:r>
          </w:p>
        </w:tc>
        <w:tc>
          <w:tcPr>
            <w:tcW w:w="2732" w:type="pct"/>
            <w:vAlign w:val="center"/>
          </w:tcPr>
          <w:p w14:paraId="259E2D2E" w14:textId="77777777" w:rsidR="002969DA" w:rsidRPr="002969DA" w:rsidRDefault="002969DA" w:rsidP="002969DA">
            <w:pPr>
              <w:spacing w:after="0" w:line="240" w:lineRule="auto"/>
              <w:jc w:val="left"/>
              <w:rPr>
                <w:rFonts w:eastAsia="Times New Roman" w:cs="Times New Roman"/>
                <w:sz w:val="20"/>
                <w:szCs w:val="20"/>
              </w:rPr>
            </w:pPr>
            <w:r w:rsidRPr="002969DA">
              <w:rPr>
                <w:rFonts w:eastAsia="Times New Roman" w:cs="Times New Roman"/>
                <w:sz w:val="20"/>
                <w:szCs w:val="20"/>
              </w:rPr>
              <w:t xml:space="preserve">No </w:t>
            </w:r>
          </w:p>
        </w:tc>
      </w:tr>
      <w:tr w:rsidR="002969DA" w:rsidRPr="002969DA" w14:paraId="31045613" w14:textId="77777777" w:rsidTr="002969DA">
        <w:trPr>
          <w:cantSplit/>
          <w:trHeight w:val="288"/>
          <w:jc w:val="center"/>
        </w:trPr>
        <w:tc>
          <w:tcPr>
            <w:tcW w:w="2268" w:type="pct"/>
            <w:vAlign w:val="center"/>
          </w:tcPr>
          <w:p w14:paraId="40F82466" w14:textId="77777777" w:rsidR="002969DA" w:rsidRPr="002969DA" w:rsidRDefault="002969DA" w:rsidP="002969DA">
            <w:pPr>
              <w:tabs>
                <w:tab w:val="left" w:pos="-1890"/>
              </w:tabs>
              <w:spacing w:after="0" w:line="240" w:lineRule="auto"/>
              <w:jc w:val="left"/>
              <w:rPr>
                <w:rFonts w:eastAsia="Times New Roman" w:cs="Times New Roman"/>
                <w:color w:val="365F91"/>
                <w:sz w:val="20"/>
                <w:szCs w:val="20"/>
              </w:rPr>
            </w:pPr>
            <w:r w:rsidRPr="002969DA">
              <w:rPr>
                <w:rFonts w:eastAsia="Times New Roman" w:cs="Times New Roman"/>
                <w:color w:val="365F91"/>
                <w:sz w:val="20"/>
                <w:szCs w:val="20"/>
              </w:rPr>
              <w:t>Apparatus exhaust system</w:t>
            </w:r>
          </w:p>
        </w:tc>
        <w:tc>
          <w:tcPr>
            <w:tcW w:w="2732" w:type="pct"/>
            <w:vAlign w:val="center"/>
          </w:tcPr>
          <w:p w14:paraId="0A992A9C" w14:textId="77777777" w:rsidR="002969DA" w:rsidRPr="002969DA" w:rsidRDefault="002969DA" w:rsidP="002969DA">
            <w:pPr>
              <w:spacing w:after="0" w:line="240" w:lineRule="auto"/>
              <w:jc w:val="left"/>
              <w:rPr>
                <w:rFonts w:eastAsia="Times New Roman" w:cs="Times New Roman"/>
                <w:sz w:val="20"/>
                <w:szCs w:val="20"/>
              </w:rPr>
            </w:pPr>
            <w:r w:rsidRPr="002969DA">
              <w:rPr>
                <w:rFonts w:eastAsia="Times New Roman" w:cs="Times New Roman"/>
                <w:sz w:val="20"/>
                <w:szCs w:val="20"/>
              </w:rPr>
              <w:t>No</w:t>
            </w:r>
          </w:p>
        </w:tc>
      </w:tr>
    </w:tbl>
    <w:p w14:paraId="2BD21FF4" w14:textId="7B35BCF1" w:rsidR="002969DA" w:rsidRDefault="002969DA">
      <w:pPr>
        <w:spacing w:after="200"/>
        <w:jc w:val="left"/>
      </w:pPr>
      <w:r>
        <w:t xml:space="preserve"> </w:t>
      </w:r>
    </w:p>
    <w:p w14:paraId="6A12C5A6" w14:textId="77777777" w:rsidR="009826A9" w:rsidRDefault="009826A9">
      <w:pPr>
        <w:spacing w:after="200"/>
        <w:jc w:val="left"/>
      </w:pPr>
    </w:p>
    <w:p w14:paraId="4CB6594F" w14:textId="77777777" w:rsidR="009826A9" w:rsidRDefault="009826A9">
      <w:pPr>
        <w:spacing w:after="200"/>
        <w:jc w:val="left"/>
      </w:pPr>
    </w:p>
    <w:p w14:paraId="5521A066" w14:textId="77777777" w:rsidR="009826A9" w:rsidRDefault="009826A9">
      <w:pPr>
        <w:spacing w:after="200"/>
        <w:jc w:val="left"/>
      </w:pPr>
    </w:p>
    <w:p w14:paraId="7F26F1A5" w14:textId="77777777" w:rsidR="009826A9" w:rsidRDefault="009826A9">
      <w:pPr>
        <w:spacing w:after="200"/>
        <w:jc w:val="left"/>
      </w:pPr>
    </w:p>
    <w:p w14:paraId="2CA280A2" w14:textId="77777777" w:rsidR="009826A9" w:rsidRDefault="009826A9">
      <w:pPr>
        <w:spacing w:after="200"/>
        <w:jc w:val="left"/>
      </w:pPr>
    </w:p>
    <w:p w14:paraId="78639457" w14:textId="77777777" w:rsidR="009826A9" w:rsidRDefault="009826A9">
      <w:pPr>
        <w:spacing w:after="200"/>
        <w:jc w:val="left"/>
      </w:pPr>
    </w:p>
    <w:p w14:paraId="78BE1561" w14:textId="5EB0E80F" w:rsidR="009826A9" w:rsidRDefault="009826A9" w:rsidP="00574D69">
      <w:pPr>
        <w:pStyle w:val="Caption"/>
        <w:spacing w:after="0"/>
      </w:pPr>
      <w:bookmarkStart w:id="214" w:name="_Toc464323695"/>
      <w:r>
        <w:t xml:space="preserve">Figure </w:t>
      </w:r>
      <w:r w:rsidR="00432AD4">
        <w:fldChar w:fldCharType="begin"/>
      </w:r>
      <w:r w:rsidR="00432AD4">
        <w:instrText xml:space="preserve"> SEQ Figure \* ARABIC </w:instrText>
      </w:r>
      <w:r w:rsidR="00432AD4">
        <w:fldChar w:fldCharType="separate"/>
      </w:r>
      <w:r w:rsidR="008209A2">
        <w:rPr>
          <w:noProof/>
        </w:rPr>
        <w:t>53</w:t>
      </w:r>
      <w:r w:rsidR="00432AD4">
        <w:rPr>
          <w:noProof/>
        </w:rPr>
        <w:fldChar w:fldCharType="end"/>
      </w:r>
      <w:r w:rsidR="00574D69">
        <w:t xml:space="preserve">: </w:t>
      </w:r>
      <w:r>
        <w:t>Station 84</w:t>
      </w:r>
      <w:bookmarkEnd w:id="214"/>
    </w:p>
    <w:p w14:paraId="7135C1A4" w14:textId="06E8B5C8" w:rsidR="009826A9" w:rsidRPr="00574D69" w:rsidRDefault="009826A9" w:rsidP="009826A9">
      <w:pPr>
        <w:spacing w:after="60" w:line="240" w:lineRule="auto"/>
        <w:jc w:val="center"/>
        <w:rPr>
          <w:sz w:val="20"/>
          <w:szCs w:val="20"/>
        </w:rPr>
      </w:pPr>
      <w:r w:rsidRPr="00574D69">
        <w:rPr>
          <w:sz w:val="20"/>
          <w:szCs w:val="20"/>
        </w:rPr>
        <w:t>Address: 1208 Road 48</w:t>
      </w:r>
    </w:p>
    <w:tbl>
      <w:tblPr>
        <w:tblW w:w="3716" w:type="pct"/>
        <w:jc w:val="center"/>
        <w:tblBorders>
          <w:top w:val="single" w:sz="2" w:space="0" w:color="000000"/>
          <w:bottom w:val="single" w:sz="2" w:space="0" w:color="000000"/>
          <w:insideH w:val="single" w:sz="2" w:space="0" w:color="000000"/>
          <w:insideV w:val="single" w:sz="2" w:space="0" w:color="000000"/>
        </w:tblBorders>
        <w:tblLayout w:type="fixed"/>
        <w:tblCellMar>
          <w:left w:w="115" w:type="dxa"/>
          <w:right w:w="115" w:type="dxa"/>
        </w:tblCellMar>
        <w:tblLook w:val="04A0" w:firstRow="1" w:lastRow="0" w:firstColumn="1" w:lastColumn="0" w:noHBand="0" w:noVBand="1"/>
      </w:tblPr>
      <w:tblGrid>
        <w:gridCol w:w="3233"/>
        <w:gridCol w:w="3894"/>
      </w:tblGrid>
      <w:tr w:rsidR="009826A9" w:rsidRPr="009826A9" w14:paraId="450325BC" w14:textId="77777777" w:rsidTr="009826A9">
        <w:trPr>
          <w:cantSplit/>
          <w:trHeight w:hRule="exact" w:val="2592"/>
          <w:jc w:val="center"/>
        </w:trPr>
        <w:tc>
          <w:tcPr>
            <w:tcW w:w="2268" w:type="pct"/>
            <w:tcBorders>
              <w:top w:val="single" w:sz="8" w:space="0" w:color="0B3D70"/>
              <w:left w:val="single" w:sz="8" w:space="0" w:color="0B3D70"/>
              <w:bottom w:val="single" w:sz="8" w:space="0" w:color="0B3D70"/>
              <w:right w:val="single" w:sz="8" w:space="0" w:color="0B3D70"/>
            </w:tcBorders>
            <w:shd w:val="clear" w:color="auto" w:fill="auto"/>
            <w:vAlign w:val="center"/>
          </w:tcPr>
          <w:p w14:paraId="5E2BA03E" w14:textId="764D033D" w:rsidR="009826A9" w:rsidRPr="009826A9" w:rsidRDefault="00E474E2" w:rsidP="009826A9">
            <w:pPr>
              <w:spacing w:after="0" w:line="240" w:lineRule="auto"/>
              <w:jc w:val="center"/>
              <w:rPr>
                <w:rFonts w:eastAsia="Calibri" w:cs="Times New Roman"/>
                <w:lang w:eastAsia="en-US"/>
              </w:rPr>
            </w:pPr>
            <w:r w:rsidRPr="00E474E2">
              <w:rPr>
                <w:rFonts w:eastAsia="Calibri" w:cs="Times New Roman"/>
                <w:lang w:eastAsia="en-US"/>
              </w:rPr>
              <w:t>No Picture Available</w:t>
            </w:r>
          </w:p>
        </w:tc>
        <w:tc>
          <w:tcPr>
            <w:tcW w:w="2732" w:type="pct"/>
            <w:tcBorders>
              <w:top w:val="single" w:sz="8" w:space="0" w:color="0B3D70"/>
              <w:left w:val="single" w:sz="8" w:space="0" w:color="0B3D70"/>
              <w:bottom w:val="single" w:sz="8" w:space="0" w:color="0B3D70"/>
              <w:right w:val="single" w:sz="8" w:space="0" w:color="0B3D70"/>
            </w:tcBorders>
            <w:shd w:val="clear" w:color="auto" w:fill="auto"/>
            <w:vAlign w:val="center"/>
          </w:tcPr>
          <w:p w14:paraId="4AAF6003" w14:textId="12415867" w:rsidR="009826A9" w:rsidRPr="009826A9" w:rsidRDefault="002B336E" w:rsidP="00C75B04">
            <w:pPr>
              <w:spacing w:after="0" w:line="240" w:lineRule="auto"/>
              <w:jc w:val="left"/>
              <w:rPr>
                <w:rFonts w:eastAsia="Calibri" w:cs="Times New Roman"/>
                <w:sz w:val="20"/>
                <w:szCs w:val="20"/>
                <w:lang w:eastAsia="en-US"/>
              </w:rPr>
            </w:pPr>
            <w:r w:rsidRPr="002B336E">
              <w:rPr>
                <w:rFonts w:eastAsia="Calibri" w:cs="Times New Roman"/>
                <w:sz w:val="20"/>
                <w:szCs w:val="20"/>
                <w:lang w:eastAsia="en-US"/>
              </w:rPr>
              <w:t xml:space="preserve">This </w:t>
            </w:r>
            <w:r>
              <w:rPr>
                <w:rFonts w:eastAsia="Calibri" w:cs="Times New Roman"/>
                <w:sz w:val="20"/>
                <w:szCs w:val="20"/>
                <w:lang w:eastAsia="en-US"/>
              </w:rPr>
              <w:t xml:space="preserve">unstaffed </w:t>
            </w:r>
            <w:r w:rsidRPr="002B336E">
              <w:rPr>
                <w:rFonts w:eastAsia="Calibri" w:cs="Times New Roman"/>
                <w:sz w:val="20"/>
                <w:szCs w:val="20"/>
                <w:lang w:eastAsia="en-US"/>
              </w:rPr>
              <w:t xml:space="preserve">fire station was acquired by PFD from Franklin County Fire District #3 </w:t>
            </w:r>
            <w:r>
              <w:rPr>
                <w:rFonts w:eastAsia="Calibri" w:cs="Times New Roman"/>
                <w:sz w:val="20"/>
                <w:szCs w:val="20"/>
                <w:lang w:eastAsia="en-US"/>
              </w:rPr>
              <w:t xml:space="preserve">as an asset transfer due to </w:t>
            </w:r>
            <w:r w:rsidRPr="002B336E">
              <w:rPr>
                <w:rFonts w:eastAsia="Calibri" w:cs="Times New Roman"/>
                <w:sz w:val="20"/>
                <w:szCs w:val="20"/>
                <w:lang w:eastAsia="en-US"/>
              </w:rPr>
              <w:t>annexation.</w:t>
            </w:r>
            <w:r>
              <w:rPr>
                <w:rFonts w:eastAsia="Calibri" w:cs="Times New Roman"/>
                <w:sz w:val="20"/>
                <w:szCs w:val="20"/>
                <w:lang w:eastAsia="en-US"/>
              </w:rPr>
              <w:t xml:space="preserve">  It is not well suited as an operational fire station.  The apparatus bays are small, with low overhead for modern fire apparatus.  The crew quarters are not designed for shift accommodation.  The PFD also owns the adjacent home, giving the combined property </w:t>
            </w:r>
            <w:r w:rsidR="00C75B04">
              <w:rPr>
                <w:rFonts w:eastAsia="Calibri" w:cs="Times New Roman"/>
                <w:sz w:val="20"/>
                <w:szCs w:val="20"/>
                <w:lang w:eastAsia="en-US"/>
              </w:rPr>
              <w:t xml:space="preserve">expansion </w:t>
            </w:r>
            <w:r>
              <w:rPr>
                <w:rFonts w:eastAsia="Calibri" w:cs="Times New Roman"/>
                <w:sz w:val="20"/>
                <w:szCs w:val="20"/>
                <w:lang w:eastAsia="en-US"/>
              </w:rPr>
              <w:t>potential.</w:t>
            </w:r>
          </w:p>
        </w:tc>
      </w:tr>
      <w:tr w:rsidR="009826A9" w:rsidRPr="009826A9" w14:paraId="1DE2F8C9" w14:textId="77777777" w:rsidTr="009826A9">
        <w:trPr>
          <w:cantSplit/>
          <w:trHeight w:val="360"/>
          <w:jc w:val="center"/>
        </w:trPr>
        <w:tc>
          <w:tcPr>
            <w:tcW w:w="2268" w:type="pct"/>
            <w:tcBorders>
              <w:top w:val="single" w:sz="8" w:space="0" w:color="0B3D70"/>
              <w:bottom w:val="nil"/>
              <w:right w:val="single" w:sz="2" w:space="0" w:color="FFFFFF"/>
            </w:tcBorders>
            <w:shd w:val="clear" w:color="auto" w:fill="365F91"/>
            <w:vAlign w:val="center"/>
            <w:hideMark/>
          </w:tcPr>
          <w:p w14:paraId="24CB848D" w14:textId="77777777" w:rsidR="009826A9" w:rsidRPr="009826A9" w:rsidRDefault="009826A9" w:rsidP="009826A9">
            <w:pPr>
              <w:spacing w:after="0" w:line="240" w:lineRule="auto"/>
              <w:jc w:val="left"/>
              <w:rPr>
                <w:rFonts w:eastAsia="Calibri" w:cs="Times New Roman"/>
                <w:b/>
                <w:caps/>
                <w:color w:val="FFFFFF"/>
                <w:sz w:val="20"/>
                <w:szCs w:val="20"/>
              </w:rPr>
            </w:pPr>
            <w:r w:rsidRPr="009826A9">
              <w:rPr>
                <w:rFonts w:eastAsia="Calibri" w:cs="Times New Roman"/>
                <w:b/>
                <w:caps/>
                <w:color w:val="FFFFFF"/>
                <w:sz w:val="20"/>
                <w:szCs w:val="20"/>
              </w:rPr>
              <w:t>SURVEY COMPONENT</w:t>
            </w:r>
          </w:p>
        </w:tc>
        <w:tc>
          <w:tcPr>
            <w:tcW w:w="2732" w:type="pct"/>
            <w:tcBorders>
              <w:top w:val="single" w:sz="8" w:space="0" w:color="0B3D70"/>
              <w:left w:val="single" w:sz="2" w:space="0" w:color="FFFFFF"/>
              <w:bottom w:val="nil"/>
            </w:tcBorders>
            <w:shd w:val="clear" w:color="auto" w:fill="365F91"/>
            <w:vAlign w:val="center"/>
          </w:tcPr>
          <w:p w14:paraId="2EA8D43D" w14:textId="77777777" w:rsidR="009826A9" w:rsidRPr="009826A9" w:rsidRDefault="009826A9" w:rsidP="009826A9">
            <w:pPr>
              <w:spacing w:after="0" w:line="240" w:lineRule="auto"/>
              <w:jc w:val="left"/>
              <w:rPr>
                <w:rFonts w:eastAsia="Calibri" w:cs="Times New Roman"/>
                <w:b/>
                <w:caps/>
                <w:color w:val="FFFFFF"/>
                <w:sz w:val="20"/>
                <w:szCs w:val="20"/>
              </w:rPr>
            </w:pPr>
            <w:r w:rsidRPr="009826A9">
              <w:rPr>
                <w:rFonts w:eastAsia="Calibri" w:cs="Times New Roman"/>
                <w:b/>
                <w:caps/>
                <w:color w:val="FFFFFF"/>
                <w:sz w:val="20"/>
                <w:szCs w:val="20"/>
              </w:rPr>
              <w:t>Observations</w:t>
            </w:r>
          </w:p>
        </w:tc>
      </w:tr>
      <w:tr w:rsidR="009826A9" w:rsidRPr="009826A9" w14:paraId="67B63E52" w14:textId="77777777" w:rsidTr="009826A9">
        <w:trPr>
          <w:cantSplit/>
          <w:trHeight w:val="315"/>
          <w:jc w:val="center"/>
        </w:trPr>
        <w:tc>
          <w:tcPr>
            <w:tcW w:w="5000" w:type="pct"/>
            <w:gridSpan w:val="2"/>
            <w:tcBorders>
              <w:top w:val="nil"/>
              <w:bottom w:val="single" w:sz="8" w:space="0" w:color="0B3D70"/>
            </w:tcBorders>
            <w:shd w:val="clear" w:color="auto" w:fill="D9D9D9"/>
            <w:vAlign w:val="center"/>
            <w:hideMark/>
          </w:tcPr>
          <w:p w14:paraId="276EFB95" w14:textId="0203A2A3" w:rsidR="009826A9" w:rsidRPr="009826A9" w:rsidRDefault="009826A9" w:rsidP="009826A9">
            <w:pPr>
              <w:spacing w:after="0" w:line="240" w:lineRule="auto"/>
              <w:jc w:val="left"/>
              <w:rPr>
                <w:rFonts w:eastAsia="Times New Roman" w:cs="Times New Roman"/>
                <w:caps/>
                <w:sz w:val="20"/>
                <w:szCs w:val="20"/>
              </w:rPr>
            </w:pPr>
            <w:r w:rsidRPr="009826A9">
              <w:rPr>
                <w:rFonts w:eastAsia="Times New Roman" w:cs="Times New Roman"/>
                <w:b/>
                <w:caps/>
                <w:color w:val="365F91"/>
                <w:sz w:val="20"/>
                <w:szCs w:val="20"/>
              </w:rPr>
              <w:t xml:space="preserve">structure </w:t>
            </w:r>
            <w:r>
              <w:rPr>
                <w:rFonts w:eastAsia="Times New Roman" w:cs="Times New Roman"/>
                <w:b/>
                <w:caps/>
                <w:color w:val="365F91"/>
                <w:sz w:val="20"/>
                <w:szCs w:val="20"/>
              </w:rPr>
              <w:t>--</w:t>
            </w:r>
            <w:r w:rsidRPr="009826A9">
              <w:rPr>
                <w:rFonts w:eastAsia="Times New Roman" w:cs="Times New Roman"/>
                <w:b/>
                <w:caps/>
                <w:color w:val="365F91"/>
                <w:sz w:val="20"/>
                <w:szCs w:val="20"/>
              </w:rPr>
              <w:t xml:space="preserve"> Station 84</w:t>
            </w:r>
          </w:p>
        </w:tc>
      </w:tr>
      <w:tr w:rsidR="009826A9" w:rsidRPr="009826A9" w14:paraId="50DAA983" w14:textId="77777777" w:rsidTr="009826A9">
        <w:trPr>
          <w:cantSplit/>
          <w:trHeight w:val="288"/>
          <w:jc w:val="center"/>
        </w:trPr>
        <w:tc>
          <w:tcPr>
            <w:tcW w:w="2268" w:type="pct"/>
            <w:tcBorders>
              <w:top w:val="single" w:sz="8" w:space="0" w:color="0B3D70"/>
            </w:tcBorders>
            <w:vAlign w:val="center"/>
          </w:tcPr>
          <w:p w14:paraId="5581BCA9" w14:textId="77777777" w:rsidR="009826A9" w:rsidRPr="009826A9" w:rsidRDefault="009826A9" w:rsidP="009826A9">
            <w:pPr>
              <w:tabs>
                <w:tab w:val="left" w:pos="-1890"/>
              </w:tabs>
              <w:spacing w:after="0" w:line="240" w:lineRule="auto"/>
              <w:jc w:val="left"/>
              <w:rPr>
                <w:rFonts w:eastAsia="Times New Roman" w:cs="Times New Roman"/>
                <w:color w:val="365F91"/>
                <w:sz w:val="20"/>
                <w:szCs w:val="20"/>
              </w:rPr>
            </w:pPr>
            <w:r w:rsidRPr="009826A9">
              <w:rPr>
                <w:rFonts w:eastAsia="Times New Roman" w:cs="Times New Roman"/>
                <w:color w:val="365F91"/>
                <w:sz w:val="20"/>
                <w:szCs w:val="20"/>
              </w:rPr>
              <w:t>Construction type</w:t>
            </w:r>
          </w:p>
        </w:tc>
        <w:tc>
          <w:tcPr>
            <w:tcW w:w="2732" w:type="pct"/>
            <w:tcBorders>
              <w:top w:val="single" w:sz="8" w:space="0" w:color="0B3D70"/>
            </w:tcBorders>
            <w:vAlign w:val="center"/>
          </w:tcPr>
          <w:p w14:paraId="6D2F764F" w14:textId="77777777" w:rsidR="009826A9" w:rsidRPr="009826A9" w:rsidRDefault="009826A9" w:rsidP="009826A9">
            <w:pPr>
              <w:spacing w:after="0" w:line="240" w:lineRule="auto"/>
              <w:jc w:val="left"/>
              <w:rPr>
                <w:rFonts w:eastAsia="Times New Roman" w:cs="Times New Roman"/>
                <w:sz w:val="20"/>
                <w:szCs w:val="20"/>
              </w:rPr>
            </w:pPr>
            <w:r w:rsidRPr="009826A9">
              <w:rPr>
                <w:rFonts w:eastAsia="Times New Roman" w:cs="Times New Roman"/>
                <w:sz w:val="20"/>
                <w:szCs w:val="20"/>
              </w:rPr>
              <w:t>Cinder Block</w:t>
            </w:r>
          </w:p>
        </w:tc>
      </w:tr>
      <w:tr w:rsidR="009826A9" w:rsidRPr="009826A9" w14:paraId="2F230755" w14:textId="77777777" w:rsidTr="009826A9">
        <w:trPr>
          <w:cantSplit/>
          <w:trHeight w:val="288"/>
          <w:jc w:val="center"/>
        </w:trPr>
        <w:tc>
          <w:tcPr>
            <w:tcW w:w="2268" w:type="pct"/>
            <w:tcBorders>
              <w:top w:val="single" w:sz="8" w:space="0" w:color="0B3D70"/>
            </w:tcBorders>
            <w:vAlign w:val="center"/>
          </w:tcPr>
          <w:p w14:paraId="6FA5E752" w14:textId="77777777" w:rsidR="009826A9" w:rsidRPr="009826A9" w:rsidRDefault="009826A9" w:rsidP="009826A9">
            <w:pPr>
              <w:tabs>
                <w:tab w:val="left" w:pos="-1890"/>
              </w:tabs>
              <w:spacing w:after="0" w:line="240" w:lineRule="auto"/>
              <w:jc w:val="left"/>
              <w:rPr>
                <w:rFonts w:eastAsia="Times New Roman" w:cs="Times New Roman"/>
                <w:color w:val="365F91"/>
                <w:sz w:val="20"/>
                <w:szCs w:val="20"/>
              </w:rPr>
            </w:pPr>
            <w:r w:rsidRPr="009826A9">
              <w:rPr>
                <w:rFonts w:eastAsia="Times New Roman" w:cs="Times New Roman"/>
                <w:color w:val="365F91"/>
                <w:sz w:val="20"/>
                <w:szCs w:val="20"/>
              </w:rPr>
              <w:t>Date</w:t>
            </w:r>
          </w:p>
        </w:tc>
        <w:tc>
          <w:tcPr>
            <w:tcW w:w="2732" w:type="pct"/>
            <w:vAlign w:val="center"/>
          </w:tcPr>
          <w:p w14:paraId="4AA821BC" w14:textId="77777777" w:rsidR="009826A9" w:rsidRPr="009826A9" w:rsidRDefault="009826A9" w:rsidP="009826A9">
            <w:pPr>
              <w:spacing w:after="0" w:line="240" w:lineRule="auto"/>
              <w:jc w:val="left"/>
              <w:rPr>
                <w:rFonts w:eastAsia="Times New Roman" w:cs="Times New Roman"/>
                <w:sz w:val="20"/>
                <w:szCs w:val="20"/>
              </w:rPr>
            </w:pPr>
            <w:r w:rsidRPr="009826A9">
              <w:rPr>
                <w:rFonts w:eastAsia="Times New Roman" w:cs="Times New Roman"/>
                <w:sz w:val="20"/>
                <w:szCs w:val="20"/>
              </w:rPr>
              <w:t>1958</w:t>
            </w:r>
          </w:p>
        </w:tc>
      </w:tr>
      <w:tr w:rsidR="009826A9" w:rsidRPr="009826A9" w14:paraId="0EDA2EB8" w14:textId="77777777" w:rsidTr="009826A9">
        <w:trPr>
          <w:cantSplit/>
          <w:trHeight w:val="288"/>
          <w:jc w:val="center"/>
        </w:trPr>
        <w:tc>
          <w:tcPr>
            <w:tcW w:w="2268" w:type="pct"/>
            <w:tcBorders>
              <w:top w:val="single" w:sz="8" w:space="0" w:color="0B3D70"/>
            </w:tcBorders>
            <w:vAlign w:val="center"/>
          </w:tcPr>
          <w:p w14:paraId="6DDD2024" w14:textId="77777777" w:rsidR="009826A9" w:rsidRPr="009826A9" w:rsidRDefault="009826A9" w:rsidP="009826A9">
            <w:pPr>
              <w:tabs>
                <w:tab w:val="left" w:pos="-1890"/>
              </w:tabs>
              <w:spacing w:after="0" w:line="240" w:lineRule="auto"/>
              <w:jc w:val="left"/>
              <w:rPr>
                <w:rFonts w:eastAsia="Times New Roman" w:cs="Times New Roman"/>
                <w:color w:val="365F91"/>
                <w:sz w:val="20"/>
                <w:szCs w:val="20"/>
              </w:rPr>
            </w:pPr>
            <w:r w:rsidRPr="009826A9">
              <w:rPr>
                <w:rFonts w:eastAsia="Times New Roman" w:cs="Times New Roman"/>
                <w:color w:val="365F91"/>
                <w:sz w:val="20"/>
                <w:szCs w:val="20"/>
              </w:rPr>
              <w:t>Seismic protection/energy audits</w:t>
            </w:r>
          </w:p>
        </w:tc>
        <w:tc>
          <w:tcPr>
            <w:tcW w:w="2732" w:type="pct"/>
            <w:vAlign w:val="center"/>
          </w:tcPr>
          <w:p w14:paraId="5727043B" w14:textId="77777777" w:rsidR="009826A9" w:rsidRPr="009826A9" w:rsidRDefault="009826A9" w:rsidP="009826A9">
            <w:pPr>
              <w:spacing w:after="0" w:line="240" w:lineRule="auto"/>
              <w:jc w:val="left"/>
              <w:rPr>
                <w:rFonts w:eastAsia="Times New Roman" w:cs="Times New Roman"/>
                <w:sz w:val="20"/>
                <w:szCs w:val="20"/>
              </w:rPr>
            </w:pPr>
            <w:r w:rsidRPr="009826A9">
              <w:rPr>
                <w:rFonts w:eastAsia="Times New Roman" w:cs="Times New Roman"/>
                <w:sz w:val="20"/>
                <w:szCs w:val="20"/>
              </w:rPr>
              <w:t>No</w:t>
            </w:r>
          </w:p>
        </w:tc>
      </w:tr>
      <w:tr w:rsidR="009826A9" w:rsidRPr="009826A9" w14:paraId="2DD01F84" w14:textId="77777777" w:rsidTr="009826A9">
        <w:trPr>
          <w:cantSplit/>
          <w:trHeight w:val="288"/>
          <w:jc w:val="center"/>
        </w:trPr>
        <w:tc>
          <w:tcPr>
            <w:tcW w:w="2268" w:type="pct"/>
            <w:tcBorders>
              <w:top w:val="single" w:sz="8" w:space="0" w:color="0B3D70"/>
            </w:tcBorders>
            <w:vAlign w:val="center"/>
          </w:tcPr>
          <w:p w14:paraId="633EEFCE" w14:textId="77777777" w:rsidR="009826A9" w:rsidRPr="009826A9" w:rsidRDefault="009826A9" w:rsidP="009826A9">
            <w:pPr>
              <w:tabs>
                <w:tab w:val="left" w:pos="-1890"/>
              </w:tabs>
              <w:spacing w:after="0" w:line="240" w:lineRule="auto"/>
              <w:jc w:val="left"/>
              <w:rPr>
                <w:rFonts w:eastAsia="Times New Roman" w:cs="Times New Roman"/>
                <w:color w:val="365F91"/>
                <w:sz w:val="20"/>
                <w:szCs w:val="20"/>
              </w:rPr>
            </w:pPr>
            <w:r w:rsidRPr="009826A9">
              <w:rPr>
                <w:rFonts w:eastAsia="Times New Roman" w:cs="Times New Roman"/>
                <w:color w:val="365F91"/>
                <w:sz w:val="20"/>
                <w:szCs w:val="20"/>
              </w:rPr>
              <w:t>Auxiliary power</w:t>
            </w:r>
          </w:p>
        </w:tc>
        <w:tc>
          <w:tcPr>
            <w:tcW w:w="2732" w:type="pct"/>
            <w:vAlign w:val="center"/>
          </w:tcPr>
          <w:p w14:paraId="00829D10" w14:textId="77777777" w:rsidR="009826A9" w:rsidRPr="009826A9" w:rsidRDefault="009826A9" w:rsidP="009826A9">
            <w:pPr>
              <w:spacing w:after="0" w:line="240" w:lineRule="auto"/>
              <w:jc w:val="left"/>
              <w:rPr>
                <w:rFonts w:eastAsia="Times New Roman" w:cs="Times New Roman"/>
                <w:sz w:val="20"/>
                <w:szCs w:val="20"/>
              </w:rPr>
            </w:pPr>
            <w:r w:rsidRPr="009826A9">
              <w:rPr>
                <w:rFonts w:eastAsia="Times New Roman" w:cs="Times New Roman"/>
                <w:sz w:val="20"/>
                <w:szCs w:val="20"/>
              </w:rPr>
              <w:t>No</w:t>
            </w:r>
          </w:p>
        </w:tc>
      </w:tr>
      <w:tr w:rsidR="009826A9" w:rsidRPr="009826A9" w14:paraId="18B75BB2" w14:textId="77777777" w:rsidTr="009826A9">
        <w:trPr>
          <w:cantSplit/>
          <w:trHeight w:val="288"/>
          <w:jc w:val="center"/>
        </w:trPr>
        <w:tc>
          <w:tcPr>
            <w:tcW w:w="2268" w:type="pct"/>
            <w:tcBorders>
              <w:top w:val="single" w:sz="8" w:space="0" w:color="0B3D70"/>
            </w:tcBorders>
            <w:vAlign w:val="center"/>
          </w:tcPr>
          <w:p w14:paraId="2455E758" w14:textId="77777777" w:rsidR="009826A9" w:rsidRPr="009826A9" w:rsidRDefault="009826A9" w:rsidP="009826A9">
            <w:pPr>
              <w:tabs>
                <w:tab w:val="left" w:pos="-1890"/>
              </w:tabs>
              <w:spacing w:after="0" w:line="240" w:lineRule="auto"/>
              <w:jc w:val="left"/>
              <w:rPr>
                <w:rFonts w:eastAsia="Times New Roman" w:cs="Times New Roman"/>
                <w:color w:val="365F91"/>
                <w:sz w:val="20"/>
                <w:szCs w:val="20"/>
              </w:rPr>
            </w:pPr>
            <w:r w:rsidRPr="009826A9">
              <w:rPr>
                <w:rFonts w:eastAsia="Times New Roman" w:cs="Times New Roman"/>
                <w:color w:val="365F91"/>
                <w:sz w:val="20"/>
                <w:szCs w:val="20"/>
              </w:rPr>
              <w:t>Condition</w:t>
            </w:r>
          </w:p>
        </w:tc>
        <w:tc>
          <w:tcPr>
            <w:tcW w:w="2732" w:type="pct"/>
            <w:vAlign w:val="center"/>
          </w:tcPr>
          <w:p w14:paraId="0E98D887" w14:textId="77777777" w:rsidR="009826A9" w:rsidRPr="009826A9" w:rsidRDefault="009826A9" w:rsidP="009826A9">
            <w:pPr>
              <w:spacing w:after="0" w:line="240" w:lineRule="auto"/>
              <w:jc w:val="left"/>
              <w:rPr>
                <w:rFonts w:eastAsia="Times New Roman" w:cs="Times New Roman"/>
                <w:sz w:val="20"/>
                <w:szCs w:val="20"/>
              </w:rPr>
            </w:pPr>
            <w:r w:rsidRPr="009826A9">
              <w:rPr>
                <w:rFonts w:eastAsia="Times New Roman" w:cs="Times New Roman"/>
                <w:sz w:val="20"/>
                <w:szCs w:val="20"/>
              </w:rPr>
              <w:t>Poor</w:t>
            </w:r>
          </w:p>
        </w:tc>
      </w:tr>
      <w:tr w:rsidR="009826A9" w:rsidRPr="009826A9" w14:paraId="38E5DEF0" w14:textId="77777777" w:rsidTr="009826A9">
        <w:trPr>
          <w:cantSplit/>
          <w:trHeight w:val="288"/>
          <w:jc w:val="center"/>
        </w:trPr>
        <w:tc>
          <w:tcPr>
            <w:tcW w:w="2268" w:type="pct"/>
            <w:vAlign w:val="center"/>
          </w:tcPr>
          <w:p w14:paraId="4D4570AD" w14:textId="77777777" w:rsidR="009826A9" w:rsidRPr="009826A9" w:rsidRDefault="009826A9" w:rsidP="009826A9">
            <w:pPr>
              <w:tabs>
                <w:tab w:val="left" w:pos="-1890"/>
              </w:tabs>
              <w:spacing w:after="0" w:line="240" w:lineRule="auto"/>
              <w:jc w:val="left"/>
              <w:rPr>
                <w:rFonts w:eastAsia="Times New Roman" w:cs="Times New Roman"/>
                <w:color w:val="365F91"/>
                <w:sz w:val="20"/>
                <w:szCs w:val="20"/>
              </w:rPr>
            </w:pPr>
            <w:r w:rsidRPr="009826A9">
              <w:rPr>
                <w:rFonts w:eastAsia="Times New Roman" w:cs="Times New Roman"/>
                <w:color w:val="365F91"/>
                <w:sz w:val="20"/>
                <w:szCs w:val="20"/>
              </w:rPr>
              <w:t>Special considerations (ADA, mixed gender appropriate, storage, etc.)</w:t>
            </w:r>
          </w:p>
        </w:tc>
        <w:tc>
          <w:tcPr>
            <w:tcW w:w="2732" w:type="pct"/>
            <w:vAlign w:val="center"/>
          </w:tcPr>
          <w:p w14:paraId="7C007718" w14:textId="7855EBE0" w:rsidR="009826A9" w:rsidRPr="009826A9" w:rsidRDefault="002B336E" w:rsidP="002B336E">
            <w:pPr>
              <w:spacing w:after="0" w:line="240" w:lineRule="auto"/>
              <w:jc w:val="left"/>
              <w:rPr>
                <w:rFonts w:eastAsia="Times New Roman" w:cs="Times New Roman"/>
                <w:sz w:val="20"/>
                <w:szCs w:val="20"/>
              </w:rPr>
            </w:pPr>
            <w:r>
              <w:rPr>
                <w:rFonts w:eastAsia="Times New Roman" w:cs="Times New Roman"/>
                <w:sz w:val="20"/>
                <w:szCs w:val="20"/>
              </w:rPr>
              <w:t>Does not accommodate personnel assignments well.  Not ADA or mixed gender appropriate.  Very limited storage.</w:t>
            </w:r>
          </w:p>
        </w:tc>
      </w:tr>
      <w:tr w:rsidR="009826A9" w:rsidRPr="009826A9" w14:paraId="7D1DA0CB" w14:textId="77777777" w:rsidTr="009826A9">
        <w:trPr>
          <w:cantSplit/>
          <w:trHeight w:val="288"/>
          <w:jc w:val="center"/>
        </w:trPr>
        <w:tc>
          <w:tcPr>
            <w:tcW w:w="2268" w:type="pct"/>
            <w:tcBorders>
              <w:bottom w:val="single" w:sz="8" w:space="0" w:color="0B3D70"/>
            </w:tcBorders>
            <w:vAlign w:val="center"/>
          </w:tcPr>
          <w:p w14:paraId="65A6638B" w14:textId="77777777" w:rsidR="009826A9" w:rsidRPr="009826A9" w:rsidRDefault="009826A9" w:rsidP="009826A9">
            <w:pPr>
              <w:tabs>
                <w:tab w:val="left" w:pos="-1890"/>
              </w:tabs>
              <w:spacing w:after="0" w:line="240" w:lineRule="auto"/>
              <w:jc w:val="left"/>
              <w:rPr>
                <w:rFonts w:eastAsia="Times New Roman" w:cs="Times New Roman"/>
                <w:color w:val="365F91"/>
                <w:sz w:val="20"/>
                <w:szCs w:val="20"/>
              </w:rPr>
            </w:pPr>
            <w:r w:rsidRPr="009826A9">
              <w:rPr>
                <w:rFonts w:eastAsia="Times New Roman" w:cs="Times New Roman"/>
                <w:color w:val="365F91"/>
                <w:sz w:val="20"/>
                <w:szCs w:val="20"/>
              </w:rPr>
              <w:t>Square footage</w:t>
            </w:r>
          </w:p>
        </w:tc>
        <w:tc>
          <w:tcPr>
            <w:tcW w:w="2732" w:type="pct"/>
            <w:tcBorders>
              <w:bottom w:val="single" w:sz="8" w:space="0" w:color="0B3D70"/>
            </w:tcBorders>
            <w:vAlign w:val="center"/>
          </w:tcPr>
          <w:p w14:paraId="3B45BAD7" w14:textId="77777777" w:rsidR="009826A9" w:rsidRPr="009826A9" w:rsidRDefault="009826A9" w:rsidP="009826A9">
            <w:pPr>
              <w:spacing w:after="0" w:line="240" w:lineRule="auto"/>
              <w:jc w:val="left"/>
              <w:rPr>
                <w:rFonts w:eastAsia="Times New Roman" w:cs="Times New Roman"/>
                <w:sz w:val="20"/>
                <w:szCs w:val="20"/>
              </w:rPr>
            </w:pPr>
            <w:r w:rsidRPr="009826A9">
              <w:rPr>
                <w:rFonts w:eastAsia="Times New Roman" w:cs="Times New Roman"/>
                <w:sz w:val="20"/>
                <w:szCs w:val="20"/>
              </w:rPr>
              <w:t>1,920</w:t>
            </w:r>
          </w:p>
        </w:tc>
      </w:tr>
      <w:tr w:rsidR="009826A9" w:rsidRPr="009826A9" w14:paraId="68249079" w14:textId="77777777" w:rsidTr="009826A9">
        <w:trPr>
          <w:cantSplit/>
          <w:trHeight w:val="313"/>
          <w:jc w:val="center"/>
        </w:trPr>
        <w:tc>
          <w:tcPr>
            <w:tcW w:w="5000" w:type="pct"/>
            <w:gridSpan w:val="2"/>
            <w:tcBorders>
              <w:top w:val="single" w:sz="8" w:space="0" w:color="0B3D70"/>
              <w:bottom w:val="single" w:sz="8" w:space="0" w:color="0B3D70"/>
            </w:tcBorders>
            <w:shd w:val="clear" w:color="auto" w:fill="D9D9D9"/>
            <w:vAlign w:val="center"/>
            <w:hideMark/>
          </w:tcPr>
          <w:p w14:paraId="74AE9204" w14:textId="77777777" w:rsidR="009826A9" w:rsidRPr="009826A9" w:rsidRDefault="009826A9" w:rsidP="009826A9">
            <w:pPr>
              <w:spacing w:after="0" w:line="240" w:lineRule="auto"/>
              <w:jc w:val="left"/>
              <w:rPr>
                <w:rFonts w:eastAsia="Times New Roman" w:cs="Times New Roman"/>
                <w:caps/>
                <w:sz w:val="20"/>
                <w:szCs w:val="20"/>
              </w:rPr>
            </w:pPr>
            <w:r w:rsidRPr="009826A9">
              <w:rPr>
                <w:rFonts w:eastAsia="Times New Roman" w:cs="Times New Roman"/>
                <w:b/>
                <w:caps/>
                <w:color w:val="365F91"/>
                <w:sz w:val="20"/>
                <w:szCs w:val="20"/>
              </w:rPr>
              <w:t>facilities available</w:t>
            </w:r>
          </w:p>
        </w:tc>
      </w:tr>
      <w:tr w:rsidR="009826A9" w:rsidRPr="009826A9" w14:paraId="642DE3DD" w14:textId="77777777" w:rsidTr="009826A9">
        <w:trPr>
          <w:cantSplit/>
          <w:trHeight w:val="288"/>
          <w:jc w:val="center"/>
        </w:trPr>
        <w:tc>
          <w:tcPr>
            <w:tcW w:w="2268" w:type="pct"/>
            <w:tcBorders>
              <w:top w:val="single" w:sz="8" w:space="0" w:color="0B3D70"/>
            </w:tcBorders>
            <w:vAlign w:val="center"/>
          </w:tcPr>
          <w:p w14:paraId="5DC756E2" w14:textId="77777777" w:rsidR="009826A9" w:rsidRPr="009826A9" w:rsidRDefault="009826A9" w:rsidP="009826A9">
            <w:pPr>
              <w:tabs>
                <w:tab w:val="left" w:pos="-1890"/>
              </w:tabs>
              <w:spacing w:after="0" w:line="240" w:lineRule="auto"/>
              <w:jc w:val="left"/>
              <w:rPr>
                <w:rFonts w:eastAsia="Times New Roman" w:cs="Times New Roman"/>
                <w:color w:val="365F91"/>
                <w:sz w:val="20"/>
                <w:szCs w:val="20"/>
              </w:rPr>
            </w:pPr>
            <w:r w:rsidRPr="009826A9">
              <w:rPr>
                <w:rFonts w:eastAsia="Times New Roman" w:cs="Times New Roman"/>
                <w:color w:val="365F91"/>
                <w:sz w:val="20"/>
                <w:szCs w:val="20"/>
              </w:rPr>
              <w:t>Exercise/workout</w:t>
            </w:r>
          </w:p>
        </w:tc>
        <w:tc>
          <w:tcPr>
            <w:tcW w:w="2732" w:type="pct"/>
            <w:tcBorders>
              <w:top w:val="single" w:sz="8" w:space="0" w:color="0B3D70"/>
            </w:tcBorders>
            <w:vAlign w:val="center"/>
          </w:tcPr>
          <w:p w14:paraId="435D0FA4" w14:textId="77777777" w:rsidR="009826A9" w:rsidRPr="009826A9" w:rsidRDefault="009826A9" w:rsidP="009826A9">
            <w:pPr>
              <w:spacing w:after="0" w:line="240" w:lineRule="auto"/>
              <w:jc w:val="left"/>
              <w:rPr>
                <w:rFonts w:eastAsia="Times New Roman" w:cs="Times New Roman"/>
                <w:sz w:val="20"/>
                <w:szCs w:val="20"/>
              </w:rPr>
            </w:pPr>
            <w:r w:rsidRPr="009826A9">
              <w:rPr>
                <w:rFonts w:eastAsia="Times New Roman" w:cs="Times New Roman"/>
                <w:sz w:val="20"/>
                <w:szCs w:val="20"/>
              </w:rPr>
              <w:t>No</w:t>
            </w:r>
          </w:p>
        </w:tc>
      </w:tr>
      <w:tr w:rsidR="009826A9" w:rsidRPr="009826A9" w14:paraId="364D9F05" w14:textId="77777777" w:rsidTr="009826A9">
        <w:trPr>
          <w:cantSplit/>
          <w:trHeight w:val="288"/>
          <w:jc w:val="center"/>
        </w:trPr>
        <w:tc>
          <w:tcPr>
            <w:tcW w:w="2268" w:type="pct"/>
            <w:vAlign w:val="center"/>
          </w:tcPr>
          <w:p w14:paraId="4F8B7498" w14:textId="77777777" w:rsidR="009826A9" w:rsidRPr="009826A9" w:rsidRDefault="009826A9" w:rsidP="009826A9">
            <w:pPr>
              <w:tabs>
                <w:tab w:val="left" w:pos="-1890"/>
              </w:tabs>
              <w:spacing w:after="0" w:line="240" w:lineRule="auto"/>
              <w:jc w:val="left"/>
              <w:rPr>
                <w:rFonts w:eastAsia="Times New Roman" w:cs="Times New Roman"/>
                <w:color w:val="365F91"/>
                <w:sz w:val="20"/>
                <w:szCs w:val="20"/>
              </w:rPr>
            </w:pPr>
            <w:r w:rsidRPr="009826A9">
              <w:rPr>
                <w:rFonts w:eastAsia="Times New Roman" w:cs="Times New Roman"/>
                <w:color w:val="365F91"/>
                <w:sz w:val="20"/>
                <w:szCs w:val="20"/>
              </w:rPr>
              <w:t xml:space="preserve">Kitchen/dormitory </w:t>
            </w:r>
          </w:p>
        </w:tc>
        <w:tc>
          <w:tcPr>
            <w:tcW w:w="2732" w:type="pct"/>
            <w:vAlign w:val="center"/>
          </w:tcPr>
          <w:p w14:paraId="3404C6DB" w14:textId="77777777" w:rsidR="009826A9" w:rsidRPr="009826A9" w:rsidRDefault="009826A9" w:rsidP="009826A9">
            <w:pPr>
              <w:spacing w:after="0" w:line="240" w:lineRule="auto"/>
              <w:jc w:val="left"/>
              <w:rPr>
                <w:rFonts w:eastAsia="Times New Roman" w:cs="Times New Roman"/>
                <w:sz w:val="20"/>
                <w:szCs w:val="20"/>
              </w:rPr>
            </w:pPr>
            <w:r w:rsidRPr="009826A9">
              <w:rPr>
                <w:rFonts w:eastAsia="Times New Roman" w:cs="Times New Roman"/>
                <w:sz w:val="20"/>
                <w:szCs w:val="20"/>
              </w:rPr>
              <w:t>Yes</w:t>
            </w:r>
          </w:p>
        </w:tc>
      </w:tr>
      <w:tr w:rsidR="009826A9" w:rsidRPr="009826A9" w14:paraId="33F669CD" w14:textId="77777777" w:rsidTr="009826A9">
        <w:trPr>
          <w:cantSplit/>
          <w:trHeight w:val="288"/>
          <w:jc w:val="center"/>
        </w:trPr>
        <w:tc>
          <w:tcPr>
            <w:tcW w:w="2268" w:type="pct"/>
            <w:vAlign w:val="center"/>
          </w:tcPr>
          <w:p w14:paraId="5ADA4607" w14:textId="77777777" w:rsidR="009826A9" w:rsidRPr="009826A9" w:rsidRDefault="009826A9" w:rsidP="009826A9">
            <w:pPr>
              <w:tabs>
                <w:tab w:val="left" w:pos="-1890"/>
              </w:tabs>
              <w:spacing w:after="0" w:line="240" w:lineRule="auto"/>
              <w:jc w:val="left"/>
              <w:rPr>
                <w:rFonts w:eastAsia="Times New Roman" w:cs="Times New Roman"/>
                <w:color w:val="365F91"/>
                <w:sz w:val="20"/>
                <w:szCs w:val="20"/>
              </w:rPr>
            </w:pPr>
            <w:r w:rsidRPr="009826A9">
              <w:rPr>
                <w:rFonts w:eastAsia="Times New Roman" w:cs="Times New Roman"/>
                <w:color w:val="365F91"/>
                <w:sz w:val="20"/>
                <w:szCs w:val="20"/>
              </w:rPr>
              <w:t>Lockers/showers</w:t>
            </w:r>
          </w:p>
        </w:tc>
        <w:tc>
          <w:tcPr>
            <w:tcW w:w="2732" w:type="pct"/>
            <w:vAlign w:val="center"/>
          </w:tcPr>
          <w:p w14:paraId="02BD51C3" w14:textId="77777777" w:rsidR="009826A9" w:rsidRPr="009826A9" w:rsidRDefault="009826A9" w:rsidP="009826A9">
            <w:pPr>
              <w:spacing w:after="0" w:line="240" w:lineRule="auto"/>
              <w:jc w:val="left"/>
              <w:rPr>
                <w:rFonts w:eastAsia="Times New Roman" w:cs="Times New Roman"/>
                <w:sz w:val="20"/>
                <w:szCs w:val="20"/>
              </w:rPr>
            </w:pPr>
            <w:r w:rsidRPr="009826A9">
              <w:rPr>
                <w:rFonts w:eastAsia="Times New Roman" w:cs="Times New Roman"/>
                <w:sz w:val="20"/>
                <w:szCs w:val="20"/>
              </w:rPr>
              <w:t>No</w:t>
            </w:r>
          </w:p>
        </w:tc>
      </w:tr>
      <w:tr w:rsidR="009826A9" w:rsidRPr="009826A9" w14:paraId="128EA717" w14:textId="77777777" w:rsidTr="009826A9">
        <w:trPr>
          <w:cantSplit/>
          <w:trHeight w:val="288"/>
          <w:jc w:val="center"/>
        </w:trPr>
        <w:tc>
          <w:tcPr>
            <w:tcW w:w="2268" w:type="pct"/>
            <w:vAlign w:val="center"/>
          </w:tcPr>
          <w:p w14:paraId="0F45ADA7" w14:textId="77777777" w:rsidR="009826A9" w:rsidRPr="009826A9" w:rsidRDefault="009826A9" w:rsidP="009826A9">
            <w:pPr>
              <w:tabs>
                <w:tab w:val="left" w:pos="-1890"/>
              </w:tabs>
              <w:spacing w:after="0" w:line="240" w:lineRule="auto"/>
              <w:jc w:val="left"/>
              <w:rPr>
                <w:rFonts w:eastAsia="Times New Roman" w:cs="Times New Roman"/>
                <w:color w:val="365F91"/>
                <w:sz w:val="20"/>
                <w:szCs w:val="20"/>
              </w:rPr>
            </w:pPr>
            <w:r w:rsidRPr="009826A9">
              <w:rPr>
                <w:rFonts w:eastAsia="Times New Roman" w:cs="Times New Roman"/>
                <w:color w:val="365F91"/>
                <w:sz w:val="20"/>
                <w:szCs w:val="20"/>
              </w:rPr>
              <w:t>Training/meetings</w:t>
            </w:r>
          </w:p>
        </w:tc>
        <w:tc>
          <w:tcPr>
            <w:tcW w:w="2732" w:type="pct"/>
            <w:vAlign w:val="center"/>
          </w:tcPr>
          <w:p w14:paraId="7F23916B" w14:textId="77777777" w:rsidR="009826A9" w:rsidRPr="009826A9" w:rsidRDefault="009826A9" w:rsidP="009826A9">
            <w:pPr>
              <w:spacing w:after="0" w:line="240" w:lineRule="auto"/>
              <w:jc w:val="left"/>
              <w:rPr>
                <w:rFonts w:eastAsia="Times New Roman" w:cs="Times New Roman"/>
                <w:sz w:val="20"/>
                <w:szCs w:val="20"/>
              </w:rPr>
            </w:pPr>
            <w:r w:rsidRPr="009826A9">
              <w:rPr>
                <w:rFonts w:eastAsia="Times New Roman" w:cs="Times New Roman"/>
                <w:sz w:val="20"/>
                <w:szCs w:val="20"/>
              </w:rPr>
              <w:t>No</w:t>
            </w:r>
          </w:p>
        </w:tc>
      </w:tr>
      <w:tr w:rsidR="009826A9" w:rsidRPr="009826A9" w14:paraId="01866350" w14:textId="77777777" w:rsidTr="009826A9">
        <w:trPr>
          <w:cantSplit/>
          <w:trHeight w:val="288"/>
          <w:jc w:val="center"/>
        </w:trPr>
        <w:tc>
          <w:tcPr>
            <w:tcW w:w="2268" w:type="pct"/>
            <w:tcBorders>
              <w:bottom w:val="single" w:sz="8" w:space="0" w:color="0B3D70"/>
            </w:tcBorders>
            <w:vAlign w:val="center"/>
          </w:tcPr>
          <w:p w14:paraId="05ACE285" w14:textId="77777777" w:rsidR="009826A9" w:rsidRPr="009826A9" w:rsidRDefault="009826A9" w:rsidP="009826A9">
            <w:pPr>
              <w:tabs>
                <w:tab w:val="left" w:pos="-1890"/>
              </w:tabs>
              <w:spacing w:after="0" w:line="240" w:lineRule="auto"/>
              <w:jc w:val="left"/>
              <w:rPr>
                <w:rFonts w:eastAsia="Times New Roman" w:cs="Times New Roman"/>
                <w:color w:val="365F91"/>
                <w:sz w:val="20"/>
                <w:szCs w:val="20"/>
              </w:rPr>
            </w:pPr>
            <w:r w:rsidRPr="009826A9">
              <w:rPr>
                <w:rFonts w:eastAsia="Times New Roman" w:cs="Times New Roman"/>
                <w:color w:val="365F91"/>
                <w:sz w:val="20"/>
                <w:szCs w:val="20"/>
              </w:rPr>
              <w:t>Washer/dryer</w:t>
            </w:r>
          </w:p>
        </w:tc>
        <w:tc>
          <w:tcPr>
            <w:tcW w:w="2732" w:type="pct"/>
            <w:tcBorders>
              <w:bottom w:val="single" w:sz="8" w:space="0" w:color="0B3D70"/>
            </w:tcBorders>
            <w:vAlign w:val="center"/>
          </w:tcPr>
          <w:p w14:paraId="547AAE87" w14:textId="77777777" w:rsidR="009826A9" w:rsidRPr="009826A9" w:rsidRDefault="009826A9" w:rsidP="009826A9">
            <w:pPr>
              <w:spacing w:after="0" w:line="240" w:lineRule="auto"/>
              <w:jc w:val="left"/>
              <w:rPr>
                <w:rFonts w:eastAsia="Times New Roman" w:cs="Times New Roman"/>
                <w:sz w:val="20"/>
                <w:szCs w:val="20"/>
              </w:rPr>
            </w:pPr>
            <w:r w:rsidRPr="009826A9">
              <w:rPr>
                <w:rFonts w:eastAsia="Times New Roman" w:cs="Times New Roman"/>
                <w:sz w:val="20"/>
                <w:szCs w:val="20"/>
              </w:rPr>
              <w:t>No</w:t>
            </w:r>
          </w:p>
        </w:tc>
      </w:tr>
      <w:tr w:rsidR="009826A9" w:rsidRPr="009826A9" w14:paraId="63D70AAD" w14:textId="77777777" w:rsidTr="009826A9">
        <w:trPr>
          <w:cantSplit/>
          <w:trHeight w:val="317"/>
          <w:jc w:val="center"/>
        </w:trPr>
        <w:tc>
          <w:tcPr>
            <w:tcW w:w="5000" w:type="pct"/>
            <w:gridSpan w:val="2"/>
            <w:tcBorders>
              <w:top w:val="single" w:sz="8" w:space="0" w:color="0B3D70"/>
              <w:bottom w:val="single" w:sz="8" w:space="0" w:color="0B3D70"/>
            </w:tcBorders>
            <w:shd w:val="clear" w:color="auto" w:fill="D9D9D9"/>
            <w:vAlign w:val="center"/>
            <w:hideMark/>
          </w:tcPr>
          <w:p w14:paraId="1B9CA79E" w14:textId="77777777" w:rsidR="009826A9" w:rsidRPr="009826A9" w:rsidRDefault="009826A9" w:rsidP="009826A9">
            <w:pPr>
              <w:spacing w:after="0" w:line="240" w:lineRule="auto"/>
              <w:jc w:val="left"/>
              <w:rPr>
                <w:rFonts w:eastAsia="Times New Roman" w:cs="Times New Roman"/>
                <w:caps/>
                <w:sz w:val="20"/>
                <w:szCs w:val="20"/>
              </w:rPr>
            </w:pPr>
            <w:r w:rsidRPr="009826A9">
              <w:rPr>
                <w:rFonts w:eastAsia="Times New Roman" w:cs="Times New Roman"/>
                <w:b/>
                <w:caps/>
                <w:color w:val="365F91"/>
                <w:sz w:val="20"/>
                <w:szCs w:val="20"/>
              </w:rPr>
              <w:t>facilities available</w:t>
            </w:r>
          </w:p>
        </w:tc>
      </w:tr>
      <w:tr w:rsidR="009826A9" w:rsidRPr="009826A9" w14:paraId="7EB98202" w14:textId="77777777" w:rsidTr="009826A9">
        <w:trPr>
          <w:cantSplit/>
          <w:trHeight w:val="288"/>
          <w:jc w:val="center"/>
        </w:trPr>
        <w:tc>
          <w:tcPr>
            <w:tcW w:w="2268" w:type="pct"/>
            <w:tcBorders>
              <w:top w:val="single" w:sz="8" w:space="0" w:color="0B3D70"/>
            </w:tcBorders>
            <w:vAlign w:val="center"/>
          </w:tcPr>
          <w:p w14:paraId="4BC16F9E" w14:textId="77777777" w:rsidR="009826A9" w:rsidRPr="009826A9" w:rsidRDefault="009826A9" w:rsidP="009826A9">
            <w:pPr>
              <w:tabs>
                <w:tab w:val="left" w:pos="-1890"/>
              </w:tabs>
              <w:spacing w:after="0" w:line="240" w:lineRule="auto"/>
              <w:jc w:val="left"/>
              <w:rPr>
                <w:rFonts w:eastAsia="Times New Roman" w:cs="Times New Roman"/>
                <w:color w:val="365F91"/>
                <w:sz w:val="20"/>
                <w:szCs w:val="20"/>
              </w:rPr>
            </w:pPr>
            <w:r w:rsidRPr="009826A9">
              <w:rPr>
                <w:rFonts w:eastAsia="Times New Roman" w:cs="Times New Roman"/>
                <w:color w:val="365F91"/>
                <w:sz w:val="20"/>
                <w:szCs w:val="20"/>
              </w:rPr>
              <w:t>Sprinkler system</w:t>
            </w:r>
          </w:p>
        </w:tc>
        <w:tc>
          <w:tcPr>
            <w:tcW w:w="2732" w:type="pct"/>
            <w:tcBorders>
              <w:top w:val="single" w:sz="8" w:space="0" w:color="0B3D70"/>
            </w:tcBorders>
            <w:vAlign w:val="center"/>
          </w:tcPr>
          <w:p w14:paraId="56E3DD9C" w14:textId="77777777" w:rsidR="009826A9" w:rsidRPr="009826A9" w:rsidRDefault="009826A9" w:rsidP="009826A9">
            <w:pPr>
              <w:spacing w:after="0" w:line="240" w:lineRule="auto"/>
              <w:jc w:val="left"/>
              <w:rPr>
                <w:rFonts w:eastAsia="Times New Roman" w:cs="Times New Roman"/>
                <w:sz w:val="20"/>
                <w:szCs w:val="20"/>
              </w:rPr>
            </w:pPr>
            <w:r w:rsidRPr="009826A9">
              <w:rPr>
                <w:rFonts w:eastAsia="Times New Roman" w:cs="Times New Roman"/>
                <w:sz w:val="20"/>
                <w:szCs w:val="20"/>
              </w:rPr>
              <w:t>No</w:t>
            </w:r>
          </w:p>
        </w:tc>
      </w:tr>
      <w:tr w:rsidR="009826A9" w:rsidRPr="009826A9" w14:paraId="0593A0D9" w14:textId="77777777" w:rsidTr="009826A9">
        <w:trPr>
          <w:cantSplit/>
          <w:trHeight w:val="288"/>
          <w:jc w:val="center"/>
        </w:trPr>
        <w:tc>
          <w:tcPr>
            <w:tcW w:w="2268" w:type="pct"/>
            <w:vAlign w:val="center"/>
          </w:tcPr>
          <w:p w14:paraId="2DBD8CDA" w14:textId="77777777" w:rsidR="009826A9" w:rsidRPr="009826A9" w:rsidRDefault="009826A9" w:rsidP="009826A9">
            <w:pPr>
              <w:tabs>
                <w:tab w:val="left" w:pos="-1890"/>
              </w:tabs>
              <w:spacing w:after="0" w:line="240" w:lineRule="auto"/>
              <w:jc w:val="left"/>
              <w:rPr>
                <w:rFonts w:eastAsia="Times New Roman" w:cs="Times New Roman"/>
                <w:color w:val="365F91"/>
                <w:sz w:val="20"/>
                <w:szCs w:val="20"/>
              </w:rPr>
            </w:pPr>
            <w:r w:rsidRPr="009826A9">
              <w:rPr>
                <w:rFonts w:eastAsia="Times New Roman" w:cs="Times New Roman"/>
                <w:color w:val="365F91"/>
                <w:sz w:val="20"/>
                <w:szCs w:val="20"/>
              </w:rPr>
              <w:t>Smoke detection</w:t>
            </w:r>
          </w:p>
        </w:tc>
        <w:tc>
          <w:tcPr>
            <w:tcW w:w="2732" w:type="pct"/>
            <w:vAlign w:val="center"/>
          </w:tcPr>
          <w:p w14:paraId="5BD14011" w14:textId="61911C00" w:rsidR="009826A9" w:rsidRPr="009826A9" w:rsidRDefault="009826A9" w:rsidP="009826A9">
            <w:pPr>
              <w:spacing w:after="0" w:line="240" w:lineRule="auto"/>
              <w:jc w:val="left"/>
              <w:rPr>
                <w:rFonts w:eastAsia="Times New Roman" w:cs="Times New Roman"/>
                <w:sz w:val="20"/>
                <w:szCs w:val="20"/>
              </w:rPr>
            </w:pPr>
            <w:r w:rsidRPr="009826A9">
              <w:rPr>
                <w:rFonts w:eastAsia="Times New Roman" w:cs="Times New Roman"/>
                <w:sz w:val="20"/>
                <w:szCs w:val="20"/>
              </w:rPr>
              <w:t>Yes</w:t>
            </w:r>
            <w:r>
              <w:rPr>
                <w:rFonts w:eastAsia="Times New Roman" w:cs="Times New Roman"/>
                <w:sz w:val="20"/>
                <w:szCs w:val="20"/>
              </w:rPr>
              <w:t>,</w:t>
            </w:r>
            <w:r w:rsidRPr="009826A9">
              <w:rPr>
                <w:rFonts w:eastAsia="Times New Roman" w:cs="Times New Roman"/>
                <w:sz w:val="20"/>
                <w:szCs w:val="20"/>
              </w:rPr>
              <w:t xml:space="preserve"> battery only</w:t>
            </w:r>
          </w:p>
        </w:tc>
      </w:tr>
      <w:tr w:rsidR="009826A9" w:rsidRPr="009826A9" w14:paraId="6D7CFBAF" w14:textId="77777777" w:rsidTr="009826A9">
        <w:trPr>
          <w:cantSplit/>
          <w:trHeight w:val="288"/>
          <w:jc w:val="center"/>
        </w:trPr>
        <w:tc>
          <w:tcPr>
            <w:tcW w:w="2268" w:type="pct"/>
            <w:tcBorders>
              <w:bottom w:val="single" w:sz="2" w:space="0" w:color="000000"/>
            </w:tcBorders>
            <w:vAlign w:val="center"/>
          </w:tcPr>
          <w:p w14:paraId="0B8E620D" w14:textId="77777777" w:rsidR="009826A9" w:rsidRPr="009826A9" w:rsidRDefault="009826A9" w:rsidP="009826A9">
            <w:pPr>
              <w:tabs>
                <w:tab w:val="left" w:pos="-1890"/>
              </w:tabs>
              <w:spacing w:after="0" w:line="240" w:lineRule="auto"/>
              <w:jc w:val="left"/>
              <w:rPr>
                <w:rFonts w:eastAsia="Times New Roman" w:cs="Times New Roman"/>
                <w:color w:val="365F91"/>
                <w:sz w:val="20"/>
                <w:szCs w:val="20"/>
              </w:rPr>
            </w:pPr>
            <w:r w:rsidRPr="009826A9">
              <w:rPr>
                <w:rFonts w:eastAsia="Times New Roman" w:cs="Times New Roman"/>
                <w:color w:val="365F91"/>
                <w:sz w:val="20"/>
                <w:szCs w:val="20"/>
              </w:rPr>
              <w:t>Security</w:t>
            </w:r>
          </w:p>
        </w:tc>
        <w:tc>
          <w:tcPr>
            <w:tcW w:w="2732" w:type="pct"/>
            <w:vAlign w:val="center"/>
          </w:tcPr>
          <w:p w14:paraId="70544F8E" w14:textId="77777777" w:rsidR="009826A9" w:rsidRPr="009826A9" w:rsidRDefault="009826A9" w:rsidP="009826A9">
            <w:pPr>
              <w:spacing w:after="0" w:line="240" w:lineRule="auto"/>
              <w:jc w:val="left"/>
              <w:rPr>
                <w:rFonts w:eastAsia="Times New Roman" w:cs="Times New Roman"/>
                <w:sz w:val="20"/>
                <w:szCs w:val="20"/>
              </w:rPr>
            </w:pPr>
            <w:r w:rsidRPr="009826A9">
              <w:rPr>
                <w:rFonts w:eastAsia="Times New Roman" w:cs="Times New Roman"/>
                <w:sz w:val="20"/>
                <w:szCs w:val="20"/>
              </w:rPr>
              <w:t>No</w:t>
            </w:r>
          </w:p>
        </w:tc>
      </w:tr>
      <w:tr w:rsidR="009826A9" w:rsidRPr="009826A9" w14:paraId="5FE6FDD0" w14:textId="77777777" w:rsidTr="009826A9">
        <w:trPr>
          <w:cantSplit/>
          <w:trHeight w:val="288"/>
          <w:jc w:val="center"/>
        </w:trPr>
        <w:tc>
          <w:tcPr>
            <w:tcW w:w="2268" w:type="pct"/>
            <w:vAlign w:val="center"/>
          </w:tcPr>
          <w:p w14:paraId="6ED06793" w14:textId="77777777" w:rsidR="009826A9" w:rsidRPr="009826A9" w:rsidRDefault="009826A9" w:rsidP="009826A9">
            <w:pPr>
              <w:tabs>
                <w:tab w:val="left" w:pos="-1890"/>
              </w:tabs>
              <w:spacing w:after="0" w:line="240" w:lineRule="auto"/>
              <w:jc w:val="left"/>
              <w:rPr>
                <w:rFonts w:eastAsia="Times New Roman" w:cs="Times New Roman"/>
                <w:color w:val="365F91"/>
                <w:sz w:val="20"/>
                <w:szCs w:val="20"/>
              </w:rPr>
            </w:pPr>
            <w:r w:rsidRPr="009826A9">
              <w:rPr>
                <w:rFonts w:eastAsia="Times New Roman" w:cs="Times New Roman"/>
                <w:color w:val="365F91"/>
                <w:sz w:val="20"/>
                <w:szCs w:val="20"/>
              </w:rPr>
              <w:t>Apparatus exhaust system</w:t>
            </w:r>
          </w:p>
        </w:tc>
        <w:tc>
          <w:tcPr>
            <w:tcW w:w="2732" w:type="pct"/>
            <w:vAlign w:val="center"/>
          </w:tcPr>
          <w:p w14:paraId="4C226E1C" w14:textId="77777777" w:rsidR="009826A9" w:rsidRPr="009826A9" w:rsidRDefault="009826A9" w:rsidP="009826A9">
            <w:pPr>
              <w:spacing w:after="0" w:line="240" w:lineRule="auto"/>
              <w:jc w:val="left"/>
              <w:rPr>
                <w:rFonts w:eastAsia="Times New Roman" w:cs="Times New Roman"/>
                <w:sz w:val="20"/>
                <w:szCs w:val="20"/>
              </w:rPr>
            </w:pPr>
            <w:r w:rsidRPr="009826A9">
              <w:rPr>
                <w:rFonts w:eastAsia="Times New Roman" w:cs="Times New Roman"/>
                <w:sz w:val="20"/>
                <w:szCs w:val="20"/>
              </w:rPr>
              <w:t>No</w:t>
            </w:r>
          </w:p>
        </w:tc>
      </w:tr>
    </w:tbl>
    <w:p w14:paraId="6DABD087" w14:textId="77777777" w:rsidR="009826A9" w:rsidRDefault="009826A9">
      <w:pPr>
        <w:spacing w:after="200"/>
        <w:jc w:val="left"/>
      </w:pPr>
    </w:p>
    <w:p w14:paraId="07E3B403" w14:textId="0E219FF6" w:rsidR="002B336E" w:rsidRDefault="002B336E" w:rsidP="002B336E">
      <w:pPr>
        <w:spacing w:after="0"/>
        <w:rPr>
          <w:b/>
          <w:i/>
          <w:color w:val="808080" w:themeColor="background1" w:themeShade="80"/>
          <w:sz w:val="24"/>
          <w:szCs w:val="24"/>
        </w:rPr>
      </w:pPr>
      <w:r w:rsidRPr="002B336E">
        <w:rPr>
          <w:b/>
          <w:i/>
          <w:color w:val="808080" w:themeColor="background1" w:themeShade="80"/>
          <w:sz w:val="24"/>
          <w:szCs w:val="24"/>
        </w:rPr>
        <w:t>Facilities Discussion</w:t>
      </w:r>
    </w:p>
    <w:p w14:paraId="1C98980B" w14:textId="77777777" w:rsidR="00254968" w:rsidRDefault="002B336E" w:rsidP="009E1320">
      <w:r>
        <w:t>The PFD facilities are collectively marginal at best</w:t>
      </w:r>
      <w:r w:rsidR="00254968">
        <w:t xml:space="preserve"> from a design and function standpoint</w:t>
      </w:r>
      <w:r>
        <w:t xml:space="preserve">.  </w:t>
      </w:r>
      <w:r w:rsidR="00254968">
        <w:t xml:space="preserve">The physical location of the stations from a service delivery standpoint is addressed in the </w:t>
      </w:r>
      <w:r w:rsidR="00254968" w:rsidRPr="00254968">
        <w:rPr>
          <w:i/>
        </w:rPr>
        <w:t>Service Delivery and Performance</w:t>
      </w:r>
      <w:r w:rsidR="00254968">
        <w:t xml:space="preserve"> section of this report.  </w:t>
      </w:r>
    </w:p>
    <w:p w14:paraId="5D6C6B5B" w14:textId="5F9C6489" w:rsidR="003F4233" w:rsidRDefault="002B336E" w:rsidP="009E1320">
      <w:r>
        <w:t xml:space="preserve">Station 81 </w:t>
      </w:r>
      <w:r w:rsidR="00254968">
        <w:t>is crowded as a result of combining the administrative offices with the fire station.  Station 82 that serves the air</w:t>
      </w:r>
      <w:r w:rsidR="0080425B">
        <w:t>port well</w:t>
      </w:r>
      <w:r w:rsidR="00254968">
        <w:t xml:space="preserve"> but not necessarily the surrounding portion of the city the airport sits within.  The airport itself acts as a barrier to the more populated areas that are physically closest to the station.  </w:t>
      </w:r>
      <w:r w:rsidR="002B6A9B">
        <w:t xml:space="preserve">The station </w:t>
      </w:r>
      <w:r w:rsidR="00E9523D">
        <w:t>i</w:t>
      </w:r>
      <w:r w:rsidR="002B6A9B">
        <w:t xml:space="preserve">s poorly designed, impeding rapid turnout for crews assigned there with a wall </w:t>
      </w:r>
      <w:r w:rsidR="00E9523D" w:rsidRPr="00E9523D">
        <w:t xml:space="preserve">separating </w:t>
      </w:r>
      <w:r w:rsidR="002B6A9B">
        <w:t>the apparatus bay</w:t>
      </w:r>
      <w:r w:rsidR="00E9523D">
        <w:t xml:space="preserve"> into two segments</w:t>
      </w:r>
      <w:r w:rsidR="002B6A9B">
        <w:t>.  Gaps in exterior walls may indicate building settling</w:t>
      </w:r>
      <w:r w:rsidR="00E9523D">
        <w:t xml:space="preserve"> or poor construction</w:t>
      </w:r>
      <w:r w:rsidR="002B6A9B">
        <w:t xml:space="preserve">.  </w:t>
      </w:r>
      <w:r w:rsidR="00254968">
        <w:t xml:space="preserve">Station 83 is a small station made more tolerable by the addition of the annex behind the station.  The annex located behind Station 83 is an inexpensive but functional facility that houses seasonal apparatus and equipment.  </w:t>
      </w:r>
    </w:p>
    <w:p w14:paraId="19E398C8" w14:textId="35E57BB6" w:rsidR="003F4233" w:rsidRDefault="00254968" w:rsidP="009E1320">
      <w:r>
        <w:t>Station 84 is an acquired facility from Franklin County Fire District #</w:t>
      </w:r>
      <w:r w:rsidR="0080425B">
        <w:t>3</w:t>
      </w:r>
      <w:r>
        <w:t xml:space="preserve"> and is wholly inadequate as an operational fire station.  The facility is small, is not designed to house a shift crew, nor is it adequate to house most modern fire apparatus.  </w:t>
      </w:r>
    </w:p>
    <w:p w14:paraId="030DB178" w14:textId="6F10A209" w:rsidR="003F4233" w:rsidRDefault="003F4233" w:rsidP="009E1320">
      <w:r>
        <w:t xml:space="preserve">None of the fire stations have washers and dryers for crews to launder bedding or uniforms, requiring crews to bring potentially biohazard-contaminated clothing home to launder.  There is only one training room amongst all of the stations, which may facilitate centralized training for the </w:t>
      </w:r>
      <w:r w:rsidR="0080425B">
        <w:t>Department</w:t>
      </w:r>
      <w:r>
        <w:t xml:space="preserve">, but does not accommodate individual crew training sessions, which is a more common need.  Stations that house crews are protected by a fire sprinkler system and smoke detectors.  </w:t>
      </w:r>
    </w:p>
    <w:tbl>
      <w:tblPr>
        <w:tblW w:w="0" w:type="auto"/>
        <w:tblLook w:val="00A0" w:firstRow="1" w:lastRow="0" w:firstColumn="1" w:lastColumn="0" w:noHBand="0" w:noVBand="0"/>
      </w:tblPr>
      <w:tblGrid>
        <w:gridCol w:w="9360"/>
      </w:tblGrid>
      <w:tr w:rsidR="003F4233" w:rsidRPr="00C1452A" w14:paraId="7A6F926D" w14:textId="77777777" w:rsidTr="00C4003A">
        <w:tc>
          <w:tcPr>
            <w:tcW w:w="9360" w:type="dxa"/>
            <w:shd w:val="clear" w:color="auto" w:fill="D9D9D9" w:themeFill="background1" w:themeFillShade="D9"/>
          </w:tcPr>
          <w:p w14:paraId="4BE1CF64" w14:textId="38E0C5AA" w:rsidR="003F4233" w:rsidRPr="006C16B9" w:rsidRDefault="003F4233" w:rsidP="00C4003A">
            <w:pPr>
              <w:keepNext/>
              <w:keepLines/>
              <w:spacing w:after="0" w:line="360" w:lineRule="auto"/>
              <w:rPr>
                <w:rFonts w:asciiTheme="majorHAnsi" w:eastAsia="Times New Roman" w:hAnsiTheme="majorHAnsi" w:cs="Calibri"/>
                <w:b/>
              </w:rPr>
            </w:pPr>
            <w:r w:rsidRPr="006C16B9">
              <w:rPr>
                <w:rFonts w:asciiTheme="majorHAnsi" w:eastAsia="Times New Roman" w:hAnsiTheme="majorHAnsi" w:cs="Calibri"/>
                <w:b/>
              </w:rPr>
              <w:t>Recommendation</w:t>
            </w:r>
            <w:r w:rsidR="006331CD">
              <w:rPr>
                <w:rFonts w:asciiTheme="majorHAnsi" w:eastAsia="Times New Roman" w:hAnsiTheme="majorHAnsi" w:cs="Calibri"/>
                <w:b/>
              </w:rPr>
              <w:t>s</w:t>
            </w:r>
            <w:r w:rsidRPr="006C16B9">
              <w:rPr>
                <w:rFonts w:asciiTheme="majorHAnsi" w:eastAsia="Times New Roman" w:hAnsiTheme="majorHAnsi" w:cs="Calibri"/>
                <w:b/>
              </w:rPr>
              <w:t>:</w:t>
            </w:r>
          </w:p>
          <w:p w14:paraId="6C652C9E" w14:textId="6F332D96" w:rsidR="00C56CE7" w:rsidRPr="00C56CE7" w:rsidRDefault="00C56CE7" w:rsidP="00C56CE7">
            <w:pPr>
              <w:spacing w:after="0" w:line="240" w:lineRule="auto"/>
              <w:ind w:left="360"/>
              <w:jc w:val="left"/>
              <w:rPr>
                <w:rFonts w:asciiTheme="majorHAnsi" w:hAnsiTheme="majorHAnsi" w:cs="Arial"/>
                <w:i/>
                <w:u w:val="single"/>
              </w:rPr>
            </w:pPr>
            <w:r w:rsidRPr="00C56CE7">
              <w:rPr>
                <w:rFonts w:asciiTheme="majorHAnsi" w:hAnsiTheme="majorHAnsi" w:cs="Arial"/>
                <w:i/>
                <w:u w:val="single"/>
              </w:rPr>
              <w:t>Station 81</w:t>
            </w:r>
          </w:p>
          <w:p w14:paraId="71D64307" w14:textId="05722ED6" w:rsidR="00C56CE7" w:rsidRPr="00C56CE7" w:rsidRDefault="003F4233" w:rsidP="007705AA">
            <w:pPr>
              <w:numPr>
                <w:ilvl w:val="0"/>
                <w:numId w:val="25"/>
              </w:numPr>
              <w:spacing w:after="0" w:line="240" w:lineRule="auto"/>
              <w:jc w:val="left"/>
              <w:rPr>
                <w:rFonts w:asciiTheme="majorHAnsi" w:hAnsiTheme="majorHAnsi" w:cs="Arial"/>
              </w:rPr>
            </w:pPr>
            <w:r>
              <w:rPr>
                <w:rFonts w:asciiTheme="majorHAnsi" w:hAnsiTheme="majorHAnsi" w:cs="Calibri"/>
              </w:rPr>
              <w:t xml:space="preserve">Relocate the administrative offices </w:t>
            </w:r>
            <w:r w:rsidR="00C56CE7">
              <w:rPr>
                <w:rFonts w:asciiTheme="majorHAnsi" w:hAnsiTheme="majorHAnsi" w:cs="Calibri"/>
              </w:rPr>
              <w:t>out of Station</w:t>
            </w:r>
            <w:r>
              <w:rPr>
                <w:rFonts w:asciiTheme="majorHAnsi" w:hAnsiTheme="majorHAnsi" w:cs="Calibri"/>
              </w:rPr>
              <w:t xml:space="preserve"> 81. </w:t>
            </w:r>
          </w:p>
          <w:p w14:paraId="7274D931" w14:textId="4E8B5605" w:rsidR="00C56CE7" w:rsidRPr="00C56CE7" w:rsidRDefault="003F4233" w:rsidP="007705AA">
            <w:pPr>
              <w:numPr>
                <w:ilvl w:val="1"/>
                <w:numId w:val="25"/>
              </w:numPr>
              <w:spacing w:after="0" w:line="240" w:lineRule="auto"/>
              <w:jc w:val="left"/>
              <w:rPr>
                <w:rFonts w:asciiTheme="majorHAnsi" w:hAnsiTheme="majorHAnsi" w:cs="Arial"/>
              </w:rPr>
            </w:pPr>
            <w:r w:rsidRPr="00911196">
              <w:rPr>
                <w:rFonts w:asciiTheme="majorHAnsi" w:hAnsiTheme="majorHAnsi" w:cs="Calibri"/>
              </w:rPr>
              <w:t xml:space="preserve">Consider </w:t>
            </w:r>
            <w:r w:rsidR="00C56CE7">
              <w:rPr>
                <w:rFonts w:asciiTheme="majorHAnsi" w:hAnsiTheme="majorHAnsi" w:cs="Calibri"/>
              </w:rPr>
              <w:t>collocating the administration with a new fire station designed to accommodate both a functioning fire station and the administrative offices.</w:t>
            </w:r>
          </w:p>
          <w:p w14:paraId="526FE18C" w14:textId="07B360C4" w:rsidR="00C56CE7" w:rsidRPr="00C56CE7" w:rsidRDefault="00C56CE7" w:rsidP="007705AA">
            <w:pPr>
              <w:numPr>
                <w:ilvl w:val="0"/>
                <w:numId w:val="25"/>
              </w:numPr>
              <w:spacing w:after="0" w:line="240" w:lineRule="auto"/>
              <w:jc w:val="left"/>
              <w:rPr>
                <w:rFonts w:asciiTheme="majorHAnsi" w:hAnsiTheme="majorHAnsi" w:cs="Arial"/>
              </w:rPr>
            </w:pPr>
            <w:r>
              <w:rPr>
                <w:rFonts w:asciiTheme="majorHAnsi" w:hAnsiTheme="majorHAnsi" w:cs="Calibri"/>
              </w:rPr>
              <w:t>Remodel S</w:t>
            </w:r>
            <w:r w:rsidRPr="00C56CE7">
              <w:rPr>
                <w:rFonts w:asciiTheme="majorHAnsi" w:hAnsiTheme="majorHAnsi" w:cs="Calibri"/>
              </w:rPr>
              <w:t>tation 81</w:t>
            </w:r>
            <w:r>
              <w:rPr>
                <w:rFonts w:asciiTheme="majorHAnsi" w:hAnsiTheme="majorHAnsi" w:cs="Calibri"/>
              </w:rPr>
              <w:t xml:space="preserve"> to convert the existing administrative offices into </w:t>
            </w:r>
            <w:r w:rsidR="001C4A9F">
              <w:rPr>
                <w:rFonts w:asciiTheme="majorHAnsi" w:hAnsiTheme="majorHAnsi" w:cs="Calibri"/>
              </w:rPr>
              <w:t>more living quarters</w:t>
            </w:r>
            <w:r>
              <w:rPr>
                <w:rFonts w:asciiTheme="majorHAnsi" w:hAnsiTheme="majorHAnsi" w:cs="Calibri"/>
              </w:rPr>
              <w:t>.</w:t>
            </w:r>
          </w:p>
          <w:p w14:paraId="30DE0532" w14:textId="60F0E7BE" w:rsidR="003F4233" w:rsidRDefault="003F4233" w:rsidP="00C56CE7">
            <w:pPr>
              <w:spacing w:after="0" w:line="240" w:lineRule="auto"/>
              <w:ind w:left="720"/>
              <w:jc w:val="left"/>
              <w:rPr>
                <w:rFonts w:asciiTheme="majorHAnsi" w:hAnsiTheme="majorHAnsi" w:cs="Arial"/>
              </w:rPr>
            </w:pPr>
          </w:p>
          <w:p w14:paraId="14F75E4F" w14:textId="1C1B5AC6" w:rsidR="00C56CE7" w:rsidRDefault="00C56CE7" w:rsidP="00C56CE7">
            <w:pPr>
              <w:spacing w:after="0" w:line="240" w:lineRule="auto"/>
              <w:ind w:left="360"/>
              <w:jc w:val="left"/>
              <w:rPr>
                <w:rFonts w:asciiTheme="majorHAnsi" w:hAnsiTheme="majorHAnsi" w:cs="Arial"/>
                <w:i/>
                <w:u w:val="single"/>
              </w:rPr>
            </w:pPr>
            <w:r w:rsidRPr="00C56CE7">
              <w:rPr>
                <w:rFonts w:asciiTheme="majorHAnsi" w:hAnsiTheme="majorHAnsi" w:cs="Arial"/>
                <w:i/>
                <w:u w:val="single"/>
              </w:rPr>
              <w:t>Station 82</w:t>
            </w:r>
          </w:p>
          <w:p w14:paraId="7BC378B3" w14:textId="6DF32294" w:rsidR="002B6A9B" w:rsidRDefault="002B6A9B" w:rsidP="007705AA">
            <w:pPr>
              <w:pStyle w:val="ListParagraph"/>
              <w:numPr>
                <w:ilvl w:val="0"/>
                <w:numId w:val="32"/>
              </w:numPr>
              <w:spacing w:after="0" w:line="240" w:lineRule="auto"/>
              <w:jc w:val="left"/>
              <w:rPr>
                <w:rFonts w:asciiTheme="majorHAnsi" w:hAnsiTheme="majorHAnsi" w:cs="Arial"/>
              </w:rPr>
            </w:pPr>
            <w:r>
              <w:rPr>
                <w:rFonts w:asciiTheme="majorHAnsi" w:hAnsiTheme="majorHAnsi" w:cs="Arial"/>
              </w:rPr>
              <w:t>Evaluate exterior wall cracks to determine potential settling issues.</w:t>
            </w:r>
          </w:p>
          <w:p w14:paraId="23827F47" w14:textId="780875B4" w:rsidR="002B6A9B" w:rsidRDefault="002B6A9B" w:rsidP="007705AA">
            <w:pPr>
              <w:pStyle w:val="ListParagraph"/>
              <w:numPr>
                <w:ilvl w:val="0"/>
                <w:numId w:val="32"/>
              </w:numPr>
              <w:spacing w:after="0" w:line="240" w:lineRule="auto"/>
              <w:jc w:val="left"/>
              <w:rPr>
                <w:rFonts w:asciiTheme="majorHAnsi" w:hAnsiTheme="majorHAnsi" w:cs="Arial"/>
              </w:rPr>
            </w:pPr>
            <w:r>
              <w:rPr>
                <w:rFonts w:asciiTheme="majorHAnsi" w:hAnsiTheme="majorHAnsi" w:cs="Arial"/>
              </w:rPr>
              <w:t>Interior dividing wall in apparatus bay impedes rapid turnout by crews.  Breaching this wall to facilitate rapid turnout should be explored.</w:t>
            </w:r>
          </w:p>
          <w:p w14:paraId="60760C3C" w14:textId="654AA5B2" w:rsidR="00C56CE7" w:rsidRDefault="00C56CE7" w:rsidP="007705AA">
            <w:pPr>
              <w:pStyle w:val="ListParagraph"/>
              <w:numPr>
                <w:ilvl w:val="0"/>
                <w:numId w:val="32"/>
              </w:numPr>
              <w:spacing w:after="0" w:line="240" w:lineRule="auto"/>
              <w:jc w:val="left"/>
              <w:rPr>
                <w:rFonts w:asciiTheme="majorHAnsi" w:hAnsiTheme="majorHAnsi" w:cs="Arial"/>
              </w:rPr>
            </w:pPr>
            <w:r>
              <w:rPr>
                <w:rFonts w:asciiTheme="majorHAnsi" w:hAnsiTheme="majorHAnsi" w:cs="Arial"/>
              </w:rPr>
              <w:t>Complete the installation of the a</w:t>
            </w:r>
            <w:r w:rsidRPr="00C56CE7">
              <w:rPr>
                <w:rFonts w:asciiTheme="majorHAnsi" w:hAnsiTheme="majorHAnsi" w:cs="Arial"/>
              </w:rPr>
              <w:t>pparatus exhaust system</w:t>
            </w:r>
            <w:r>
              <w:rPr>
                <w:rFonts w:asciiTheme="majorHAnsi" w:hAnsiTheme="majorHAnsi" w:cs="Arial"/>
              </w:rPr>
              <w:t xml:space="preserve"> slated for 2017.</w:t>
            </w:r>
          </w:p>
          <w:p w14:paraId="22A0D2C3" w14:textId="2884E47E" w:rsidR="00F47216" w:rsidRDefault="00F47216" w:rsidP="007705AA">
            <w:pPr>
              <w:pStyle w:val="ListParagraph"/>
              <w:numPr>
                <w:ilvl w:val="0"/>
                <w:numId w:val="32"/>
              </w:numPr>
              <w:spacing w:after="0" w:line="240" w:lineRule="auto"/>
              <w:jc w:val="left"/>
              <w:rPr>
                <w:rFonts w:asciiTheme="majorHAnsi" w:hAnsiTheme="majorHAnsi" w:cs="Arial"/>
              </w:rPr>
            </w:pPr>
            <w:r>
              <w:rPr>
                <w:rFonts w:asciiTheme="majorHAnsi" w:hAnsiTheme="majorHAnsi" w:cs="Arial"/>
              </w:rPr>
              <w:t>Focus on facility security as required by FAA regulations.</w:t>
            </w:r>
          </w:p>
          <w:p w14:paraId="49ED784D" w14:textId="77777777" w:rsidR="009C39AC" w:rsidRPr="009C39AC" w:rsidRDefault="009C39AC" w:rsidP="009C39AC">
            <w:pPr>
              <w:spacing w:after="0" w:line="240" w:lineRule="auto"/>
              <w:jc w:val="left"/>
              <w:rPr>
                <w:rFonts w:asciiTheme="majorHAnsi" w:hAnsiTheme="majorHAnsi" w:cs="Arial"/>
              </w:rPr>
            </w:pPr>
          </w:p>
          <w:p w14:paraId="3F23D9AA" w14:textId="440DBE04" w:rsidR="00C56CE7" w:rsidRPr="00C56CE7" w:rsidRDefault="00C56CE7" w:rsidP="00C56CE7">
            <w:pPr>
              <w:spacing w:after="0" w:line="240" w:lineRule="auto"/>
              <w:ind w:left="360"/>
              <w:jc w:val="left"/>
              <w:rPr>
                <w:rFonts w:asciiTheme="majorHAnsi" w:hAnsiTheme="majorHAnsi" w:cs="Arial"/>
                <w:i/>
                <w:u w:val="single"/>
              </w:rPr>
            </w:pPr>
            <w:r w:rsidRPr="00C56CE7">
              <w:rPr>
                <w:rFonts w:asciiTheme="majorHAnsi" w:hAnsiTheme="majorHAnsi" w:cs="Arial"/>
                <w:i/>
                <w:u w:val="single"/>
              </w:rPr>
              <w:t>Station 83</w:t>
            </w:r>
          </w:p>
          <w:p w14:paraId="31492E0D" w14:textId="4F7C5759" w:rsidR="003F4233" w:rsidRDefault="001C4A9F" w:rsidP="007705AA">
            <w:pPr>
              <w:pStyle w:val="ListParagraph"/>
              <w:numPr>
                <w:ilvl w:val="0"/>
                <w:numId w:val="33"/>
              </w:numPr>
              <w:spacing w:after="0" w:line="240" w:lineRule="auto"/>
              <w:jc w:val="left"/>
              <w:rPr>
                <w:rFonts w:asciiTheme="majorHAnsi" w:hAnsiTheme="majorHAnsi" w:cs="Arial"/>
              </w:rPr>
            </w:pPr>
            <w:r>
              <w:rPr>
                <w:rFonts w:asciiTheme="majorHAnsi" w:hAnsiTheme="majorHAnsi" w:cs="Arial"/>
              </w:rPr>
              <w:t>Relocate Station 83 with additional</w:t>
            </w:r>
            <w:r w:rsidR="007C0706">
              <w:rPr>
                <w:rFonts w:asciiTheme="majorHAnsi" w:hAnsiTheme="majorHAnsi" w:cs="Arial"/>
              </w:rPr>
              <w:t xml:space="preserve"> training room and additional living space.</w:t>
            </w:r>
          </w:p>
          <w:p w14:paraId="53F09261" w14:textId="77777777" w:rsidR="009C39AC" w:rsidRPr="009C39AC" w:rsidRDefault="009C39AC" w:rsidP="009C39AC">
            <w:pPr>
              <w:spacing w:after="0" w:line="240" w:lineRule="auto"/>
              <w:jc w:val="left"/>
              <w:rPr>
                <w:rFonts w:asciiTheme="majorHAnsi" w:hAnsiTheme="majorHAnsi" w:cs="Arial"/>
              </w:rPr>
            </w:pPr>
          </w:p>
          <w:p w14:paraId="5857647E" w14:textId="77777777" w:rsidR="007C0706" w:rsidRDefault="007C0706" w:rsidP="007C0706">
            <w:pPr>
              <w:spacing w:after="0" w:line="240" w:lineRule="auto"/>
              <w:ind w:left="360"/>
              <w:jc w:val="left"/>
              <w:rPr>
                <w:rFonts w:asciiTheme="majorHAnsi" w:hAnsiTheme="majorHAnsi" w:cs="Arial"/>
                <w:i/>
                <w:u w:val="single"/>
              </w:rPr>
            </w:pPr>
            <w:r w:rsidRPr="007C0706">
              <w:rPr>
                <w:rFonts w:asciiTheme="majorHAnsi" w:hAnsiTheme="majorHAnsi" w:cs="Arial"/>
                <w:i/>
                <w:u w:val="single"/>
              </w:rPr>
              <w:t>Station 84</w:t>
            </w:r>
          </w:p>
          <w:p w14:paraId="2549C92D" w14:textId="77777777" w:rsidR="007C0706" w:rsidRDefault="007C0706" w:rsidP="004035AD">
            <w:pPr>
              <w:pStyle w:val="ListParagraph"/>
              <w:numPr>
                <w:ilvl w:val="0"/>
                <w:numId w:val="60"/>
              </w:numPr>
              <w:spacing w:after="0" w:line="240" w:lineRule="auto"/>
              <w:jc w:val="left"/>
              <w:rPr>
                <w:rFonts w:asciiTheme="majorHAnsi" w:hAnsiTheme="majorHAnsi" w:cs="Arial"/>
              </w:rPr>
            </w:pPr>
            <w:r w:rsidRPr="004035AD">
              <w:rPr>
                <w:rFonts w:asciiTheme="majorHAnsi" w:hAnsiTheme="majorHAnsi" w:cs="Arial"/>
              </w:rPr>
              <w:t xml:space="preserve">Consider </w:t>
            </w:r>
            <w:r w:rsidR="00EA347A" w:rsidRPr="004035AD">
              <w:rPr>
                <w:rFonts w:asciiTheme="majorHAnsi" w:hAnsiTheme="majorHAnsi" w:cs="Arial"/>
              </w:rPr>
              <w:t>temporary use of this facility for deployment of a peak activity unit.</w:t>
            </w:r>
          </w:p>
          <w:p w14:paraId="507A2F26" w14:textId="4BDAE5D2" w:rsidR="004035AD" w:rsidRPr="004035AD" w:rsidRDefault="004035AD" w:rsidP="004035AD">
            <w:pPr>
              <w:pStyle w:val="ListParagraph"/>
              <w:numPr>
                <w:ilvl w:val="0"/>
                <w:numId w:val="60"/>
              </w:numPr>
              <w:spacing w:after="0" w:line="240" w:lineRule="auto"/>
              <w:jc w:val="left"/>
              <w:rPr>
                <w:rFonts w:asciiTheme="majorHAnsi" w:hAnsiTheme="majorHAnsi" w:cs="Arial"/>
              </w:rPr>
            </w:pPr>
            <w:r>
              <w:rPr>
                <w:rFonts w:asciiTheme="majorHAnsi" w:hAnsiTheme="majorHAnsi" w:cs="Arial"/>
              </w:rPr>
              <w:t xml:space="preserve">Relocate Station 84 as per recommendations in the </w:t>
            </w:r>
            <w:r w:rsidRPr="004035AD">
              <w:rPr>
                <w:rFonts w:asciiTheme="majorHAnsi" w:hAnsiTheme="majorHAnsi" w:cs="Arial"/>
                <w:i/>
              </w:rPr>
              <w:t>Service Delivery &amp; Performance</w:t>
            </w:r>
            <w:r>
              <w:rPr>
                <w:rFonts w:asciiTheme="majorHAnsi" w:hAnsiTheme="majorHAnsi" w:cs="Arial"/>
              </w:rPr>
              <w:t xml:space="preserve"> section of this report.</w:t>
            </w:r>
          </w:p>
        </w:tc>
      </w:tr>
    </w:tbl>
    <w:p w14:paraId="4174C2B8" w14:textId="77777777" w:rsidR="003F4233" w:rsidRPr="002B336E" w:rsidRDefault="003F4233" w:rsidP="009E1320"/>
    <w:p w14:paraId="76F3966C" w14:textId="34713F8D" w:rsidR="002B336E" w:rsidRDefault="002B336E" w:rsidP="002B336E">
      <w:pPr>
        <w:pStyle w:val="Heading3"/>
      </w:pPr>
      <w:bookmarkStart w:id="215" w:name="_Toc464323600"/>
      <w:r>
        <w:t>Apparatus</w:t>
      </w:r>
      <w:bookmarkEnd w:id="215"/>
    </w:p>
    <w:p w14:paraId="65C1E9BA" w14:textId="5ADFDA61" w:rsidR="009E1320" w:rsidRPr="009E1320" w:rsidRDefault="00AA10C3" w:rsidP="009E1320">
      <w:r w:rsidRPr="00AA10C3">
        <w:t xml:space="preserve">The </w:t>
      </w:r>
      <w:r>
        <w:t>Pasco Fire Department</w:t>
      </w:r>
      <w:r w:rsidRPr="00AA10C3">
        <w:t xml:space="preserve"> maintain</w:t>
      </w:r>
      <w:r>
        <w:t>s</w:t>
      </w:r>
      <w:r w:rsidRPr="00AA10C3">
        <w:t xml:space="preserve"> a</w:t>
      </w:r>
      <w:r>
        <w:t xml:space="preserve"> high quality</w:t>
      </w:r>
      <w:r w:rsidRPr="00AA10C3">
        <w:t xml:space="preserve"> fleet of response vehicles that are generally newer and clearly well maintained. The overall condition of the fleet was found to be generally good to excellent. This is partly due to the </w:t>
      </w:r>
      <w:r w:rsidR="004C5B43">
        <w:t xml:space="preserve">fleet </w:t>
      </w:r>
      <w:r w:rsidRPr="00AA10C3">
        <w:t xml:space="preserve">maintenance </w:t>
      </w:r>
      <w:r w:rsidR="004C5B43">
        <w:t>d</w:t>
      </w:r>
      <w:r w:rsidR="007C0706">
        <w:t xml:space="preserve">ivision of the Public Works Department </w:t>
      </w:r>
      <w:r>
        <w:t xml:space="preserve">for the </w:t>
      </w:r>
      <w:r w:rsidR="0080425B">
        <w:t xml:space="preserve">City </w:t>
      </w:r>
      <w:r>
        <w:t>of Pasco</w:t>
      </w:r>
      <w:r w:rsidR="007C0706">
        <w:t xml:space="preserve">.  If </w:t>
      </w:r>
      <w:r w:rsidR="004035AD">
        <w:t xml:space="preserve">heavy </w:t>
      </w:r>
      <w:r w:rsidR="007C0706">
        <w:t>work is required to be performed on the pump</w:t>
      </w:r>
      <w:r w:rsidRPr="00AA10C3">
        <w:t xml:space="preserve">, </w:t>
      </w:r>
      <w:r w:rsidR="007C0706">
        <w:t xml:space="preserve">tank, or other elements of the suppression function of the unit, repairs are </w:t>
      </w:r>
      <w:r w:rsidR="004035AD">
        <w:t xml:space="preserve">contracted to a commercial fire apparatus repair facility </w:t>
      </w:r>
      <w:r w:rsidR="007C0706">
        <w:t xml:space="preserve">in Spokane by </w:t>
      </w:r>
      <w:r w:rsidRPr="00AA10C3">
        <w:t>certified Emergency Vehicle Technician</w:t>
      </w:r>
      <w:r>
        <w:t>s</w:t>
      </w:r>
      <w:r w:rsidRPr="00AA10C3">
        <w:t xml:space="preserve"> (EVT</w:t>
      </w:r>
      <w:r>
        <w:t>s</w:t>
      </w:r>
      <w:r w:rsidRPr="00AA10C3">
        <w:t xml:space="preserve">). </w:t>
      </w:r>
      <w:r>
        <w:t xml:space="preserve"> </w:t>
      </w:r>
      <w:r w:rsidR="007C0706">
        <w:t xml:space="preserve">The high quality of the fleet is </w:t>
      </w:r>
      <w:r>
        <w:t xml:space="preserve">also significantly due to the apparatus replacement schedule the </w:t>
      </w:r>
      <w:r w:rsidR="0080425B">
        <w:t xml:space="preserve">City </w:t>
      </w:r>
      <w:r>
        <w:t xml:space="preserve">maintains </w:t>
      </w:r>
      <w:r w:rsidR="007C0706">
        <w:t>for</w:t>
      </w:r>
      <w:r>
        <w:t xml:space="preserve"> all of its apparatus.  The </w:t>
      </w:r>
      <w:r w:rsidR="0080425B">
        <w:t xml:space="preserve">City </w:t>
      </w:r>
      <w:r>
        <w:t xml:space="preserve">maintains a </w:t>
      </w:r>
      <w:r w:rsidR="0080425B">
        <w:t>15-</w:t>
      </w:r>
      <w:r>
        <w:t xml:space="preserve">year replacement schedule for all of the fire apparatus, which has funding allocated </w:t>
      </w:r>
      <w:r w:rsidRPr="00AA10C3">
        <w:t xml:space="preserve">annually from </w:t>
      </w:r>
      <w:r w:rsidR="006F0630">
        <w:t xml:space="preserve">the </w:t>
      </w:r>
      <w:r w:rsidR="0080425B" w:rsidRPr="00AA10C3">
        <w:t>General Fund</w:t>
      </w:r>
      <w:r w:rsidRPr="00AA10C3">
        <w:t xml:space="preserve"> or ambulance utility</w:t>
      </w:r>
      <w:r w:rsidR="0080425B">
        <w:t xml:space="preserve"> fund</w:t>
      </w:r>
      <w:r>
        <w:t xml:space="preserve">. </w:t>
      </w:r>
      <w:r w:rsidRPr="00AA10C3">
        <w:t xml:space="preserve"> An inventory of fire apparatus, configuration</w:t>
      </w:r>
      <w:r w:rsidR="0080425B">
        <w:t>,</w:t>
      </w:r>
      <w:r w:rsidRPr="00AA10C3">
        <w:t xml:space="preserve"> and condition </w:t>
      </w:r>
      <w:r>
        <w:t xml:space="preserve">for each station </w:t>
      </w:r>
      <w:r w:rsidRPr="00AA10C3">
        <w:t>is provided in the following figure.</w:t>
      </w:r>
    </w:p>
    <w:p w14:paraId="38CDF39D" w14:textId="6A4D90DD" w:rsidR="009E1320" w:rsidRDefault="009E1320" w:rsidP="009F6573">
      <w:pPr>
        <w:pStyle w:val="Caption"/>
        <w:rPr>
          <w:rFonts w:eastAsia="Times New Roman"/>
          <w:i/>
          <w:iCs/>
          <w:szCs w:val="24"/>
        </w:rPr>
      </w:pPr>
      <w:bookmarkStart w:id="216" w:name="_Toc464323696"/>
      <w:r>
        <w:t xml:space="preserve">Figure </w:t>
      </w:r>
      <w:r w:rsidR="00432AD4">
        <w:fldChar w:fldCharType="begin"/>
      </w:r>
      <w:r w:rsidR="00432AD4">
        <w:instrText xml:space="preserve"> SEQ Figure \* ARABIC </w:instrText>
      </w:r>
      <w:r w:rsidR="00432AD4">
        <w:fldChar w:fldCharType="separate"/>
      </w:r>
      <w:r w:rsidR="008209A2">
        <w:rPr>
          <w:noProof/>
        </w:rPr>
        <w:t>54</w:t>
      </w:r>
      <w:r w:rsidR="00432AD4">
        <w:rPr>
          <w:noProof/>
        </w:rPr>
        <w:fldChar w:fldCharType="end"/>
      </w:r>
      <w:r>
        <w:t>: Apparatus Inventory and Condition</w:t>
      </w:r>
      <w:bookmarkEnd w:id="216"/>
    </w:p>
    <w:tbl>
      <w:tblPr>
        <w:tblW w:w="9623" w:type="dxa"/>
        <w:tblInd w:w="92" w:type="dxa"/>
        <w:tblLayout w:type="fixed"/>
        <w:tblLook w:val="0000" w:firstRow="0" w:lastRow="0" w:firstColumn="0" w:lastColumn="0" w:noHBand="0" w:noVBand="0"/>
      </w:tblPr>
      <w:tblGrid>
        <w:gridCol w:w="1670"/>
        <w:gridCol w:w="53"/>
        <w:gridCol w:w="1430"/>
        <w:gridCol w:w="10"/>
        <w:gridCol w:w="699"/>
        <w:gridCol w:w="21"/>
        <w:gridCol w:w="1671"/>
        <w:gridCol w:w="15"/>
        <w:gridCol w:w="1084"/>
        <w:gridCol w:w="43"/>
        <w:gridCol w:w="17"/>
        <w:gridCol w:w="840"/>
        <w:gridCol w:w="90"/>
        <w:gridCol w:w="990"/>
        <w:gridCol w:w="990"/>
      </w:tblGrid>
      <w:tr w:rsidR="009E1320" w:rsidRPr="009E1320" w14:paraId="3F54ACC1" w14:textId="77777777" w:rsidTr="009E1320">
        <w:trPr>
          <w:trHeight w:val="491"/>
        </w:trPr>
        <w:tc>
          <w:tcPr>
            <w:tcW w:w="9623" w:type="dxa"/>
            <w:gridSpan w:val="15"/>
            <w:tcBorders>
              <w:top w:val="single" w:sz="4" w:space="0" w:color="auto"/>
              <w:left w:val="single" w:sz="4" w:space="0" w:color="auto"/>
              <w:bottom w:val="single" w:sz="4" w:space="0" w:color="auto"/>
              <w:right w:val="single" w:sz="4" w:space="0" w:color="auto"/>
            </w:tcBorders>
            <w:shd w:val="clear" w:color="auto" w:fill="365F91"/>
            <w:noWrap/>
            <w:vAlign w:val="center"/>
          </w:tcPr>
          <w:p w14:paraId="6DB7CD87" w14:textId="0C8583FE" w:rsidR="009E1320" w:rsidRPr="009E1320" w:rsidRDefault="009E1320" w:rsidP="009E1320">
            <w:pPr>
              <w:spacing w:after="0" w:line="240" w:lineRule="auto"/>
              <w:jc w:val="center"/>
              <w:rPr>
                <w:rFonts w:eastAsia="Times New Roman" w:cs="Arial"/>
                <w:b/>
                <w:color w:val="FFFFFF"/>
                <w:sz w:val="20"/>
                <w:szCs w:val="20"/>
                <w:lang w:eastAsia="en-US"/>
              </w:rPr>
            </w:pPr>
            <w:r>
              <w:rPr>
                <w:rFonts w:eastAsia="Times New Roman" w:cs="Arial"/>
                <w:b/>
                <w:color w:val="FFFFFF"/>
                <w:sz w:val="20"/>
                <w:szCs w:val="20"/>
                <w:lang w:eastAsia="en-US"/>
              </w:rPr>
              <w:t>Station 81 Apparatus</w:t>
            </w:r>
          </w:p>
        </w:tc>
      </w:tr>
      <w:tr w:rsidR="009E1320" w:rsidRPr="009E1320" w14:paraId="6FAF8E02" w14:textId="77777777" w:rsidTr="009E1320">
        <w:trPr>
          <w:trHeight w:val="491"/>
        </w:trPr>
        <w:tc>
          <w:tcPr>
            <w:tcW w:w="1724" w:type="dxa"/>
            <w:gridSpan w:val="2"/>
            <w:tcBorders>
              <w:top w:val="single" w:sz="4" w:space="0" w:color="auto"/>
              <w:left w:val="single" w:sz="4" w:space="0" w:color="auto"/>
              <w:bottom w:val="single" w:sz="4" w:space="0" w:color="auto"/>
              <w:right w:val="single" w:sz="4" w:space="0" w:color="auto"/>
            </w:tcBorders>
            <w:shd w:val="clear" w:color="auto" w:fill="365F91"/>
            <w:noWrap/>
            <w:vAlign w:val="center"/>
          </w:tcPr>
          <w:p w14:paraId="0A8D6734" w14:textId="77777777" w:rsidR="009E1320" w:rsidRPr="009E1320" w:rsidRDefault="009E1320" w:rsidP="009E1320">
            <w:pPr>
              <w:spacing w:after="0" w:line="240" w:lineRule="auto"/>
              <w:jc w:val="center"/>
              <w:rPr>
                <w:rFonts w:eastAsia="Times New Roman" w:cs="Arial"/>
                <w:b/>
                <w:color w:val="FFFFFF"/>
                <w:sz w:val="20"/>
                <w:szCs w:val="20"/>
                <w:lang w:eastAsia="en-US"/>
              </w:rPr>
            </w:pPr>
            <w:r w:rsidRPr="009E1320">
              <w:rPr>
                <w:rFonts w:eastAsia="Times New Roman" w:cs="Arial"/>
                <w:b/>
                <w:color w:val="FFFFFF"/>
                <w:sz w:val="20"/>
                <w:szCs w:val="20"/>
                <w:lang w:eastAsia="en-US"/>
              </w:rPr>
              <w:t>Apparatus Designation</w:t>
            </w:r>
          </w:p>
        </w:tc>
        <w:tc>
          <w:tcPr>
            <w:tcW w:w="1440" w:type="dxa"/>
            <w:gridSpan w:val="2"/>
            <w:tcBorders>
              <w:top w:val="single" w:sz="4" w:space="0" w:color="auto"/>
              <w:left w:val="nil"/>
              <w:bottom w:val="single" w:sz="4" w:space="0" w:color="auto"/>
              <w:right w:val="single" w:sz="4" w:space="0" w:color="auto"/>
            </w:tcBorders>
            <w:shd w:val="clear" w:color="auto" w:fill="365F91"/>
            <w:noWrap/>
            <w:vAlign w:val="center"/>
          </w:tcPr>
          <w:p w14:paraId="6DBCF31B" w14:textId="77777777" w:rsidR="009E1320" w:rsidRPr="009E1320" w:rsidRDefault="009E1320" w:rsidP="009E1320">
            <w:pPr>
              <w:spacing w:after="0" w:line="240" w:lineRule="auto"/>
              <w:jc w:val="center"/>
              <w:rPr>
                <w:rFonts w:eastAsia="Times New Roman" w:cs="Arial"/>
                <w:b/>
                <w:color w:val="FFFFFF"/>
                <w:sz w:val="20"/>
                <w:szCs w:val="20"/>
                <w:lang w:eastAsia="en-US"/>
              </w:rPr>
            </w:pPr>
            <w:r w:rsidRPr="009E1320">
              <w:rPr>
                <w:rFonts w:eastAsia="Times New Roman" w:cs="Arial"/>
                <w:b/>
                <w:color w:val="FFFFFF"/>
                <w:sz w:val="20"/>
                <w:szCs w:val="20"/>
                <w:lang w:eastAsia="en-US"/>
              </w:rPr>
              <w:t>Type</w:t>
            </w:r>
          </w:p>
        </w:tc>
        <w:tc>
          <w:tcPr>
            <w:tcW w:w="720" w:type="dxa"/>
            <w:gridSpan w:val="2"/>
            <w:tcBorders>
              <w:top w:val="single" w:sz="4" w:space="0" w:color="auto"/>
              <w:left w:val="nil"/>
              <w:bottom w:val="single" w:sz="4" w:space="0" w:color="auto"/>
              <w:right w:val="single" w:sz="4" w:space="0" w:color="auto"/>
            </w:tcBorders>
            <w:shd w:val="clear" w:color="auto" w:fill="365F91"/>
            <w:noWrap/>
            <w:vAlign w:val="center"/>
          </w:tcPr>
          <w:p w14:paraId="04C73C03" w14:textId="77777777" w:rsidR="009E1320" w:rsidRPr="009E1320" w:rsidRDefault="009E1320" w:rsidP="009E1320">
            <w:pPr>
              <w:spacing w:after="0" w:line="240" w:lineRule="auto"/>
              <w:jc w:val="center"/>
              <w:rPr>
                <w:rFonts w:eastAsia="Times New Roman" w:cs="Arial"/>
                <w:b/>
                <w:color w:val="FFFFFF"/>
                <w:sz w:val="20"/>
                <w:szCs w:val="20"/>
                <w:lang w:eastAsia="en-US"/>
              </w:rPr>
            </w:pPr>
            <w:r w:rsidRPr="009E1320">
              <w:rPr>
                <w:rFonts w:eastAsia="Times New Roman" w:cs="Arial"/>
                <w:b/>
                <w:color w:val="FFFFFF"/>
                <w:sz w:val="20"/>
                <w:szCs w:val="20"/>
                <w:lang w:eastAsia="en-US"/>
              </w:rPr>
              <w:t>Year</w:t>
            </w:r>
          </w:p>
        </w:tc>
        <w:tc>
          <w:tcPr>
            <w:tcW w:w="1685" w:type="dxa"/>
            <w:gridSpan w:val="2"/>
            <w:tcBorders>
              <w:top w:val="single" w:sz="4" w:space="0" w:color="auto"/>
              <w:left w:val="nil"/>
              <w:bottom w:val="single" w:sz="4" w:space="0" w:color="auto"/>
              <w:right w:val="single" w:sz="4" w:space="0" w:color="auto"/>
            </w:tcBorders>
            <w:shd w:val="clear" w:color="auto" w:fill="365F91"/>
            <w:noWrap/>
            <w:vAlign w:val="center"/>
          </w:tcPr>
          <w:p w14:paraId="6A55F376" w14:textId="77777777" w:rsidR="009E1320" w:rsidRPr="009E1320" w:rsidRDefault="009E1320" w:rsidP="009E1320">
            <w:pPr>
              <w:spacing w:after="0" w:line="240" w:lineRule="auto"/>
              <w:jc w:val="center"/>
              <w:rPr>
                <w:rFonts w:eastAsia="Times New Roman" w:cs="Arial"/>
                <w:b/>
                <w:color w:val="FFFFFF"/>
                <w:sz w:val="20"/>
                <w:szCs w:val="20"/>
                <w:lang w:eastAsia="en-US"/>
              </w:rPr>
            </w:pPr>
            <w:r w:rsidRPr="009E1320">
              <w:rPr>
                <w:rFonts w:eastAsia="Times New Roman" w:cs="Arial"/>
                <w:b/>
                <w:color w:val="FFFFFF"/>
                <w:sz w:val="20"/>
                <w:szCs w:val="20"/>
                <w:lang w:eastAsia="en-US"/>
              </w:rPr>
              <w:t>Make &amp; Model</w:t>
            </w:r>
          </w:p>
        </w:tc>
        <w:tc>
          <w:tcPr>
            <w:tcW w:w="1127" w:type="dxa"/>
            <w:gridSpan w:val="2"/>
            <w:tcBorders>
              <w:top w:val="single" w:sz="4" w:space="0" w:color="auto"/>
              <w:left w:val="nil"/>
              <w:bottom w:val="single" w:sz="4" w:space="0" w:color="auto"/>
              <w:right w:val="single" w:sz="4" w:space="0" w:color="auto"/>
            </w:tcBorders>
            <w:shd w:val="clear" w:color="auto" w:fill="365F91"/>
            <w:noWrap/>
            <w:vAlign w:val="center"/>
          </w:tcPr>
          <w:p w14:paraId="7E69F4CB" w14:textId="77777777" w:rsidR="009E1320" w:rsidRPr="009E1320" w:rsidRDefault="009E1320" w:rsidP="009E1320">
            <w:pPr>
              <w:spacing w:after="0" w:line="240" w:lineRule="auto"/>
              <w:jc w:val="center"/>
              <w:rPr>
                <w:rFonts w:eastAsia="Times New Roman" w:cs="Arial"/>
                <w:b/>
                <w:color w:val="FFFFFF"/>
                <w:sz w:val="20"/>
                <w:szCs w:val="20"/>
                <w:lang w:eastAsia="en-US"/>
              </w:rPr>
            </w:pPr>
            <w:r w:rsidRPr="009E1320">
              <w:rPr>
                <w:rFonts w:eastAsia="Times New Roman" w:cs="Arial"/>
                <w:b/>
                <w:color w:val="FFFFFF"/>
                <w:sz w:val="20"/>
                <w:szCs w:val="20"/>
                <w:lang w:eastAsia="en-US"/>
              </w:rPr>
              <w:t>Condition</w:t>
            </w:r>
          </w:p>
        </w:tc>
        <w:tc>
          <w:tcPr>
            <w:tcW w:w="857" w:type="dxa"/>
            <w:gridSpan w:val="2"/>
            <w:tcBorders>
              <w:top w:val="single" w:sz="4" w:space="0" w:color="auto"/>
              <w:left w:val="nil"/>
              <w:bottom w:val="single" w:sz="4" w:space="0" w:color="auto"/>
              <w:right w:val="single" w:sz="4" w:space="0" w:color="auto"/>
            </w:tcBorders>
            <w:shd w:val="clear" w:color="auto" w:fill="365F91"/>
            <w:vAlign w:val="center"/>
          </w:tcPr>
          <w:p w14:paraId="41E10469" w14:textId="77777777" w:rsidR="009E1320" w:rsidRPr="009E1320" w:rsidRDefault="009E1320" w:rsidP="009E1320">
            <w:pPr>
              <w:spacing w:after="0" w:line="240" w:lineRule="auto"/>
              <w:jc w:val="center"/>
              <w:rPr>
                <w:rFonts w:eastAsia="Times New Roman" w:cs="Arial"/>
                <w:b/>
                <w:color w:val="FFFFFF"/>
                <w:sz w:val="20"/>
                <w:szCs w:val="20"/>
                <w:lang w:eastAsia="en-US"/>
              </w:rPr>
            </w:pPr>
            <w:r w:rsidRPr="009E1320">
              <w:rPr>
                <w:rFonts w:eastAsia="Times New Roman" w:cs="Arial"/>
                <w:b/>
                <w:color w:val="FFFFFF"/>
                <w:sz w:val="20"/>
                <w:szCs w:val="20"/>
                <w:lang w:eastAsia="en-US"/>
              </w:rPr>
              <w:t>Min. Staffing</w:t>
            </w:r>
          </w:p>
        </w:tc>
        <w:tc>
          <w:tcPr>
            <w:tcW w:w="1080" w:type="dxa"/>
            <w:gridSpan w:val="2"/>
            <w:tcBorders>
              <w:top w:val="single" w:sz="4" w:space="0" w:color="auto"/>
              <w:left w:val="nil"/>
              <w:bottom w:val="single" w:sz="4" w:space="0" w:color="auto"/>
              <w:right w:val="single" w:sz="4" w:space="0" w:color="auto"/>
            </w:tcBorders>
            <w:shd w:val="clear" w:color="auto" w:fill="365F91"/>
            <w:vAlign w:val="center"/>
          </w:tcPr>
          <w:p w14:paraId="707302F0" w14:textId="77777777" w:rsidR="009E1320" w:rsidRPr="009E1320" w:rsidRDefault="009E1320" w:rsidP="009E1320">
            <w:pPr>
              <w:spacing w:after="0" w:line="240" w:lineRule="auto"/>
              <w:jc w:val="center"/>
              <w:rPr>
                <w:rFonts w:eastAsia="Times New Roman" w:cs="Arial"/>
                <w:b/>
                <w:color w:val="FFFFFF"/>
                <w:sz w:val="20"/>
                <w:szCs w:val="20"/>
                <w:lang w:eastAsia="en-US"/>
              </w:rPr>
            </w:pPr>
            <w:r w:rsidRPr="009E1320">
              <w:rPr>
                <w:rFonts w:eastAsia="Times New Roman" w:cs="Arial"/>
                <w:b/>
                <w:color w:val="FFFFFF"/>
                <w:sz w:val="20"/>
                <w:szCs w:val="20"/>
                <w:lang w:eastAsia="en-US"/>
              </w:rPr>
              <w:t>Pump Capacity</w:t>
            </w:r>
          </w:p>
        </w:tc>
        <w:tc>
          <w:tcPr>
            <w:tcW w:w="990" w:type="dxa"/>
            <w:tcBorders>
              <w:top w:val="single" w:sz="4" w:space="0" w:color="auto"/>
              <w:left w:val="nil"/>
              <w:bottom w:val="single" w:sz="4" w:space="0" w:color="auto"/>
              <w:right w:val="single" w:sz="4" w:space="0" w:color="auto"/>
            </w:tcBorders>
            <w:shd w:val="clear" w:color="auto" w:fill="365F91"/>
            <w:vAlign w:val="center"/>
          </w:tcPr>
          <w:p w14:paraId="0744A661" w14:textId="77777777" w:rsidR="009E1320" w:rsidRPr="009E1320" w:rsidRDefault="009E1320" w:rsidP="009E1320">
            <w:pPr>
              <w:spacing w:after="0" w:line="240" w:lineRule="auto"/>
              <w:jc w:val="center"/>
              <w:rPr>
                <w:rFonts w:eastAsia="Times New Roman" w:cs="Arial"/>
                <w:b/>
                <w:color w:val="FFFFFF"/>
                <w:sz w:val="20"/>
                <w:szCs w:val="20"/>
                <w:lang w:eastAsia="en-US"/>
              </w:rPr>
            </w:pPr>
            <w:r w:rsidRPr="009E1320">
              <w:rPr>
                <w:rFonts w:eastAsia="Times New Roman" w:cs="Arial"/>
                <w:b/>
                <w:color w:val="FFFFFF"/>
                <w:sz w:val="20"/>
                <w:szCs w:val="20"/>
                <w:lang w:eastAsia="en-US"/>
              </w:rPr>
              <w:t>Tank Capacity</w:t>
            </w:r>
          </w:p>
        </w:tc>
      </w:tr>
      <w:tr w:rsidR="009E1320" w:rsidRPr="009E1320" w14:paraId="6F3536CB" w14:textId="77777777" w:rsidTr="009E1320">
        <w:trPr>
          <w:trHeight w:val="245"/>
        </w:trPr>
        <w:tc>
          <w:tcPr>
            <w:tcW w:w="1724" w:type="dxa"/>
            <w:gridSpan w:val="2"/>
            <w:tcBorders>
              <w:top w:val="nil"/>
              <w:left w:val="single" w:sz="4" w:space="0" w:color="auto"/>
              <w:bottom w:val="single" w:sz="4" w:space="0" w:color="auto"/>
              <w:right w:val="single" w:sz="4" w:space="0" w:color="auto"/>
            </w:tcBorders>
            <w:shd w:val="clear" w:color="auto" w:fill="auto"/>
            <w:noWrap/>
          </w:tcPr>
          <w:p w14:paraId="3CE7DA76" w14:textId="77777777" w:rsidR="009E1320" w:rsidRPr="009E1320" w:rsidRDefault="009E1320" w:rsidP="009E1320">
            <w:pPr>
              <w:spacing w:after="0" w:line="240" w:lineRule="auto"/>
              <w:jc w:val="left"/>
              <w:rPr>
                <w:rFonts w:eastAsia="Times New Roman" w:cs="Aharoni"/>
                <w:sz w:val="20"/>
                <w:szCs w:val="20"/>
                <w:lang w:eastAsia="en-US"/>
              </w:rPr>
            </w:pPr>
            <w:r w:rsidRPr="009E1320">
              <w:rPr>
                <w:rFonts w:eastAsia="Times New Roman" w:cs="Aharoni"/>
                <w:sz w:val="20"/>
                <w:szCs w:val="20"/>
                <w:lang w:eastAsia="en-US"/>
              </w:rPr>
              <w:t>E2811/#3137</w:t>
            </w:r>
          </w:p>
        </w:tc>
        <w:tc>
          <w:tcPr>
            <w:tcW w:w="1440" w:type="dxa"/>
            <w:gridSpan w:val="2"/>
            <w:tcBorders>
              <w:top w:val="nil"/>
              <w:left w:val="nil"/>
              <w:bottom w:val="single" w:sz="4" w:space="0" w:color="auto"/>
              <w:right w:val="single" w:sz="4" w:space="0" w:color="auto"/>
            </w:tcBorders>
            <w:shd w:val="clear" w:color="auto" w:fill="auto"/>
            <w:noWrap/>
          </w:tcPr>
          <w:p w14:paraId="25B4C4E6" w14:textId="77777777" w:rsidR="009E1320" w:rsidRPr="009E1320" w:rsidRDefault="009E1320" w:rsidP="009E1320">
            <w:pPr>
              <w:spacing w:after="0" w:line="240" w:lineRule="auto"/>
              <w:jc w:val="center"/>
              <w:rPr>
                <w:rFonts w:eastAsia="Times New Roman" w:cs="Aharoni"/>
                <w:sz w:val="20"/>
                <w:szCs w:val="20"/>
                <w:lang w:eastAsia="en-US"/>
              </w:rPr>
            </w:pPr>
            <w:r w:rsidRPr="009E1320">
              <w:rPr>
                <w:rFonts w:eastAsia="Times New Roman" w:cs="Aharoni"/>
                <w:sz w:val="20"/>
                <w:szCs w:val="20"/>
                <w:lang w:eastAsia="en-US"/>
              </w:rPr>
              <w:t>Engine T1</w:t>
            </w:r>
          </w:p>
        </w:tc>
        <w:tc>
          <w:tcPr>
            <w:tcW w:w="720" w:type="dxa"/>
            <w:gridSpan w:val="2"/>
            <w:tcBorders>
              <w:top w:val="nil"/>
              <w:left w:val="nil"/>
              <w:bottom w:val="single" w:sz="4" w:space="0" w:color="auto"/>
              <w:right w:val="single" w:sz="4" w:space="0" w:color="auto"/>
            </w:tcBorders>
            <w:shd w:val="clear" w:color="auto" w:fill="auto"/>
            <w:noWrap/>
          </w:tcPr>
          <w:p w14:paraId="22F271D7" w14:textId="77777777" w:rsidR="009E1320" w:rsidRPr="009E1320" w:rsidRDefault="009E1320" w:rsidP="009E1320">
            <w:pPr>
              <w:spacing w:after="0" w:line="240" w:lineRule="auto"/>
              <w:jc w:val="center"/>
              <w:rPr>
                <w:rFonts w:eastAsia="Times New Roman" w:cs="Aharoni"/>
                <w:sz w:val="20"/>
                <w:szCs w:val="20"/>
                <w:lang w:eastAsia="en-US"/>
              </w:rPr>
            </w:pPr>
            <w:r w:rsidRPr="009E1320">
              <w:rPr>
                <w:rFonts w:eastAsia="Times New Roman" w:cs="Aharoni"/>
                <w:sz w:val="20"/>
                <w:szCs w:val="20"/>
                <w:lang w:eastAsia="en-US"/>
              </w:rPr>
              <w:t>2014</w:t>
            </w:r>
          </w:p>
        </w:tc>
        <w:tc>
          <w:tcPr>
            <w:tcW w:w="1685" w:type="dxa"/>
            <w:gridSpan w:val="2"/>
            <w:tcBorders>
              <w:top w:val="nil"/>
              <w:left w:val="nil"/>
              <w:bottom w:val="single" w:sz="4" w:space="0" w:color="auto"/>
              <w:right w:val="single" w:sz="4" w:space="0" w:color="auto"/>
            </w:tcBorders>
            <w:shd w:val="clear" w:color="auto" w:fill="auto"/>
            <w:noWrap/>
          </w:tcPr>
          <w:p w14:paraId="4A06071E" w14:textId="77777777" w:rsidR="009E1320" w:rsidRPr="009E1320" w:rsidRDefault="009E1320" w:rsidP="009E1320">
            <w:pPr>
              <w:spacing w:after="0" w:line="240" w:lineRule="auto"/>
              <w:jc w:val="center"/>
              <w:rPr>
                <w:rFonts w:eastAsia="Times New Roman" w:cs="Aharoni"/>
                <w:sz w:val="20"/>
                <w:szCs w:val="20"/>
                <w:lang w:eastAsia="en-US"/>
              </w:rPr>
            </w:pPr>
            <w:r w:rsidRPr="009E1320">
              <w:rPr>
                <w:rFonts w:eastAsia="Times New Roman" w:cs="Aharoni"/>
                <w:sz w:val="20"/>
                <w:szCs w:val="20"/>
                <w:lang w:eastAsia="en-US"/>
              </w:rPr>
              <w:t>Rosenbauer</w:t>
            </w:r>
          </w:p>
        </w:tc>
        <w:tc>
          <w:tcPr>
            <w:tcW w:w="1127" w:type="dxa"/>
            <w:gridSpan w:val="2"/>
            <w:tcBorders>
              <w:top w:val="nil"/>
              <w:left w:val="nil"/>
              <w:bottom w:val="single" w:sz="4" w:space="0" w:color="auto"/>
              <w:right w:val="single" w:sz="4" w:space="0" w:color="auto"/>
            </w:tcBorders>
            <w:shd w:val="clear" w:color="auto" w:fill="auto"/>
            <w:noWrap/>
          </w:tcPr>
          <w:p w14:paraId="644BE4B6" w14:textId="77777777" w:rsidR="009E1320" w:rsidRPr="009E1320" w:rsidRDefault="009E1320" w:rsidP="009E1320">
            <w:pPr>
              <w:spacing w:after="0" w:line="240" w:lineRule="auto"/>
              <w:jc w:val="center"/>
              <w:rPr>
                <w:rFonts w:eastAsia="Times New Roman" w:cs="Aharoni"/>
                <w:sz w:val="20"/>
                <w:szCs w:val="20"/>
                <w:lang w:eastAsia="en-US"/>
              </w:rPr>
            </w:pPr>
            <w:r w:rsidRPr="009E1320">
              <w:rPr>
                <w:rFonts w:eastAsia="Times New Roman" w:cs="Aharoni"/>
                <w:sz w:val="20"/>
                <w:szCs w:val="20"/>
                <w:lang w:eastAsia="en-US"/>
              </w:rPr>
              <w:t>New</w:t>
            </w:r>
          </w:p>
        </w:tc>
        <w:tc>
          <w:tcPr>
            <w:tcW w:w="857" w:type="dxa"/>
            <w:gridSpan w:val="2"/>
            <w:tcBorders>
              <w:top w:val="nil"/>
              <w:left w:val="nil"/>
              <w:bottom w:val="single" w:sz="4" w:space="0" w:color="auto"/>
              <w:right w:val="single" w:sz="4" w:space="0" w:color="auto"/>
            </w:tcBorders>
            <w:shd w:val="clear" w:color="auto" w:fill="auto"/>
            <w:noWrap/>
          </w:tcPr>
          <w:p w14:paraId="4E91F9A6" w14:textId="77777777" w:rsidR="009E1320" w:rsidRPr="009E1320" w:rsidRDefault="009E1320" w:rsidP="009E1320">
            <w:pPr>
              <w:spacing w:after="0" w:line="240" w:lineRule="auto"/>
              <w:jc w:val="center"/>
              <w:rPr>
                <w:rFonts w:eastAsia="Times New Roman" w:cs="Aharoni"/>
                <w:sz w:val="20"/>
                <w:szCs w:val="20"/>
                <w:lang w:eastAsia="en-US"/>
              </w:rPr>
            </w:pPr>
            <w:r w:rsidRPr="009E1320">
              <w:rPr>
                <w:rFonts w:eastAsia="Times New Roman" w:cs="Aharoni"/>
                <w:sz w:val="20"/>
                <w:szCs w:val="20"/>
                <w:lang w:eastAsia="en-US"/>
              </w:rPr>
              <w:t>2</w:t>
            </w:r>
          </w:p>
        </w:tc>
        <w:tc>
          <w:tcPr>
            <w:tcW w:w="1080" w:type="dxa"/>
            <w:gridSpan w:val="2"/>
            <w:tcBorders>
              <w:top w:val="nil"/>
              <w:left w:val="nil"/>
              <w:bottom w:val="single" w:sz="4" w:space="0" w:color="auto"/>
              <w:right w:val="single" w:sz="4" w:space="0" w:color="auto"/>
            </w:tcBorders>
            <w:shd w:val="clear" w:color="auto" w:fill="auto"/>
          </w:tcPr>
          <w:p w14:paraId="512345D9" w14:textId="60EF010C" w:rsidR="009E1320" w:rsidRPr="009E1320" w:rsidRDefault="009E1320" w:rsidP="009E1320">
            <w:pPr>
              <w:spacing w:after="0" w:line="240" w:lineRule="auto"/>
              <w:jc w:val="center"/>
              <w:rPr>
                <w:rFonts w:eastAsia="Times New Roman" w:cs="Aharoni"/>
                <w:sz w:val="20"/>
                <w:szCs w:val="20"/>
                <w:lang w:eastAsia="en-US"/>
              </w:rPr>
            </w:pPr>
            <w:r w:rsidRPr="009E1320">
              <w:rPr>
                <w:rFonts w:eastAsia="Times New Roman" w:cs="Aharoni"/>
                <w:sz w:val="20"/>
                <w:szCs w:val="20"/>
                <w:lang w:eastAsia="en-US"/>
              </w:rPr>
              <w:t>1</w:t>
            </w:r>
            <w:r w:rsidR="0080425B">
              <w:rPr>
                <w:rFonts w:eastAsia="Times New Roman" w:cs="Aharoni"/>
                <w:sz w:val="20"/>
                <w:szCs w:val="20"/>
                <w:lang w:eastAsia="en-US"/>
              </w:rPr>
              <w:t>,</w:t>
            </w:r>
            <w:r w:rsidRPr="009E1320">
              <w:rPr>
                <w:rFonts w:eastAsia="Times New Roman" w:cs="Aharoni"/>
                <w:sz w:val="20"/>
                <w:szCs w:val="20"/>
                <w:lang w:eastAsia="en-US"/>
              </w:rPr>
              <w:t>500</w:t>
            </w:r>
          </w:p>
        </w:tc>
        <w:tc>
          <w:tcPr>
            <w:tcW w:w="990" w:type="dxa"/>
            <w:tcBorders>
              <w:top w:val="nil"/>
              <w:left w:val="nil"/>
              <w:bottom w:val="single" w:sz="4" w:space="0" w:color="auto"/>
              <w:right w:val="single" w:sz="4" w:space="0" w:color="auto"/>
            </w:tcBorders>
            <w:shd w:val="clear" w:color="auto" w:fill="auto"/>
          </w:tcPr>
          <w:p w14:paraId="513B68ED" w14:textId="77777777" w:rsidR="009E1320" w:rsidRPr="009E1320" w:rsidRDefault="009E1320" w:rsidP="009E1320">
            <w:pPr>
              <w:spacing w:after="0" w:line="240" w:lineRule="auto"/>
              <w:jc w:val="center"/>
              <w:rPr>
                <w:rFonts w:eastAsia="Times New Roman" w:cs="Aharoni"/>
                <w:sz w:val="20"/>
                <w:szCs w:val="20"/>
                <w:lang w:eastAsia="en-US"/>
              </w:rPr>
            </w:pPr>
            <w:r w:rsidRPr="009E1320">
              <w:rPr>
                <w:rFonts w:eastAsia="Times New Roman" w:cs="Aharoni"/>
                <w:sz w:val="20"/>
                <w:szCs w:val="20"/>
                <w:lang w:eastAsia="en-US"/>
              </w:rPr>
              <w:t>750</w:t>
            </w:r>
          </w:p>
        </w:tc>
      </w:tr>
      <w:tr w:rsidR="009E1320" w:rsidRPr="009E1320" w14:paraId="64C79645" w14:textId="77777777" w:rsidTr="009E1320">
        <w:trPr>
          <w:trHeight w:val="245"/>
        </w:trPr>
        <w:tc>
          <w:tcPr>
            <w:tcW w:w="1724" w:type="dxa"/>
            <w:gridSpan w:val="2"/>
            <w:tcBorders>
              <w:top w:val="nil"/>
              <w:left w:val="single" w:sz="4" w:space="0" w:color="auto"/>
              <w:bottom w:val="single" w:sz="4" w:space="0" w:color="auto"/>
              <w:right w:val="single" w:sz="4" w:space="0" w:color="auto"/>
            </w:tcBorders>
            <w:shd w:val="clear" w:color="auto" w:fill="auto"/>
            <w:noWrap/>
          </w:tcPr>
          <w:p w14:paraId="6783FCC2" w14:textId="77777777" w:rsidR="009E1320" w:rsidRPr="009E1320" w:rsidRDefault="009E1320" w:rsidP="009E1320">
            <w:pPr>
              <w:spacing w:after="0" w:line="240" w:lineRule="auto"/>
              <w:jc w:val="left"/>
              <w:rPr>
                <w:rFonts w:eastAsia="Times New Roman" w:cs="Arial"/>
                <w:sz w:val="20"/>
                <w:szCs w:val="20"/>
                <w:lang w:eastAsia="en-US"/>
              </w:rPr>
            </w:pPr>
            <w:r w:rsidRPr="009E1320">
              <w:rPr>
                <w:rFonts w:eastAsia="Times New Roman" w:cs="Arial"/>
                <w:sz w:val="20"/>
                <w:szCs w:val="20"/>
                <w:lang w:eastAsia="en-US"/>
              </w:rPr>
              <w:t>E2861/#3119</w:t>
            </w:r>
          </w:p>
        </w:tc>
        <w:tc>
          <w:tcPr>
            <w:tcW w:w="1440" w:type="dxa"/>
            <w:gridSpan w:val="2"/>
            <w:tcBorders>
              <w:top w:val="nil"/>
              <w:left w:val="nil"/>
              <w:bottom w:val="single" w:sz="4" w:space="0" w:color="auto"/>
              <w:right w:val="single" w:sz="4" w:space="0" w:color="auto"/>
            </w:tcBorders>
            <w:shd w:val="clear" w:color="auto" w:fill="auto"/>
            <w:noWrap/>
          </w:tcPr>
          <w:p w14:paraId="4D8497C9"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Engine T6</w:t>
            </w:r>
          </w:p>
        </w:tc>
        <w:tc>
          <w:tcPr>
            <w:tcW w:w="720" w:type="dxa"/>
            <w:gridSpan w:val="2"/>
            <w:tcBorders>
              <w:top w:val="nil"/>
              <w:left w:val="nil"/>
              <w:bottom w:val="single" w:sz="4" w:space="0" w:color="auto"/>
              <w:right w:val="single" w:sz="4" w:space="0" w:color="auto"/>
            </w:tcBorders>
            <w:shd w:val="clear" w:color="auto" w:fill="auto"/>
            <w:noWrap/>
          </w:tcPr>
          <w:p w14:paraId="72BFD6C7"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2002</w:t>
            </w:r>
          </w:p>
        </w:tc>
        <w:tc>
          <w:tcPr>
            <w:tcW w:w="1685" w:type="dxa"/>
            <w:gridSpan w:val="2"/>
            <w:tcBorders>
              <w:top w:val="nil"/>
              <w:left w:val="nil"/>
              <w:bottom w:val="single" w:sz="4" w:space="0" w:color="auto"/>
              <w:right w:val="single" w:sz="4" w:space="0" w:color="auto"/>
            </w:tcBorders>
            <w:shd w:val="clear" w:color="auto" w:fill="auto"/>
            <w:noWrap/>
          </w:tcPr>
          <w:p w14:paraId="449F8B8D"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Ford F-550</w:t>
            </w:r>
          </w:p>
        </w:tc>
        <w:tc>
          <w:tcPr>
            <w:tcW w:w="1127" w:type="dxa"/>
            <w:gridSpan w:val="2"/>
            <w:tcBorders>
              <w:top w:val="nil"/>
              <w:left w:val="nil"/>
              <w:bottom w:val="single" w:sz="4" w:space="0" w:color="auto"/>
              <w:right w:val="single" w:sz="4" w:space="0" w:color="auto"/>
            </w:tcBorders>
            <w:shd w:val="clear" w:color="auto" w:fill="auto"/>
            <w:noWrap/>
          </w:tcPr>
          <w:p w14:paraId="37B9726B"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Good</w:t>
            </w:r>
          </w:p>
        </w:tc>
        <w:tc>
          <w:tcPr>
            <w:tcW w:w="857" w:type="dxa"/>
            <w:gridSpan w:val="2"/>
            <w:tcBorders>
              <w:top w:val="nil"/>
              <w:left w:val="nil"/>
              <w:bottom w:val="single" w:sz="4" w:space="0" w:color="auto"/>
              <w:right w:val="single" w:sz="4" w:space="0" w:color="auto"/>
            </w:tcBorders>
            <w:shd w:val="clear" w:color="auto" w:fill="auto"/>
            <w:noWrap/>
          </w:tcPr>
          <w:p w14:paraId="606756AD"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2</w:t>
            </w:r>
          </w:p>
        </w:tc>
        <w:tc>
          <w:tcPr>
            <w:tcW w:w="1080" w:type="dxa"/>
            <w:gridSpan w:val="2"/>
            <w:tcBorders>
              <w:top w:val="nil"/>
              <w:left w:val="nil"/>
              <w:bottom w:val="single" w:sz="4" w:space="0" w:color="auto"/>
              <w:right w:val="single" w:sz="4" w:space="0" w:color="auto"/>
            </w:tcBorders>
            <w:shd w:val="clear" w:color="auto" w:fill="auto"/>
          </w:tcPr>
          <w:p w14:paraId="77750296"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125</w:t>
            </w:r>
          </w:p>
        </w:tc>
        <w:tc>
          <w:tcPr>
            <w:tcW w:w="990" w:type="dxa"/>
            <w:tcBorders>
              <w:top w:val="nil"/>
              <w:left w:val="nil"/>
              <w:bottom w:val="single" w:sz="4" w:space="0" w:color="auto"/>
              <w:right w:val="single" w:sz="4" w:space="0" w:color="auto"/>
            </w:tcBorders>
            <w:shd w:val="clear" w:color="auto" w:fill="auto"/>
          </w:tcPr>
          <w:p w14:paraId="5EF1293B"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250</w:t>
            </w:r>
          </w:p>
        </w:tc>
      </w:tr>
      <w:tr w:rsidR="009E1320" w:rsidRPr="009E1320" w14:paraId="244E44DC" w14:textId="77777777" w:rsidTr="009E1320">
        <w:trPr>
          <w:trHeight w:val="245"/>
        </w:trPr>
        <w:tc>
          <w:tcPr>
            <w:tcW w:w="1724" w:type="dxa"/>
            <w:gridSpan w:val="2"/>
            <w:tcBorders>
              <w:top w:val="nil"/>
              <w:left w:val="single" w:sz="4" w:space="0" w:color="auto"/>
              <w:bottom w:val="single" w:sz="4" w:space="0" w:color="auto"/>
              <w:right w:val="single" w:sz="4" w:space="0" w:color="auto"/>
            </w:tcBorders>
            <w:shd w:val="clear" w:color="auto" w:fill="auto"/>
            <w:noWrap/>
          </w:tcPr>
          <w:p w14:paraId="57DCCD1A" w14:textId="77777777" w:rsidR="009E1320" w:rsidRPr="009E1320" w:rsidRDefault="009E1320" w:rsidP="009E1320">
            <w:pPr>
              <w:spacing w:after="0" w:line="240" w:lineRule="auto"/>
              <w:jc w:val="left"/>
              <w:rPr>
                <w:rFonts w:eastAsia="Times New Roman" w:cs="Arial"/>
                <w:sz w:val="20"/>
                <w:szCs w:val="20"/>
                <w:lang w:eastAsia="en-US"/>
              </w:rPr>
            </w:pPr>
            <w:r w:rsidRPr="009E1320">
              <w:rPr>
                <w:rFonts w:eastAsia="Times New Roman" w:cs="Arial"/>
                <w:sz w:val="20"/>
                <w:szCs w:val="20"/>
                <w:lang w:eastAsia="en-US"/>
              </w:rPr>
              <w:t>M2821/#3136 </w:t>
            </w:r>
          </w:p>
        </w:tc>
        <w:tc>
          <w:tcPr>
            <w:tcW w:w="1440" w:type="dxa"/>
            <w:gridSpan w:val="2"/>
            <w:tcBorders>
              <w:top w:val="nil"/>
              <w:left w:val="nil"/>
              <w:bottom w:val="single" w:sz="4" w:space="0" w:color="auto"/>
              <w:right w:val="single" w:sz="4" w:space="0" w:color="auto"/>
            </w:tcBorders>
            <w:shd w:val="clear" w:color="auto" w:fill="auto"/>
            <w:noWrap/>
          </w:tcPr>
          <w:p w14:paraId="4CB537D6"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Ambulance T2</w:t>
            </w:r>
          </w:p>
        </w:tc>
        <w:tc>
          <w:tcPr>
            <w:tcW w:w="720" w:type="dxa"/>
            <w:gridSpan w:val="2"/>
            <w:tcBorders>
              <w:top w:val="nil"/>
              <w:left w:val="nil"/>
              <w:bottom w:val="single" w:sz="4" w:space="0" w:color="auto"/>
              <w:right w:val="single" w:sz="4" w:space="0" w:color="auto"/>
            </w:tcBorders>
            <w:shd w:val="clear" w:color="auto" w:fill="auto"/>
            <w:noWrap/>
          </w:tcPr>
          <w:p w14:paraId="5F2BDAF7"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2014</w:t>
            </w:r>
          </w:p>
        </w:tc>
        <w:tc>
          <w:tcPr>
            <w:tcW w:w="1685" w:type="dxa"/>
            <w:gridSpan w:val="2"/>
            <w:tcBorders>
              <w:top w:val="nil"/>
              <w:left w:val="nil"/>
              <w:bottom w:val="single" w:sz="4" w:space="0" w:color="auto"/>
              <w:right w:val="single" w:sz="4" w:space="0" w:color="auto"/>
            </w:tcBorders>
            <w:shd w:val="clear" w:color="auto" w:fill="auto"/>
            <w:noWrap/>
          </w:tcPr>
          <w:p w14:paraId="307C27D9"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Dodge 4500</w:t>
            </w:r>
          </w:p>
        </w:tc>
        <w:tc>
          <w:tcPr>
            <w:tcW w:w="1127" w:type="dxa"/>
            <w:gridSpan w:val="2"/>
            <w:tcBorders>
              <w:top w:val="nil"/>
              <w:left w:val="nil"/>
              <w:bottom w:val="single" w:sz="4" w:space="0" w:color="auto"/>
              <w:right w:val="single" w:sz="4" w:space="0" w:color="auto"/>
            </w:tcBorders>
            <w:shd w:val="clear" w:color="auto" w:fill="auto"/>
            <w:noWrap/>
          </w:tcPr>
          <w:p w14:paraId="26117BD0"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New</w:t>
            </w:r>
          </w:p>
        </w:tc>
        <w:tc>
          <w:tcPr>
            <w:tcW w:w="857" w:type="dxa"/>
            <w:gridSpan w:val="2"/>
            <w:tcBorders>
              <w:top w:val="nil"/>
              <w:left w:val="nil"/>
              <w:bottom w:val="single" w:sz="4" w:space="0" w:color="auto"/>
              <w:right w:val="single" w:sz="4" w:space="0" w:color="auto"/>
            </w:tcBorders>
            <w:shd w:val="clear" w:color="auto" w:fill="auto"/>
            <w:noWrap/>
          </w:tcPr>
          <w:p w14:paraId="07C79516"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2</w:t>
            </w:r>
          </w:p>
        </w:tc>
        <w:tc>
          <w:tcPr>
            <w:tcW w:w="1080" w:type="dxa"/>
            <w:gridSpan w:val="2"/>
            <w:tcBorders>
              <w:top w:val="nil"/>
              <w:left w:val="nil"/>
              <w:bottom w:val="single" w:sz="4" w:space="0" w:color="auto"/>
              <w:right w:val="single" w:sz="4" w:space="0" w:color="auto"/>
            </w:tcBorders>
            <w:shd w:val="clear" w:color="auto" w:fill="auto"/>
          </w:tcPr>
          <w:p w14:paraId="0EAF1B27"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N/A</w:t>
            </w:r>
          </w:p>
        </w:tc>
        <w:tc>
          <w:tcPr>
            <w:tcW w:w="990" w:type="dxa"/>
            <w:tcBorders>
              <w:top w:val="nil"/>
              <w:left w:val="nil"/>
              <w:bottom w:val="single" w:sz="4" w:space="0" w:color="auto"/>
              <w:right w:val="single" w:sz="4" w:space="0" w:color="auto"/>
            </w:tcBorders>
            <w:shd w:val="clear" w:color="auto" w:fill="auto"/>
          </w:tcPr>
          <w:p w14:paraId="6EB15672"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N/A</w:t>
            </w:r>
          </w:p>
        </w:tc>
      </w:tr>
      <w:tr w:rsidR="009E1320" w:rsidRPr="009E1320" w14:paraId="7EE26AC3" w14:textId="77777777" w:rsidTr="009E1320">
        <w:trPr>
          <w:trHeight w:val="245"/>
        </w:trPr>
        <w:tc>
          <w:tcPr>
            <w:tcW w:w="1724" w:type="dxa"/>
            <w:gridSpan w:val="2"/>
            <w:tcBorders>
              <w:top w:val="nil"/>
              <w:left w:val="single" w:sz="4" w:space="0" w:color="auto"/>
              <w:bottom w:val="single" w:sz="4" w:space="0" w:color="auto"/>
              <w:right w:val="single" w:sz="4" w:space="0" w:color="auto"/>
            </w:tcBorders>
            <w:shd w:val="clear" w:color="auto" w:fill="auto"/>
            <w:noWrap/>
          </w:tcPr>
          <w:p w14:paraId="69B45FB2" w14:textId="77777777" w:rsidR="009E1320" w:rsidRPr="009E1320" w:rsidRDefault="009E1320" w:rsidP="009E1320">
            <w:pPr>
              <w:spacing w:after="0" w:line="240" w:lineRule="auto"/>
              <w:jc w:val="left"/>
              <w:rPr>
                <w:rFonts w:eastAsia="Times New Roman" w:cs="Arial"/>
                <w:sz w:val="20"/>
                <w:szCs w:val="20"/>
                <w:lang w:eastAsia="en-US"/>
              </w:rPr>
            </w:pPr>
            <w:r w:rsidRPr="009E1320">
              <w:rPr>
                <w:rFonts w:eastAsia="Times New Roman" w:cs="Arial"/>
                <w:sz w:val="20"/>
                <w:szCs w:val="20"/>
                <w:lang w:eastAsia="en-US"/>
              </w:rPr>
              <w:t>UT280/#3127</w:t>
            </w:r>
          </w:p>
        </w:tc>
        <w:tc>
          <w:tcPr>
            <w:tcW w:w="1440" w:type="dxa"/>
            <w:gridSpan w:val="2"/>
            <w:tcBorders>
              <w:top w:val="nil"/>
              <w:left w:val="nil"/>
              <w:bottom w:val="single" w:sz="4" w:space="0" w:color="auto"/>
              <w:right w:val="single" w:sz="4" w:space="0" w:color="auto"/>
            </w:tcBorders>
            <w:shd w:val="clear" w:color="auto" w:fill="auto"/>
            <w:noWrap/>
          </w:tcPr>
          <w:p w14:paraId="47C81D36"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Staff Car</w:t>
            </w:r>
          </w:p>
        </w:tc>
        <w:tc>
          <w:tcPr>
            <w:tcW w:w="720" w:type="dxa"/>
            <w:gridSpan w:val="2"/>
            <w:tcBorders>
              <w:top w:val="nil"/>
              <w:left w:val="nil"/>
              <w:bottom w:val="single" w:sz="4" w:space="0" w:color="auto"/>
              <w:right w:val="single" w:sz="4" w:space="0" w:color="auto"/>
            </w:tcBorders>
            <w:shd w:val="clear" w:color="auto" w:fill="auto"/>
            <w:noWrap/>
          </w:tcPr>
          <w:p w14:paraId="63156985"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2010</w:t>
            </w:r>
          </w:p>
        </w:tc>
        <w:tc>
          <w:tcPr>
            <w:tcW w:w="1685" w:type="dxa"/>
            <w:gridSpan w:val="2"/>
            <w:tcBorders>
              <w:top w:val="nil"/>
              <w:left w:val="nil"/>
              <w:bottom w:val="single" w:sz="4" w:space="0" w:color="auto"/>
              <w:right w:val="single" w:sz="4" w:space="0" w:color="auto"/>
            </w:tcBorders>
            <w:shd w:val="clear" w:color="auto" w:fill="auto"/>
            <w:noWrap/>
          </w:tcPr>
          <w:p w14:paraId="477E0967"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Chevy 1500</w:t>
            </w:r>
          </w:p>
        </w:tc>
        <w:tc>
          <w:tcPr>
            <w:tcW w:w="1127" w:type="dxa"/>
            <w:gridSpan w:val="2"/>
            <w:tcBorders>
              <w:top w:val="nil"/>
              <w:left w:val="nil"/>
              <w:bottom w:val="single" w:sz="4" w:space="0" w:color="auto"/>
              <w:right w:val="single" w:sz="4" w:space="0" w:color="auto"/>
            </w:tcBorders>
            <w:shd w:val="clear" w:color="auto" w:fill="auto"/>
            <w:noWrap/>
          </w:tcPr>
          <w:p w14:paraId="493B9872"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Good</w:t>
            </w:r>
          </w:p>
        </w:tc>
        <w:tc>
          <w:tcPr>
            <w:tcW w:w="857" w:type="dxa"/>
            <w:gridSpan w:val="2"/>
            <w:tcBorders>
              <w:top w:val="nil"/>
              <w:left w:val="nil"/>
              <w:bottom w:val="single" w:sz="4" w:space="0" w:color="auto"/>
              <w:right w:val="single" w:sz="4" w:space="0" w:color="auto"/>
            </w:tcBorders>
            <w:shd w:val="clear" w:color="auto" w:fill="auto"/>
            <w:noWrap/>
          </w:tcPr>
          <w:p w14:paraId="0E543A10"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1</w:t>
            </w:r>
          </w:p>
        </w:tc>
        <w:tc>
          <w:tcPr>
            <w:tcW w:w="1080" w:type="dxa"/>
            <w:gridSpan w:val="2"/>
            <w:tcBorders>
              <w:top w:val="nil"/>
              <w:left w:val="nil"/>
              <w:bottom w:val="single" w:sz="4" w:space="0" w:color="auto"/>
              <w:right w:val="single" w:sz="4" w:space="0" w:color="auto"/>
            </w:tcBorders>
            <w:shd w:val="clear" w:color="auto" w:fill="auto"/>
          </w:tcPr>
          <w:p w14:paraId="504439D3"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N/A</w:t>
            </w:r>
          </w:p>
        </w:tc>
        <w:tc>
          <w:tcPr>
            <w:tcW w:w="990" w:type="dxa"/>
            <w:tcBorders>
              <w:top w:val="nil"/>
              <w:left w:val="nil"/>
              <w:bottom w:val="single" w:sz="4" w:space="0" w:color="auto"/>
              <w:right w:val="single" w:sz="4" w:space="0" w:color="auto"/>
            </w:tcBorders>
            <w:shd w:val="clear" w:color="auto" w:fill="auto"/>
          </w:tcPr>
          <w:p w14:paraId="646B2E77"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N/A</w:t>
            </w:r>
          </w:p>
        </w:tc>
      </w:tr>
      <w:tr w:rsidR="009E1320" w:rsidRPr="009E1320" w14:paraId="71582C2E" w14:textId="77777777" w:rsidTr="009E1320">
        <w:trPr>
          <w:trHeight w:val="245"/>
        </w:trPr>
        <w:tc>
          <w:tcPr>
            <w:tcW w:w="1724" w:type="dxa"/>
            <w:gridSpan w:val="2"/>
            <w:tcBorders>
              <w:top w:val="nil"/>
              <w:left w:val="single" w:sz="4" w:space="0" w:color="auto"/>
              <w:bottom w:val="single" w:sz="4" w:space="0" w:color="auto"/>
              <w:right w:val="single" w:sz="4" w:space="0" w:color="auto"/>
            </w:tcBorders>
            <w:shd w:val="clear" w:color="auto" w:fill="auto"/>
            <w:noWrap/>
          </w:tcPr>
          <w:p w14:paraId="4F26AB62" w14:textId="77777777" w:rsidR="009E1320" w:rsidRPr="009E1320" w:rsidRDefault="009E1320" w:rsidP="009E1320">
            <w:pPr>
              <w:spacing w:after="0" w:line="240" w:lineRule="auto"/>
              <w:jc w:val="left"/>
              <w:rPr>
                <w:rFonts w:eastAsia="Times New Roman" w:cs="Arial"/>
                <w:sz w:val="20"/>
                <w:szCs w:val="20"/>
                <w:lang w:eastAsia="en-US"/>
              </w:rPr>
            </w:pPr>
            <w:r w:rsidRPr="009E1320">
              <w:rPr>
                <w:rFonts w:eastAsia="Times New Roman" w:cs="Arial"/>
                <w:sz w:val="20"/>
                <w:szCs w:val="20"/>
                <w:lang w:eastAsia="en-US"/>
              </w:rPr>
              <w:t>UT281/#3122</w:t>
            </w:r>
          </w:p>
        </w:tc>
        <w:tc>
          <w:tcPr>
            <w:tcW w:w="1440" w:type="dxa"/>
            <w:gridSpan w:val="2"/>
            <w:tcBorders>
              <w:top w:val="nil"/>
              <w:left w:val="nil"/>
              <w:bottom w:val="single" w:sz="4" w:space="0" w:color="auto"/>
              <w:right w:val="single" w:sz="4" w:space="0" w:color="auto"/>
            </w:tcBorders>
            <w:shd w:val="clear" w:color="auto" w:fill="auto"/>
            <w:noWrap/>
          </w:tcPr>
          <w:p w14:paraId="1989A1D9"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Staff Car</w:t>
            </w:r>
          </w:p>
        </w:tc>
        <w:tc>
          <w:tcPr>
            <w:tcW w:w="720" w:type="dxa"/>
            <w:gridSpan w:val="2"/>
            <w:tcBorders>
              <w:top w:val="nil"/>
              <w:left w:val="nil"/>
              <w:bottom w:val="single" w:sz="4" w:space="0" w:color="auto"/>
              <w:right w:val="single" w:sz="4" w:space="0" w:color="auto"/>
            </w:tcBorders>
            <w:shd w:val="clear" w:color="auto" w:fill="auto"/>
            <w:noWrap/>
          </w:tcPr>
          <w:p w14:paraId="5012D41A"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2005</w:t>
            </w:r>
          </w:p>
        </w:tc>
        <w:tc>
          <w:tcPr>
            <w:tcW w:w="1685" w:type="dxa"/>
            <w:gridSpan w:val="2"/>
            <w:tcBorders>
              <w:top w:val="nil"/>
              <w:left w:val="nil"/>
              <w:bottom w:val="single" w:sz="4" w:space="0" w:color="auto"/>
              <w:right w:val="single" w:sz="4" w:space="0" w:color="auto"/>
            </w:tcBorders>
            <w:shd w:val="clear" w:color="auto" w:fill="auto"/>
            <w:noWrap/>
          </w:tcPr>
          <w:p w14:paraId="7D5FD437"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Chevy 2500</w:t>
            </w:r>
          </w:p>
        </w:tc>
        <w:tc>
          <w:tcPr>
            <w:tcW w:w="1127" w:type="dxa"/>
            <w:gridSpan w:val="2"/>
            <w:tcBorders>
              <w:top w:val="nil"/>
              <w:left w:val="nil"/>
              <w:bottom w:val="single" w:sz="4" w:space="0" w:color="auto"/>
              <w:right w:val="single" w:sz="4" w:space="0" w:color="auto"/>
            </w:tcBorders>
            <w:shd w:val="clear" w:color="auto" w:fill="auto"/>
            <w:noWrap/>
          </w:tcPr>
          <w:p w14:paraId="605D3BF6"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Good</w:t>
            </w:r>
          </w:p>
        </w:tc>
        <w:tc>
          <w:tcPr>
            <w:tcW w:w="857" w:type="dxa"/>
            <w:gridSpan w:val="2"/>
            <w:tcBorders>
              <w:top w:val="nil"/>
              <w:left w:val="nil"/>
              <w:bottom w:val="single" w:sz="4" w:space="0" w:color="auto"/>
              <w:right w:val="single" w:sz="4" w:space="0" w:color="auto"/>
            </w:tcBorders>
            <w:shd w:val="clear" w:color="auto" w:fill="auto"/>
            <w:noWrap/>
          </w:tcPr>
          <w:p w14:paraId="73D2417A"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1</w:t>
            </w:r>
          </w:p>
        </w:tc>
        <w:tc>
          <w:tcPr>
            <w:tcW w:w="1080" w:type="dxa"/>
            <w:gridSpan w:val="2"/>
            <w:tcBorders>
              <w:top w:val="nil"/>
              <w:left w:val="nil"/>
              <w:bottom w:val="single" w:sz="4" w:space="0" w:color="auto"/>
              <w:right w:val="single" w:sz="4" w:space="0" w:color="auto"/>
            </w:tcBorders>
            <w:shd w:val="clear" w:color="auto" w:fill="auto"/>
          </w:tcPr>
          <w:p w14:paraId="6426E1D9"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N/A</w:t>
            </w:r>
          </w:p>
        </w:tc>
        <w:tc>
          <w:tcPr>
            <w:tcW w:w="990" w:type="dxa"/>
            <w:tcBorders>
              <w:top w:val="nil"/>
              <w:left w:val="nil"/>
              <w:bottom w:val="single" w:sz="4" w:space="0" w:color="auto"/>
              <w:right w:val="single" w:sz="4" w:space="0" w:color="auto"/>
            </w:tcBorders>
            <w:shd w:val="clear" w:color="auto" w:fill="auto"/>
          </w:tcPr>
          <w:p w14:paraId="42B33DD7"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N/A</w:t>
            </w:r>
          </w:p>
        </w:tc>
      </w:tr>
      <w:tr w:rsidR="009E1320" w:rsidRPr="009E1320" w14:paraId="3C04201C" w14:textId="77777777" w:rsidTr="009E1320">
        <w:trPr>
          <w:trHeight w:val="245"/>
        </w:trPr>
        <w:tc>
          <w:tcPr>
            <w:tcW w:w="1724" w:type="dxa"/>
            <w:gridSpan w:val="2"/>
            <w:tcBorders>
              <w:top w:val="nil"/>
              <w:left w:val="single" w:sz="4" w:space="0" w:color="auto"/>
              <w:bottom w:val="single" w:sz="4" w:space="0" w:color="auto"/>
              <w:right w:val="single" w:sz="4" w:space="0" w:color="auto"/>
            </w:tcBorders>
            <w:shd w:val="clear" w:color="auto" w:fill="auto"/>
            <w:noWrap/>
          </w:tcPr>
          <w:p w14:paraId="5EA3E110" w14:textId="77777777" w:rsidR="009E1320" w:rsidRPr="009E1320" w:rsidRDefault="009E1320" w:rsidP="009E1320">
            <w:pPr>
              <w:spacing w:after="0" w:line="240" w:lineRule="auto"/>
              <w:jc w:val="left"/>
              <w:rPr>
                <w:rFonts w:eastAsia="Times New Roman" w:cs="Arial"/>
                <w:sz w:val="20"/>
                <w:szCs w:val="20"/>
                <w:lang w:eastAsia="en-US"/>
              </w:rPr>
            </w:pPr>
            <w:r w:rsidRPr="009E1320">
              <w:rPr>
                <w:rFonts w:eastAsia="Times New Roman" w:cs="Arial"/>
                <w:sz w:val="20"/>
                <w:szCs w:val="20"/>
                <w:lang w:eastAsia="en-US"/>
              </w:rPr>
              <w:t>UT282/#3139</w:t>
            </w:r>
          </w:p>
        </w:tc>
        <w:tc>
          <w:tcPr>
            <w:tcW w:w="1440" w:type="dxa"/>
            <w:gridSpan w:val="2"/>
            <w:tcBorders>
              <w:top w:val="nil"/>
              <w:left w:val="nil"/>
              <w:bottom w:val="single" w:sz="4" w:space="0" w:color="auto"/>
              <w:right w:val="single" w:sz="4" w:space="0" w:color="auto"/>
            </w:tcBorders>
            <w:shd w:val="clear" w:color="auto" w:fill="auto"/>
            <w:noWrap/>
          </w:tcPr>
          <w:p w14:paraId="4FFE027F"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Command</w:t>
            </w:r>
          </w:p>
        </w:tc>
        <w:tc>
          <w:tcPr>
            <w:tcW w:w="720" w:type="dxa"/>
            <w:gridSpan w:val="2"/>
            <w:tcBorders>
              <w:top w:val="nil"/>
              <w:left w:val="nil"/>
              <w:bottom w:val="single" w:sz="4" w:space="0" w:color="auto"/>
              <w:right w:val="single" w:sz="4" w:space="0" w:color="auto"/>
            </w:tcBorders>
            <w:shd w:val="clear" w:color="auto" w:fill="auto"/>
            <w:noWrap/>
          </w:tcPr>
          <w:p w14:paraId="5EB29A40"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2015</w:t>
            </w:r>
          </w:p>
        </w:tc>
        <w:tc>
          <w:tcPr>
            <w:tcW w:w="1685" w:type="dxa"/>
            <w:gridSpan w:val="2"/>
            <w:tcBorders>
              <w:top w:val="nil"/>
              <w:left w:val="nil"/>
              <w:bottom w:val="single" w:sz="4" w:space="0" w:color="auto"/>
              <w:right w:val="single" w:sz="4" w:space="0" w:color="auto"/>
            </w:tcBorders>
            <w:shd w:val="clear" w:color="auto" w:fill="auto"/>
            <w:noWrap/>
          </w:tcPr>
          <w:p w14:paraId="04D47A78"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Chevy Tahoe</w:t>
            </w:r>
          </w:p>
        </w:tc>
        <w:tc>
          <w:tcPr>
            <w:tcW w:w="1127" w:type="dxa"/>
            <w:gridSpan w:val="2"/>
            <w:tcBorders>
              <w:top w:val="nil"/>
              <w:left w:val="nil"/>
              <w:bottom w:val="single" w:sz="4" w:space="0" w:color="auto"/>
              <w:right w:val="single" w:sz="4" w:space="0" w:color="auto"/>
            </w:tcBorders>
            <w:shd w:val="clear" w:color="auto" w:fill="auto"/>
            <w:noWrap/>
          </w:tcPr>
          <w:p w14:paraId="666B12AD"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New</w:t>
            </w:r>
          </w:p>
        </w:tc>
        <w:tc>
          <w:tcPr>
            <w:tcW w:w="857" w:type="dxa"/>
            <w:gridSpan w:val="2"/>
            <w:tcBorders>
              <w:top w:val="nil"/>
              <w:left w:val="nil"/>
              <w:bottom w:val="single" w:sz="4" w:space="0" w:color="auto"/>
              <w:right w:val="single" w:sz="4" w:space="0" w:color="auto"/>
            </w:tcBorders>
            <w:shd w:val="clear" w:color="auto" w:fill="auto"/>
            <w:noWrap/>
          </w:tcPr>
          <w:p w14:paraId="34B862D2"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1</w:t>
            </w:r>
          </w:p>
        </w:tc>
        <w:tc>
          <w:tcPr>
            <w:tcW w:w="1080" w:type="dxa"/>
            <w:gridSpan w:val="2"/>
            <w:tcBorders>
              <w:top w:val="nil"/>
              <w:left w:val="nil"/>
              <w:bottom w:val="single" w:sz="4" w:space="0" w:color="auto"/>
              <w:right w:val="single" w:sz="4" w:space="0" w:color="auto"/>
            </w:tcBorders>
            <w:shd w:val="clear" w:color="auto" w:fill="auto"/>
          </w:tcPr>
          <w:p w14:paraId="20B3E251"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N/A</w:t>
            </w:r>
          </w:p>
        </w:tc>
        <w:tc>
          <w:tcPr>
            <w:tcW w:w="990" w:type="dxa"/>
            <w:tcBorders>
              <w:top w:val="nil"/>
              <w:left w:val="nil"/>
              <w:bottom w:val="single" w:sz="4" w:space="0" w:color="auto"/>
              <w:right w:val="single" w:sz="4" w:space="0" w:color="auto"/>
            </w:tcBorders>
            <w:shd w:val="clear" w:color="auto" w:fill="auto"/>
          </w:tcPr>
          <w:p w14:paraId="2FFDF09A"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N/A</w:t>
            </w:r>
          </w:p>
        </w:tc>
      </w:tr>
      <w:tr w:rsidR="009E1320" w:rsidRPr="009E1320" w14:paraId="5B7DA75B" w14:textId="77777777" w:rsidTr="009E1320">
        <w:trPr>
          <w:trHeight w:val="245"/>
        </w:trPr>
        <w:tc>
          <w:tcPr>
            <w:tcW w:w="1724" w:type="dxa"/>
            <w:gridSpan w:val="2"/>
            <w:tcBorders>
              <w:top w:val="nil"/>
              <w:left w:val="single" w:sz="4" w:space="0" w:color="auto"/>
              <w:bottom w:val="single" w:sz="4" w:space="0" w:color="auto"/>
              <w:right w:val="single" w:sz="4" w:space="0" w:color="auto"/>
            </w:tcBorders>
            <w:shd w:val="clear" w:color="auto" w:fill="auto"/>
            <w:noWrap/>
          </w:tcPr>
          <w:p w14:paraId="055095B0" w14:textId="77777777" w:rsidR="009E1320" w:rsidRPr="009E1320" w:rsidRDefault="009E1320" w:rsidP="009E1320">
            <w:pPr>
              <w:spacing w:after="0" w:line="240" w:lineRule="auto"/>
              <w:jc w:val="left"/>
              <w:rPr>
                <w:rFonts w:eastAsia="Times New Roman" w:cs="Arial"/>
                <w:sz w:val="20"/>
                <w:szCs w:val="20"/>
                <w:lang w:eastAsia="en-US"/>
              </w:rPr>
            </w:pPr>
            <w:r w:rsidRPr="009E1320">
              <w:rPr>
                <w:rFonts w:eastAsia="Times New Roman" w:cs="Arial"/>
                <w:sz w:val="20"/>
                <w:szCs w:val="20"/>
                <w:lang w:eastAsia="en-US"/>
              </w:rPr>
              <w:t>MO281/#3138</w:t>
            </w:r>
          </w:p>
        </w:tc>
        <w:tc>
          <w:tcPr>
            <w:tcW w:w="1440" w:type="dxa"/>
            <w:gridSpan w:val="2"/>
            <w:tcBorders>
              <w:top w:val="nil"/>
              <w:left w:val="nil"/>
              <w:bottom w:val="single" w:sz="4" w:space="0" w:color="auto"/>
              <w:right w:val="single" w:sz="4" w:space="0" w:color="auto"/>
            </w:tcBorders>
            <w:shd w:val="clear" w:color="auto" w:fill="auto"/>
            <w:noWrap/>
          </w:tcPr>
          <w:p w14:paraId="7F8B274C"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Staff Car</w:t>
            </w:r>
          </w:p>
        </w:tc>
        <w:tc>
          <w:tcPr>
            <w:tcW w:w="720" w:type="dxa"/>
            <w:gridSpan w:val="2"/>
            <w:tcBorders>
              <w:top w:val="nil"/>
              <w:left w:val="nil"/>
              <w:bottom w:val="single" w:sz="4" w:space="0" w:color="auto"/>
              <w:right w:val="single" w:sz="4" w:space="0" w:color="auto"/>
            </w:tcBorders>
            <w:shd w:val="clear" w:color="auto" w:fill="auto"/>
            <w:noWrap/>
          </w:tcPr>
          <w:p w14:paraId="186F8ED0"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2014</w:t>
            </w:r>
          </w:p>
        </w:tc>
        <w:tc>
          <w:tcPr>
            <w:tcW w:w="1685" w:type="dxa"/>
            <w:gridSpan w:val="2"/>
            <w:tcBorders>
              <w:top w:val="nil"/>
              <w:left w:val="nil"/>
              <w:bottom w:val="single" w:sz="4" w:space="0" w:color="auto"/>
              <w:right w:val="single" w:sz="4" w:space="0" w:color="auto"/>
            </w:tcBorders>
            <w:shd w:val="clear" w:color="auto" w:fill="auto"/>
            <w:noWrap/>
          </w:tcPr>
          <w:p w14:paraId="0AC69350"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Ford F250</w:t>
            </w:r>
          </w:p>
        </w:tc>
        <w:tc>
          <w:tcPr>
            <w:tcW w:w="1127" w:type="dxa"/>
            <w:gridSpan w:val="2"/>
            <w:tcBorders>
              <w:top w:val="nil"/>
              <w:left w:val="nil"/>
              <w:bottom w:val="single" w:sz="4" w:space="0" w:color="auto"/>
              <w:right w:val="single" w:sz="4" w:space="0" w:color="auto"/>
            </w:tcBorders>
            <w:shd w:val="clear" w:color="auto" w:fill="auto"/>
            <w:noWrap/>
          </w:tcPr>
          <w:p w14:paraId="7F0E1E0E"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Good</w:t>
            </w:r>
          </w:p>
        </w:tc>
        <w:tc>
          <w:tcPr>
            <w:tcW w:w="857" w:type="dxa"/>
            <w:gridSpan w:val="2"/>
            <w:tcBorders>
              <w:top w:val="nil"/>
              <w:left w:val="nil"/>
              <w:bottom w:val="single" w:sz="4" w:space="0" w:color="auto"/>
              <w:right w:val="single" w:sz="4" w:space="0" w:color="auto"/>
            </w:tcBorders>
            <w:shd w:val="clear" w:color="auto" w:fill="auto"/>
            <w:noWrap/>
          </w:tcPr>
          <w:p w14:paraId="5BA3EF8D"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1</w:t>
            </w:r>
          </w:p>
        </w:tc>
        <w:tc>
          <w:tcPr>
            <w:tcW w:w="1080" w:type="dxa"/>
            <w:gridSpan w:val="2"/>
            <w:tcBorders>
              <w:top w:val="nil"/>
              <w:left w:val="nil"/>
              <w:bottom w:val="single" w:sz="4" w:space="0" w:color="auto"/>
              <w:right w:val="single" w:sz="4" w:space="0" w:color="auto"/>
            </w:tcBorders>
            <w:shd w:val="clear" w:color="auto" w:fill="auto"/>
          </w:tcPr>
          <w:p w14:paraId="3B29E6CA"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N/A</w:t>
            </w:r>
          </w:p>
        </w:tc>
        <w:tc>
          <w:tcPr>
            <w:tcW w:w="990" w:type="dxa"/>
            <w:tcBorders>
              <w:top w:val="nil"/>
              <w:left w:val="nil"/>
              <w:bottom w:val="single" w:sz="4" w:space="0" w:color="auto"/>
              <w:right w:val="single" w:sz="4" w:space="0" w:color="auto"/>
            </w:tcBorders>
            <w:shd w:val="clear" w:color="auto" w:fill="auto"/>
          </w:tcPr>
          <w:p w14:paraId="5187A2CE"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N/A</w:t>
            </w:r>
          </w:p>
        </w:tc>
      </w:tr>
      <w:tr w:rsidR="009E1320" w:rsidRPr="009E1320" w14:paraId="61C1DE84" w14:textId="77777777" w:rsidTr="009E1320">
        <w:trPr>
          <w:trHeight w:val="245"/>
        </w:trPr>
        <w:tc>
          <w:tcPr>
            <w:tcW w:w="1724" w:type="dxa"/>
            <w:gridSpan w:val="2"/>
            <w:tcBorders>
              <w:top w:val="nil"/>
              <w:left w:val="single" w:sz="4" w:space="0" w:color="auto"/>
              <w:bottom w:val="single" w:sz="4" w:space="0" w:color="auto"/>
              <w:right w:val="single" w:sz="4" w:space="0" w:color="auto"/>
            </w:tcBorders>
            <w:shd w:val="clear" w:color="auto" w:fill="auto"/>
            <w:noWrap/>
          </w:tcPr>
          <w:p w14:paraId="7E8A24D2" w14:textId="77777777" w:rsidR="009E1320" w:rsidRPr="009E1320" w:rsidRDefault="009E1320" w:rsidP="009E1320">
            <w:pPr>
              <w:spacing w:after="0" w:line="240" w:lineRule="auto"/>
              <w:jc w:val="left"/>
              <w:rPr>
                <w:rFonts w:eastAsia="Times New Roman" w:cs="Arial"/>
                <w:sz w:val="20"/>
                <w:szCs w:val="20"/>
                <w:lang w:eastAsia="en-US"/>
              </w:rPr>
            </w:pPr>
            <w:r w:rsidRPr="009E1320">
              <w:rPr>
                <w:rFonts w:eastAsia="Times New Roman" w:cs="Arial"/>
                <w:sz w:val="20"/>
                <w:szCs w:val="20"/>
                <w:lang w:eastAsia="en-US"/>
              </w:rPr>
              <w:t>FB281</w:t>
            </w:r>
          </w:p>
        </w:tc>
        <w:tc>
          <w:tcPr>
            <w:tcW w:w="1440" w:type="dxa"/>
            <w:gridSpan w:val="2"/>
            <w:tcBorders>
              <w:top w:val="nil"/>
              <w:left w:val="nil"/>
              <w:bottom w:val="single" w:sz="4" w:space="0" w:color="auto"/>
              <w:right w:val="single" w:sz="4" w:space="0" w:color="auto"/>
            </w:tcBorders>
            <w:shd w:val="clear" w:color="auto" w:fill="auto"/>
            <w:noWrap/>
          </w:tcPr>
          <w:p w14:paraId="14B39988"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Rescue Boat</w:t>
            </w:r>
          </w:p>
        </w:tc>
        <w:tc>
          <w:tcPr>
            <w:tcW w:w="720" w:type="dxa"/>
            <w:gridSpan w:val="2"/>
            <w:tcBorders>
              <w:top w:val="nil"/>
              <w:left w:val="nil"/>
              <w:bottom w:val="single" w:sz="4" w:space="0" w:color="auto"/>
              <w:right w:val="single" w:sz="4" w:space="0" w:color="auto"/>
            </w:tcBorders>
            <w:shd w:val="clear" w:color="auto" w:fill="auto"/>
            <w:noWrap/>
          </w:tcPr>
          <w:p w14:paraId="4915B904"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2016</w:t>
            </w:r>
          </w:p>
        </w:tc>
        <w:tc>
          <w:tcPr>
            <w:tcW w:w="1685" w:type="dxa"/>
            <w:gridSpan w:val="2"/>
            <w:tcBorders>
              <w:top w:val="nil"/>
              <w:left w:val="nil"/>
              <w:bottom w:val="single" w:sz="4" w:space="0" w:color="auto"/>
              <w:right w:val="single" w:sz="4" w:space="0" w:color="auto"/>
            </w:tcBorders>
            <w:shd w:val="clear" w:color="auto" w:fill="auto"/>
            <w:noWrap/>
          </w:tcPr>
          <w:p w14:paraId="6167BAA6"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22’ Rescue Boat</w:t>
            </w:r>
          </w:p>
        </w:tc>
        <w:tc>
          <w:tcPr>
            <w:tcW w:w="1127" w:type="dxa"/>
            <w:gridSpan w:val="2"/>
            <w:tcBorders>
              <w:top w:val="nil"/>
              <w:left w:val="nil"/>
              <w:bottom w:val="single" w:sz="4" w:space="0" w:color="auto"/>
              <w:right w:val="single" w:sz="4" w:space="0" w:color="auto"/>
            </w:tcBorders>
            <w:shd w:val="clear" w:color="auto" w:fill="auto"/>
            <w:noWrap/>
          </w:tcPr>
          <w:p w14:paraId="6370573B"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New</w:t>
            </w:r>
          </w:p>
        </w:tc>
        <w:tc>
          <w:tcPr>
            <w:tcW w:w="857" w:type="dxa"/>
            <w:gridSpan w:val="2"/>
            <w:tcBorders>
              <w:top w:val="nil"/>
              <w:left w:val="nil"/>
              <w:bottom w:val="single" w:sz="4" w:space="0" w:color="auto"/>
              <w:right w:val="single" w:sz="4" w:space="0" w:color="auto"/>
            </w:tcBorders>
            <w:shd w:val="clear" w:color="auto" w:fill="auto"/>
            <w:noWrap/>
          </w:tcPr>
          <w:p w14:paraId="67CF65F9"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3</w:t>
            </w:r>
          </w:p>
        </w:tc>
        <w:tc>
          <w:tcPr>
            <w:tcW w:w="1080" w:type="dxa"/>
            <w:gridSpan w:val="2"/>
            <w:tcBorders>
              <w:top w:val="nil"/>
              <w:left w:val="nil"/>
              <w:bottom w:val="single" w:sz="4" w:space="0" w:color="auto"/>
              <w:right w:val="single" w:sz="4" w:space="0" w:color="auto"/>
            </w:tcBorders>
            <w:shd w:val="clear" w:color="auto" w:fill="auto"/>
          </w:tcPr>
          <w:p w14:paraId="1A87DEBF"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200</w:t>
            </w:r>
          </w:p>
        </w:tc>
        <w:tc>
          <w:tcPr>
            <w:tcW w:w="990" w:type="dxa"/>
            <w:tcBorders>
              <w:top w:val="nil"/>
              <w:left w:val="nil"/>
              <w:bottom w:val="single" w:sz="4" w:space="0" w:color="auto"/>
              <w:right w:val="single" w:sz="4" w:space="0" w:color="auto"/>
            </w:tcBorders>
            <w:shd w:val="clear" w:color="auto" w:fill="auto"/>
          </w:tcPr>
          <w:p w14:paraId="6978FE54"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N/A</w:t>
            </w:r>
          </w:p>
        </w:tc>
      </w:tr>
      <w:tr w:rsidR="009E1320" w:rsidRPr="009E1320" w14:paraId="4398A3E3" w14:textId="77777777" w:rsidTr="009E1320">
        <w:trPr>
          <w:trHeight w:val="491"/>
        </w:trPr>
        <w:tc>
          <w:tcPr>
            <w:tcW w:w="9623" w:type="dxa"/>
            <w:gridSpan w:val="15"/>
            <w:tcBorders>
              <w:top w:val="single" w:sz="4" w:space="0" w:color="auto"/>
              <w:left w:val="single" w:sz="4" w:space="0" w:color="auto"/>
              <w:bottom w:val="single" w:sz="4" w:space="0" w:color="auto"/>
              <w:right w:val="single" w:sz="4" w:space="0" w:color="auto"/>
            </w:tcBorders>
            <w:shd w:val="clear" w:color="auto" w:fill="365F91"/>
            <w:noWrap/>
            <w:vAlign w:val="center"/>
          </w:tcPr>
          <w:p w14:paraId="349141DE" w14:textId="5B6E495F" w:rsidR="009E1320" w:rsidRPr="009E1320" w:rsidRDefault="009E1320" w:rsidP="009E1320">
            <w:pPr>
              <w:spacing w:after="0" w:line="240" w:lineRule="auto"/>
              <w:jc w:val="center"/>
              <w:rPr>
                <w:rFonts w:eastAsia="Times New Roman" w:cs="Arial"/>
                <w:b/>
                <w:color w:val="FFFFFF"/>
                <w:sz w:val="20"/>
                <w:szCs w:val="20"/>
                <w:lang w:eastAsia="en-US"/>
              </w:rPr>
            </w:pPr>
            <w:r>
              <w:rPr>
                <w:rFonts w:eastAsia="Times New Roman" w:cs="Arial"/>
                <w:b/>
                <w:color w:val="FFFFFF"/>
                <w:sz w:val="20"/>
                <w:szCs w:val="20"/>
                <w:lang w:eastAsia="en-US"/>
              </w:rPr>
              <w:t>Station 82 Apparatus</w:t>
            </w:r>
          </w:p>
        </w:tc>
      </w:tr>
      <w:tr w:rsidR="009E1320" w:rsidRPr="009E1320" w14:paraId="6C1A8973" w14:textId="77777777" w:rsidTr="009E1320">
        <w:trPr>
          <w:trHeight w:val="491"/>
        </w:trPr>
        <w:tc>
          <w:tcPr>
            <w:tcW w:w="1724" w:type="dxa"/>
            <w:gridSpan w:val="2"/>
            <w:tcBorders>
              <w:top w:val="single" w:sz="4" w:space="0" w:color="auto"/>
              <w:left w:val="single" w:sz="4" w:space="0" w:color="auto"/>
              <w:bottom w:val="single" w:sz="4" w:space="0" w:color="auto"/>
              <w:right w:val="single" w:sz="4" w:space="0" w:color="auto"/>
            </w:tcBorders>
            <w:shd w:val="clear" w:color="auto" w:fill="365F91"/>
            <w:noWrap/>
            <w:vAlign w:val="center"/>
          </w:tcPr>
          <w:p w14:paraId="29FBBC5F" w14:textId="77777777" w:rsidR="009E1320" w:rsidRPr="009E1320" w:rsidRDefault="009E1320" w:rsidP="009E1320">
            <w:pPr>
              <w:spacing w:after="0" w:line="240" w:lineRule="auto"/>
              <w:jc w:val="center"/>
              <w:rPr>
                <w:rFonts w:eastAsia="Times New Roman" w:cs="Arial"/>
                <w:b/>
                <w:color w:val="FFFFFF"/>
                <w:sz w:val="20"/>
                <w:szCs w:val="20"/>
                <w:lang w:eastAsia="en-US"/>
              </w:rPr>
            </w:pPr>
            <w:r w:rsidRPr="009E1320">
              <w:rPr>
                <w:rFonts w:eastAsia="Times New Roman" w:cs="Arial"/>
                <w:b/>
                <w:color w:val="FFFFFF"/>
                <w:sz w:val="20"/>
                <w:szCs w:val="20"/>
                <w:lang w:eastAsia="en-US"/>
              </w:rPr>
              <w:t>Apparatus Designation</w:t>
            </w:r>
          </w:p>
        </w:tc>
        <w:tc>
          <w:tcPr>
            <w:tcW w:w="1440" w:type="dxa"/>
            <w:gridSpan w:val="2"/>
            <w:tcBorders>
              <w:top w:val="single" w:sz="4" w:space="0" w:color="auto"/>
              <w:left w:val="nil"/>
              <w:bottom w:val="single" w:sz="4" w:space="0" w:color="auto"/>
              <w:right w:val="single" w:sz="4" w:space="0" w:color="auto"/>
            </w:tcBorders>
            <w:shd w:val="clear" w:color="auto" w:fill="365F91"/>
            <w:noWrap/>
            <w:vAlign w:val="center"/>
          </w:tcPr>
          <w:p w14:paraId="39765D8E" w14:textId="77777777" w:rsidR="009E1320" w:rsidRPr="009E1320" w:rsidRDefault="009E1320" w:rsidP="009E1320">
            <w:pPr>
              <w:spacing w:after="0" w:line="240" w:lineRule="auto"/>
              <w:jc w:val="center"/>
              <w:rPr>
                <w:rFonts w:eastAsia="Times New Roman" w:cs="Arial"/>
                <w:b/>
                <w:color w:val="FFFFFF"/>
                <w:sz w:val="20"/>
                <w:szCs w:val="20"/>
                <w:lang w:eastAsia="en-US"/>
              </w:rPr>
            </w:pPr>
            <w:r w:rsidRPr="009E1320">
              <w:rPr>
                <w:rFonts w:eastAsia="Times New Roman" w:cs="Arial"/>
                <w:b/>
                <w:color w:val="FFFFFF"/>
                <w:sz w:val="20"/>
                <w:szCs w:val="20"/>
                <w:lang w:eastAsia="en-US"/>
              </w:rPr>
              <w:t>Type</w:t>
            </w:r>
          </w:p>
        </w:tc>
        <w:tc>
          <w:tcPr>
            <w:tcW w:w="720" w:type="dxa"/>
            <w:gridSpan w:val="2"/>
            <w:tcBorders>
              <w:top w:val="single" w:sz="4" w:space="0" w:color="auto"/>
              <w:left w:val="nil"/>
              <w:bottom w:val="single" w:sz="4" w:space="0" w:color="auto"/>
              <w:right w:val="single" w:sz="4" w:space="0" w:color="auto"/>
            </w:tcBorders>
            <w:shd w:val="clear" w:color="auto" w:fill="365F91"/>
            <w:noWrap/>
            <w:vAlign w:val="center"/>
          </w:tcPr>
          <w:p w14:paraId="0CEFF0A6" w14:textId="77777777" w:rsidR="009E1320" w:rsidRPr="009E1320" w:rsidRDefault="009E1320" w:rsidP="009E1320">
            <w:pPr>
              <w:spacing w:after="0" w:line="240" w:lineRule="auto"/>
              <w:jc w:val="center"/>
              <w:rPr>
                <w:rFonts w:eastAsia="Times New Roman" w:cs="Arial"/>
                <w:b/>
                <w:color w:val="FFFFFF"/>
                <w:sz w:val="20"/>
                <w:szCs w:val="20"/>
                <w:lang w:eastAsia="en-US"/>
              </w:rPr>
            </w:pPr>
            <w:r w:rsidRPr="009E1320">
              <w:rPr>
                <w:rFonts w:eastAsia="Times New Roman" w:cs="Arial"/>
                <w:b/>
                <w:color w:val="FFFFFF"/>
                <w:sz w:val="20"/>
                <w:szCs w:val="20"/>
                <w:lang w:eastAsia="en-US"/>
              </w:rPr>
              <w:t>Year</w:t>
            </w:r>
          </w:p>
        </w:tc>
        <w:tc>
          <w:tcPr>
            <w:tcW w:w="1685" w:type="dxa"/>
            <w:gridSpan w:val="2"/>
            <w:tcBorders>
              <w:top w:val="single" w:sz="4" w:space="0" w:color="auto"/>
              <w:left w:val="nil"/>
              <w:bottom w:val="single" w:sz="4" w:space="0" w:color="auto"/>
              <w:right w:val="single" w:sz="4" w:space="0" w:color="auto"/>
            </w:tcBorders>
            <w:shd w:val="clear" w:color="auto" w:fill="365F91"/>
            <w:noWrap/>
            <w:vAlign w:val="center"/>
          </w:tcPr>
          <w:p w14:paraId="6BEFBE88" w14:textId="77777777" w:rsidR="009E1320" w:rsidRPr="009E1320" w:rsidRDefault="009E1320" w:rsidP="009E1320">
            <w:pPr>
              <w:spacing w:after="0" w:line="240" w:lineRule="auto"/>
              <w:jc w:val="center"/>
              <w:rPr>
                <w:rFonts w:eastAsia="Times New Roman" w:cs="Arial"/>
                <w:b/>
                <w:color w:val="FFFFFF"/>
                <w:sz w:val="20"/>
                <w:szCs w:val="20"/>
                <w:lang w:eastAsia="en-US"/>
              </w:rPr>
            </w:pPr>
            <w:r w:rsidRPr="009E1320">
              <w:rPr>
                <w:rFonts w:eastAsia="Times New Roman" w:cs="Arial"/>
                <w:b/>
                <w:color w:val="FFFFFF"/>
                <w:sz w:val="20"/>
                <w:szCs w:val="20"/>
                <w:lang w:eastAsia="en-US"/>
              </w:rPr>
              <w:t>Make &amp; Model</w:t>
            </w:r>
          </w:p>
        </w:tc>
        <w:tc>
          <w:tcPr>
            <w:tcW w:w="1144" w:type="dxa"/>
            <w:gridSpan w:val="3"/>
            <w:tcBorders>
              <w:top w:val="single" w:sz="4" w:space="0" w:color="auto"/>
              <w:left w:val="nil"/>
              <w:bottom w:val="single" w:sz="4" w:space="0" w:color="auto"/>
              <w:right w:val="single" w:sz="4" w:space="0" w:color="auto"/>
            </w:tcBorders>
            <w:shd w:val="clear" w:color="auto" w:fill="365F91"/>
            <w:noWrap/>
            <w:vAlign w:val="center"/>
          </w:tcPr>
          <w:p w14:paraId="676D6A61" w14:textId="77777777" w:rsidR="009E1320" w:rsidRPr="009E1320" w:rsidRDefault="009E1320" w:rsidP="009E1320">
            <w:pPr>
              <w:spacing w:after="0" w:line="240" w:lineRule="auto"/>
              <w:jc w:val="center"/>
              <w:rPr>
                <w:rFonts w:eastAsia="Times New Roman" w:cs="Arial"/>
                <w:b/>
                <w:color w:val="FFFFFF"/>
                <w:sz w:val="20"/>
                <w:szCs w:val="20"/>
                <w:lang w:eastAsia="en-US"/>
              </w:rPr>
            </w:pPr>
            <w:r w:rsidRPr="009E1320">
              <w:rPr>
                <w:rFonts w:eastAsia="Times New Roman" w:cs="Arial"/>
                <w:b/>
                <w:color w:val="FFFFFF"/>
                <w:sz w:val="20"/>
                <w:szCs w:val="20"/>
                <w:lang w:eastAsia="en-US"/>
              </w:rPr>
              <w:t>Condition</w:t>
            </w:r>
          </w:p>
        </w:tc>
        <w:tc>
          <w:tcPr>
            <w:tcW w:w="930" w:type="dxa"/>
            <w:gridSpan w:val="2"/>
            <w:tcBorders>
              <w:top w:val="single" w:sz="4" w:space="0" w:color="auto"/>
              <w:left w:val="nil"/>
              <w:bottom w:val="single" w:sz="4" w:space="0" w:color="auto"/>
              <w:right w:val="single" w:sz="4" w:space="0" w:color="auto"/>
            </w:tcBorders>
            <w:shd w:val="clear" w:color="auto" w:fill="365F91"/>
            <w:vAlign w:val="center"/>
          </w:tcPr>
          <w:p w14:paraId="6B96F88E" w14:textId="77777777" w:rsidR="009E1320" w:rsidRPr="009E1320" w:rsidRDefault="009E1320" w:rsidP="009E1320">
            <w:pPr>
              <w:spacing w:after="0" w:line="240" w:lineRule="auto"/>
              <w:jc w:val="center"/>
              <w:rPr>
                <w:rFonts w:eastAsia="Times New Roman" w:cs="Arial"/>
                <w:b/>
                <w:color w:val="FFFFFF"/>
                <w:sz w:val="20"/>
                <w:szCs w:val="20"/>
                <w:lang w:eastAsia="en-US"/>
              </w:rPr>
            </w:pPr>
            <w:r w:rsidRPr="009E1320">
              <w:rPr>
                <w:rFonts w:eastAsia="Times New Roman" w:cs="Arial"/>
                <w:b/>
                <w:color w:val="FFFFFF"/>
                <w:sz w:val="20"/>
                <w:szCs w:val="20"/>
                <w:lang w:eastAsia="en-US"/>
              </w:rPr>
              <w:t>Min. Staffing</w:t>
            </w:r>
          </w:p>
        </w:tc>
        <w:tc>
          <w:tcPr>
            <w:tcW w:w="990" w:type="dxa"/>
            <w:tcBorders>
              <w:top w:val="single" w:sz="4" w:space="0" w:color="auto"/>
              <w:left w:val="nil"/>
              <w:bottom w:val="single" w:sz="4" w:space="0" w:color="auto"/>
              <w:right w:val="single" w:sz="4" w:space="0" w:color="auto"/>
            </w:tcBorders>
            <w:shd w:val="clear" w:color="auto" w:fill="365F91"/>
            <w:vAlign w:val="center"/>
          </w:tcPr>
          <w:p w14:paraId="19CA6051" w14:textId="77777777" w:rsidR="009E1320" w:rsidRPr="009E1320" w:rsidRDefault="009E1320" w:rsidP="009E1320">
            <w:pPr>
              <w:spacing w:after="0" w:line="240" w:lineRule="auto"/>
              <w:jc w:val="center"/>
              <w:rPr>
                <w:rFonts w:eastAsia="Times New Roman" w:cs="Arial"/>
                <w:b/>
                <w:color w:val="FFFFFF"/>
                <w:sz w:val="20"/>
                <w:szCs w:val="20"/>
                <w:lang w:eastAsia="en-US"/>
              </w:rPr>
            </w:pPr>
            <w:r w:rsidRPr="009E1320">
              <w:rPr>
                <w:rFonts w:eastAsia="Times New Roman" w:cs="Arial"/>
                <w:b/>
                <w:color w:val="FFFFFF"/>
                <w:sz w:val="20"/>
                <w:szCs w:val="20"/>
                <w:lang w:eastAsia="en-US"/>
              </w:rPr>
              <w:t>Pump Capacity</w:t>
            </w:r>
          </w:p>
        </w:tc>
        <w:tc>
          <w:tcPr>
            <w:tcW w:w="990" w:type="dxa"/>
            <w:tcBorders>
              <w:top w:val="single" w:sz="4" w:space="0" w:color="auto"/>
              <w:left w:val="nil"/>
              <w:bottom w:val="single" w:sz="4" w:space="0" w:color="auto"/>
              <w:right w:val="single" w:sz="4" w:space="0" w:color="auto"/>
            </w:tcBorders>
            <w:shd w:val="clear" w:color="auto" w:fill="365F91"/>
            <w:vAlign w:val="center"/>
          </w:tcPr>
          <w:p w14:paraId="03DDB94E" w14:textId="77777777" w:rsidR="009E1320" w:rsidRPr="009E1320" w:rsidRDefault="009E1320" w:rsidP="009E1320">
            <w:pPr>
              <w:spacing w:after="0" w:line="240" w:lineRule="auto"/>
              <w:jc w:val="center"/>
              <w:rPr>
                <w:rFonts w:eastAsia="Times New Roman" w:cs="Arial"/>
                <w:b/>
                <w:color w:val="FFFFFF"/>
                <w:sz w:val="20"/>
                <w:szCs w:val="20"/>
                <w:lang w:eastAsia="en-US"/>
              </w:rPr>
            </w:pPr>
            <w:r w:rsidRPr="009E1320">
              <w:rPr>
                <w:rFonts w:eastAsia="Times New Roman" w:cs="Arial"/>
                <w:b/>
                <w:color w:val="FFFFFF"/>
                <w:sz w:val="20"/>
                <w:szCs w:val="20"/>
                <w:lang w:eastAsia="en-US"/>
              </w:rPr>
              <w:t>Tank Capacity</w:t>
            </w:r>
          </w:p>
        </w:tc>
      </w:tr>
      <w:tr w:rsidR="009E1320" w:rsidRPr="009E1320" w14:paraId="52D361B4" w14:textId="77777777" w:rsidTr="009E1320">
        <w:trPr>
          <w:trHeight w:val="264"/>
        </w:trPr>
        <w:tc>
          <w:tcPr>
            <w:tcW w:w="1724" w:type="dxa"/>
            <w:gridSpan w:val="2"/>
            <w:tcBorders>
              <w:top w:val="nil"/>
              <w:left w:val="single" w:sz="4" w:space="0" w:color="auto"/>
              <w:bottom w:val="single" w:sz="4" w:space="0" w:color="auto"/>
              <w:right w:val="single" w:sz="4" w:space="0" w:color="auto"/>
            </w:tcBorders>
            <w:shd w:val="clear" w:color="auto" w:fill="auto"/>
            <w:noWrap/>
          </w:tcPr>
          <w:p w14:paraId="5117EFBF" w14:textId="4C0804FF" w:rsidR="009E1320" w:rsidRPr="009E1320" w:rsidRDefault="009E1320" w:rsidP="009E1320">
            <w:pPr>
              <w:spacing w:after="0" w:line="240" w:lineRule="auto"/>
              <w:jc w:val="left"/>
              <w:rPr>
                <w:rFonts w:eastAsia="Times New Roman" w:cs="Arial"/>
                <w:sz w:val="20"/>
                <w:szCs w:val="20"/>
                <w:lang w:eastAsia="en-US"/>
              </w:rPr>
            </w:pPr>
            <w:r w:rsidRPr="009E1320">
              <w:rPr>
                <w:rFonts w:eastAsia="Times New Roman" w:cs="Arial"/>
                <w:sz w:val="20"/>
                <w:szCs w:val="20"/>
                <w:lang w:eastAsia="en-US"/>
              </w:rPr>
              <w:t>L2811/#3134</w:t>
            </w:r>
          </w:p>
        </w:tc>
        <w:tc>
          <w:tcPr>
            <w:tcW w:w="1440" w:type="dxa"/>
            <w:gridSpan w:val="2"/>
            <w:tcBorders>
              <w:top w:val="nil"/>
              <w:left w:val="nil"/>
              <w:bottom w:val="single" w:sz="4" w:space="0" w:color="auto"/>
              <w:right w:val="single" w:sz="4" w:space="0" w:color="auto"/>
            </w:tcBorders>
            <w:shd w:val="clear" w:color="auto" w:fill="auto"/>
            <w:noWrap/>
          </w:tcPr>
          <w:p w14:paraId="1E554CAD"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Ladder T1</w:t>
            </w:r>
          </w:p>
        </w:tc>
        <w:tc>
          <w:tcPr>
            <w:tcW w:w="720" w:type="dxa"/>
            <w:gridSpan w:val="2"/>
            <w:tcBorders>
              <w:top w:val="nil"/>
              <w:left w:val="nil"/>
              <w:bottom w:val="single" w:sz="4" w:space="0" w:color="auto"/>
              <w:right w:val="single" w:sz="4" w:space="0" w:color="auto"/>
            </w:tcBorders>
            <w:shd w:val="clear" w:color="auto" w:fill="auto"/>
            <w:noWrap/>
          </w:tcPr>
          <w:p w14:paraId="496B5DF7"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2012</w:t>
            </w:r>
          </w:p>
        </w:tc>
        <w:tc>
          <w:tcPr>
            <w:tcW w:w="1685" w:type="dxa"/>
            <w:gridSpan w:val="2"/>
            <w:tcBorders>
              <w:top w:val="nil"/>
              <w:left w:val="nil"/>
              <w:bottom w:val="single" w:sz="4" w:space="0" w:color="auto"/>
              <w:right w:val="single" w:sz="4" w:space="0" w:color="auto"/>
            </w:tcBorders>
            <w:shd w:val="clear" w:color="auto" w:fill="auto"/>
            <w:noWrap/>
          </w:tcPr>
          <w:p w14:paraId="3700B3C2"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Rosenbauer</w:t>
            </w:r>
          </w:p>
        </w:tc>
        <w:tc>
          <w:tcPr>
            <w:tcW w:w="1144" w:type="dxa"/>
            <w:gridSpan w:val="3"/>
            <w:tcBorders>
              <w:top w:val="nil"/>
              <w:left w:val="nil"/>
              <w:bottom w:val="single" w:sz="4" w:space="0" w:color="auto"/>
              <w:right w:val="single" w:sz="4" w:space="0" w:color="auto"/>
            </w:tcBorders>
            <w:shd w:val="clear" w:color="auto" w:fill="auto"/>
            <w:noWrap/>
          </w:tcPr>
          <w:p w14:paraId="30FCE9F3"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Good</w:t>
            </w:r>
          </w:p>
        </w:tc>
        <w:tc>
          <w:tcPr>
            <w:tcW w:w="930" w:type="dxa"/>
            <w:gridSpan w:val="2"/>
            <w:tcBorders>
              <w:top w:val="nil"/>
              <w:left w:val="nil"/>
              <w:bottom w:val="single" w:sz="4" w:space="0" w:color="auto"/>
              <w:right w:val="single" w:sz="4" w:space="0" w:color="auto"/>
            </w:tcBorders>
            <w:shd w:val="clear" w:color="auto" w:fill="auto"/>
            <w:noWrap/>
          </w:tcPr>
          <w:p w14:paraId="71A7EC43"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2</w:t>
            </w:r>
          </w:p>
        </w:tc>
        <w:tc>
          <w:tcPr>
            <w:tcW w:w="990" w:type="dxa"/>
            <w:tcBorders>
              <w:top w:val="nil"/>
              <w:left w:val="nil"/>
              <w:bottom w:val="single" w:sz="4" w:space="0" w:color="auto"/>
              <w:right w:val="single" w:sz="4" w:space="0" w:color="auto"/>
            </w:tcBorders>
            <w:shd w:val="clear" w:color="auto" w:fill="auto"/>
          </w:tcPr>
          <w:p w14:paraId="521FB023" w14:textId="2B22A44B"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2</w:t>
            </w:r>
            <w:r w:rsidR="0080425B">
              <w:rPr>
                <w:rFonts w:eastAsia="Times New Roman" w:cs="Arial"/>
                <w:sz w:val="20"/>
                <w:szCs w:val="20"/>
                <w:lang w:eastAsia="en-US"/>
              </w:rPr>
              <w:t>,</w:t>
            </w:r>
            <w:r w:rsidRPr="009E1320">
              <w:rPr>
                <w:rFonts w:eastAsia="Times New Roman" w:cs="Arial"/>
                <w:sz w:val="20"/>
                <w:szCs w:val="20"/>
                <w:lang w:eastAsia="en-US"/>
              </w:rPr>
              <w:t>000</w:t>
            </w:r>
          </w:p>
        </w:tc>
        <w:tc>
          <w:tcPr>
            <w:tcW w:w="990" w:type="dxa"/>
            <w:tcBorders>
              <w:top w:val="nil"/>
              <w:left w:val="nil"/>
              <w:bottom w:val="single" w:sz="4" w:space="0" w:color="auto"/>
              <w:right w:val="single" w:sz="4" w:space="0" w:color="auto"/>
            </w:tcBorders>
            <w:shd w:val="clear" w:color="auto" w:fill="auto"/>
          </w:tcPr>
          <w:p w14:paraId="24B51AD7"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400</w:t>
            </w:r>
          </w:p>
        </w:tc>
      </w:tr>
      <w:tr w:rsidR="009E1320" w:rsidRPr="009E1320" w14:paraId="35436C94" w14:textId="77777777" w:rsidTr="009E1320">
        <w:trPr>
          <w:trHeight w:val="264"/>
        </w:trPr>
        <w:tc>
          <w:tcPr>
            <w:tcW w:w="1724" w:type="dxa"/>
            <w:gridSpan w:val="2"/>
            <w:tcBorders>
              <w:top w:val="nil"/>
              <w:left w:val="single" w:sz="4" w:space="0" w:color="auto"/>
              <w:bottom w:val="single" w:sz="4" w:space="0" w:color="auto"/>
              <w:right w:val="single" w:sz="4" w:space="0" w:color="auto"/>
            </w:tcBorders>
            <w:shd w:val="clear" w:color="auto" w:fill="auto"/>
            <w:noWrap/>
          </w:tcPr>
          <w:p w14:paraId="125807B1" w14:textId="77777777" w:rsidR="009E1320" w:rsidRPr="009E1320" w:rsidRDefault="009E1320" w:rsidP="009E1320">
            <w:pPr>
              <w:spacing w:after="0" w:line="240" w:lineRule="auto"/>
              <w:jc w:val="left"/>
              <w:rPr>
                <w:rFonts w:eastAsia="Times New Roman" w:cs="Arial"/>
                <w:sz w:val="20"/>
                <w:szCs w:val="20"/>
                <w:lang w:eastAsia="en-US"/>
              </w:rPr>
            </w:pPr>
            <w:r w:rsidRPr="009E1320">
              <w:rPr>
                <w:rFonts w:eastAsia="Times New Roman" w:cs="Arial"/>
                <w:sz w:val="20"/>
                <w:szCs w:val="20"/>
                <w:lang w:eastAsia="en-US"/>
              </w:rPr>
              <w:t>R2841/#3125</w:t>
            </w:r>
          </w:p>
        </w:tc>
        <w:tc>
          <w:tcPr>
            <w:tcW w:w="1440" w:type="dxa"/>
            <w:gridSpan w:val="2"/>
            <w:tcBorders>
              <w:top w:val="nil"/>
              <w:left w:val="nil"/>
              <w:bottom w:val="single" w:sz="4" w:space="0" w:color="auto"/>
              <w:right w:val="single" w:sz="4" w:space="0" w:color="auto"/>
            </w:tcBorders>
            <w:shd w:val="clear" w:color="auto" w:fill="auto"/>
            <w:noWrap/>
          </w:tcPr>
          <w:p w14:paraId="562BC7D9"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Rescue T4</w:t>
            </w:r>
          </w:p>
        </w:tc>
        <w:tc>
          <w:tcPr>
            <w:tcW w:w="720" w:type="dxa"/>
            <w:gridSpan w:val="2"/>
            <w:tcBorders>
              <w:top w:val="nil"/>
              <w:left w:val="nil"/>
              <w:bottom w:val="single" w:sz="4" w:space="0" w:color="auto"/>
              <w:right w:val="single" w:sz="4" w:space="0" w:color="auto"/>
            </w:tcBorders>
            <w:shd w:val="clear" w:color="auto" w:fill="auto"/>
            <w:noWrap/>
          </w:tcPr>
          <w:p w14:paraId="689EB2A9"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2006</w:t>
            </w:r>
          </w:p>
        </w:tc>
        <w:tc>
          <w:tcPr>
            <w:tcW w:w="1685" w:type="dxa"/>
            <w:gridSpan w:val="2"/>
            <w:tcBorders>
              <w:top w:val="nil"/>
              <w:left w:val="nil"/>
              <w:bottom w:val="single" w:sz="4" w:space="0" w:color="auto"/>
              <w:right w:val="single" w:sz="4" w:space="0" w:color="auto"/>
            </w:tcBorders>
            <w:shd w:val="clear" w:color="auto" w:fill="auto"/>
            <w:noWrap/>
          </w:tcPr>
          <w:p w14:paraId="2B38EDA4"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Ford F550</w:t>
            </w:r>
          </w:p>
        </w:tc>
        <w:tc>
          <w:tcPr>
            <w:tcW w:w="1144" w:type="dxa"/>
            <w:gridSpan w:val="3"/>
            <w:tcBorders>
              <w:top w:val="nil"/>
              <w:left w:val="nil"/>
              <w:bottom w:val="single" w:sz="4" w:space="0" w:color="auto"/>
              <w:right w:val="single" w:sz="4" w:space="0" w:color="auto"/>
            </w:tcBorders>
            <w:shd w:val="clear" w:color="auto" w:fill="auto"/>
            <w:noWrap/>
          </w:tcPr>
          <w:p w14:paraId="420163CD"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Good</w:t>
            </w:r>
          </w:p>
        </w:tc>
        <w:tc>
          <w:tcPr>
            <w:tcW w:w="930" w:type="dxa"/>
            <w:gridSpan w:val="2"/>
            <w:tcBorders>
              <w:top w:val="nil"/>
              <w:left w:val="nil"/>
              <w:bottom w:val="single" w:sz="4" w:space="0" w:color="auto"/>
              <w:right w:val="single" w:sz="4" w:space="0" w:color="auto"/>
            </w:tcBorders>
            <w:shd w:val="clear" w:color="auto" w:fill="auto"/>
            <w:noWrap/>
          </w:tcPr>
          <w:p w14:paraId="4A5E844B"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2</w:t>
            </w:r>
          </w:p>
        </w:tc>
        <w:tc>
          <w:tcPr>
            <w:tcW w:w="990" w:type="dxa"/>
            <w:tcBorders>
              <w:top w:val="nil"/>
              <w:left w:val="nil"/>
              <w:bottom w:val="single" w:sz="4" w:space="0" w:color="auto"/>
              <w:right w:val="single" w:sz="4" w:space="0" w:color="auto"/>
            </w:tcBorders>
            <w:shd w:val="clear" w:color="auto" w:fill="auto"/>
          </w:tcPr>
          <w:p w14:paraId="2705FC67"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N/A</w:t>
            </w:r>
          </w:p>
        </w:tc>
        <w:tc>
          <w:tcPr>
            <w:tcW w:w="990" w:type="dxa"/>
            <w:tcBorders>
              <w:top w:val="nil"/>
              <w:left w:val="nil"/>
              <w:bottom w:val="single" w:sz="4" w:space="0" w:color="auto"/>
              <w:right w:val="single" w:sz="4" w:space="0" w:color="auto"/>
            </w:tcBorders>
            <w:shd w:val="clear" w:color="auto" w:fill="auto"/>
          </w:tcPr>
          <w:p w14:paraId="2BB0B603"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N/A</w:t>
            </w:r>
          </w:p>
        </w:tc>
      </w:tr>
      <w:tr w:rsidR="009E1320" w:rsidRPr="009E1320" w14:paraId="01CEC778" w14:textId="77777777" w:rsidTr="009E1320">
        <w:trPr>
          <w:trHeight w:val="264"/>
        </w:trPr>
        <w:tc>
          <w:tcPr>
            <w:tcW w:w="1724" w:type="dxa"/>
            <w:gridSpan w:val="2"/>
            <w:tcBorders>
              <w:top w:val="nil"/>
              <w:left w:val="single" w:sz="4" w:space="0" w:color="auto"/>
              <w:bottom w:val="single" w:sz="4" w:space="0" w:color="auto"/>
              <w:right w:val="single" w:sz="4" w:space="0" w:color="auto"/>
            </w:tcBorders>
            <w:shd w:val="clear" w:color="auto" w:fill="auto"/>
            <w:noWrap/>
          </w:tcPr>
          <w:p w14:paraId="76A93B49" w14:textId="77777777" w:rsidR="009E1320" w:rsidRPr="009E1320" w:rsidRDefault="009E1320" w:rsidP="009E1320">
            <w:pPr>
              <w:spacing w:after="0" w:line="240" w:lineRule="auto"/>
              <w:jc w:val="left"/>
              <w:rPr>
                <w:rFonts w:eastAsia="Times New Roman" w:cs="Arial"/>
                <w:sz w:val="20"/>
                <w:szCs w:val="20"/>
                <w:lang w:eastAsia="en-US"/>
              </w:rPr>
            </w:pPr>
            <w:r w:rsidRPr="009E1320">
              <w:rPr>
                <w:rFonts w:eastAsia="Times New Roman" w:cs="Arial"/>
                <w:sz w:val="20"/>
                <w:szCs w:val="20"/>
                <w:lang w:eastAsia="en-US"/>
              </w:rPr>
              <w:t>M2822/#3135</w:t>
            </w:r>
          </w:p>
        </w:tc>
        <w:tc>
          <w:tcPr>
            <w:tcW w:w="1440" w:type="dxa"/>
            <w:gridSpan w:val="2"/>
            <w:tcBorders>
              <w:top w:val="nil"/>
              <w:left w:val="nil"/>
              <w:bottom w:val="single" w:sz="4" w:space="0" w:color="auto"/>
              <w:right w:val="single" w:sz="4" w:space="0" w:color="auto"/>
            </w:tcBorders>
            <w:shd w:val="clear" w:color="auto" w:fill="auto"/>
            <w:noWrap/>
          </w:tcPr>
          <w:p w14:paraId="55545156"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Ambulance T2</w:t>
            </w:r>
          </w:p>
        </w:tc>
        <w:tc>
          <w:tcPr>
            <w:tcW w:w="720" w:type="dxa"/>
            <w:gridSpan w:val="2"/>
            <w:tcBorders>
              <w:top w:val="nil"/>
              <w:left w:val="nil"/>
              <w:bottom w:val="single" w:sz="4" w:space="0" w:color="auto"/>
              <w:right w:val="single" w:sz="4" w:space="0" w:color="auto"/>
            </w:tcBorders>
            <w:shd w:val="clear" w:color="auto" w:fill="auto"/>
            <w:noWrap/>
          </w:tcPr>
          <w:p w14:paraId="1EC126C9"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2014</w:t>
            </w:r>
          </w:p>
        </w:tc>
        <w:tc>
          <w:tcPr>
            <w:tcW w:w="1685" w:type="dxa"/>
            <w:gridSpan w:val="2"/>
            <w:tcBorders>
              <w:top w:val="nil"/>
              <w:left w:val="nil"/>
              <w:bottom w:val="single" w:sz="4" w:space="0" w:color="auto"/>
              <w:right w:val="single" w:sz="4" w:space="0" w:color="auto"/>
            </w:tcBorders>
            <w:shd w:val="clear" w:color="auto" w:fill="auto"/>
            <w:noWrap/>
          </w:tcPr>
          <w:p w14:paraId="72F9BEFD"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 xml:space="preserve">Dodge 4500 </w:t>
            </w:r>
          </w:p>
        </w:tc>
        <w:tc>
          <w:tcPr>
            <w:tcW w:w="1144" w:type="dxa"/>
            <w:gridSpan w:val="3"/>
            <w:tcBorders>
              <w:top w:val="nil"/>
              <w:left w:val="nil"/>
              <w:bottom w:val="single" w:sz="4" w:space="0" w:color="auto"/>
              <w:right w:val="single" w:sz="4" w:space="0" w:color="auto"/>
            </w:tcBorders>
            <w:shd w:val="clear" w:color="auto" w:fill="auto"/>
            <w:noWrap/>
          </w:tcPr>
          <w:p w14:paraId="7220E52C"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New</w:t>
            </w:r>
          </w:p>
        </w:tc>
        <w:tc>
          <w:tcPr>
            <w:tcW w:w="930" w:type="dxa"/>
            <w:gridSpan w:val="2"/>
            <w:tcBorders>
              <w:top w:val="nil"/>
              <w:left w:val="nil"/>
              <w:bottom w:val="single" w:sz="4" w:space="0" w:color="auto"/>
              <w:right w:val="single" w:sz="4" w:space="0" w:color="auto"/>
            </w:tcBorders>
            <w:shd w:val="clear" w:color="auto" w:fill="auto"/>
            <w:noWrap/>
          </w:tcPr>
          <w:p w14:paraId="7304AD29"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2</w:t>
            </w:r>
          </w:p>
        </w:tc>
        <w:tc>
          <w:tcPr>
            <w:tcW w:w="990" w:type="dxa"/>
            <w:tcBorders>
              <w:top w:val="nil"/>
              <w:left w:val="nil"/>
              <w:bottom w:val="single" w:sz="4" w:space="0" w:color="auto"/>
              <w:right w:val="single" w:sz="4" w:space="0" w:color="auto"/>
            </w:tcBorders>
            <w:shd w:val="clear" w:color="auto" w:fill="auto"/>
          </w:tcPr>
          <w:p w14:paraId="1573F88E"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N/A</w:t>
            </w:r>
          </w:p>
        </w:tc>
        <w:tc>
          <w:tcPr>
            <w:tcW w:w="990" w:type="dxa"/>
            <w:tcBorders>
              <w:top w:val="nil"/>
              <w:left w:val="nil"/>
              <w:bottom w:val="single" w:sz="4" w:space="0" w:color="auto"/>
              <w:right w:val="single" w:sz="4" w:space="0" w:color="auto"/>
            </w:tcBorders>
            <w:shd w:val="clear" w:color="auto" w:fill="auto"/>
          </w:tcPr>
          <w:p w14:paraId="1D132067"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N/A</w:t>
            </w:r>
          </w:p>
        </w:tc>
      </w:tr>
      <w:tr w:rsidR="009E1320" w:rsidRPr="009E1320" w14:paraId="7CB95F10" w14:textId="77777777" w:rsidTr="009E1320">
        <w:trPr>
          <w:trHeight w:val="264"/>
        </w:trPr>
        <w:tc>
          <w:tcPr>
            <w:tcW w:w="1724" w:type="dxa"/>
            <w:gridSpan w:val="2"/>
            <w:tcBorders>
              <w:top w:val="nil"/>
              <w:left w:val="single" w:sz="4" w:space="0" w:color="auto"/>
              <w:bottom w:val="single" w:sz="4" w:space="0" w:color="auto"/>
              <w:right w:val="single" w:sz="4" w:space="0" w:color="auto"/>
            </w:tcBorders>
            <w:shd w:val="clear" w:color="auto" w:fill="auto"/>
            <w:noWrap/>
          </w:tcPr>
          <w:p w14:paraId="74C6F4F9" w14:textId="77777777" w:rsidR="009E1320" w:rsidRPr="009E1320" w:rsidRDefault="009E1320" w:rsidP="009E1320">
            <w:pPr>
              <w:spacing w:after="0" w:line="240" w:lineRule="auto"/>
              <w:jc w:val="left"/>
              <w:rPr>
                <w:rFonts w:eastAsia="Times New Roman" w:cs="Arial"/>
                <w:sz w:val="20"/>
                <w:szCs w:val="20"/>
                <w:lang w:eastAsia="en-US"/>
              </w:rPr>
            </w:pPr>
            <w:r w:rsidRPr="009E1320">
              <w:rPr>
                <w:rFonts w:eastAsia="Times New Roman" w:cs="Arial"/>
                <w:sz w:val="20"/>
                <w:szCs w:val="20"/>
                <w:lang w:eastAsia="en-US"/>
              </w:rPr>
              <w:t>E2814/#3124</w:t>
            </w:r>
          </w:p>
        </w:tc>
        <w:tc>
          <w:tcPr>
            <w:tcW w:w="1440" w:type="dxa"/>
            <w:gridSpan w:val="2"/>
            <w:tcBorders>
              <w:top w:val="nil"/>
              <w:left w:val="nil"/>
              <w:bottom w:val="single" w:sz="4" w:space="0" w:color="auto"/>
              <w:right w:val="single" w:sz="4" w:space="0" w:color="auto"/>
            </w:tcBorders>
            <w:shd w:val="clear" w:color="auto" w:fill="auto"/>
            <w:noWrap/>
          </w:tcPr>
          <w:p w14:paraId="0FB0DF03"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Engine T1</w:t>
            </w:r>
          </w:p>
        </w:tc>
        <w:tc>
          <w:tcPr>
            <w:tcW w:w="720" w:type="dxa"/>
            <w:gridSpan w:val="2"/>
            <w:tcBorders>
              <w:top w:val="nil"/>
              <w:left w:val="nil"/>
              <w:bottom w:val="single" w:sz="4" w:space="0" w:color="auto"/>
              <w:right w:val="single" w:sz="4" w:space="0" w:color="auto"/>
            </w:tcBorders>
            <w:shd w:val="clear" w:color="auto" w:fill="auto"/>
            <w:noWrap/>
          </w:tcPr>
          <w:p w14:paraId="0F682586"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2006</w:t>
            </w:r>
          </w:p>
        </w:tc>
        <w:tc>
          <w:tcPr>
            <w:tcW w:w="1685" w:type="dxa"/>
            <w:gridSpan w:val="2"/>
            <w:tcBorders>
              <w:top w:val="nil"/>
              <w:left w:val="nil"/>
              <w:bottom w:val="single" w:sz="4" w:space="0" w:color="auto"/>
              <w:right w:val="single" w:sz="4" w:space="0" w:color="auto"/>
            </w:tcBorders>
            <w:shd w:val="clear" w:color="auto" w:fill="auto"/>
            <w:noWrap/>
          </w:tcPr>
          <w:p w14:paraId="29743855"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HME</w:t>
            </w:r>
          </w:p>
        </w:tc>
        <w:tc>
          <w:tcPr>
            <w:tcW w:w="1144" w:type="dxa"/>
            <w:gridSpan w:val="3"/>
            <w:tcBorders>
              <w:top w:val="nil"/>
              <w:left w:val="nil"/>
              <w:bottom w:val="single" w:sz="4" w:space="0" w:color="auto"/>
              <w:right w:val="single" w:sz="4" w:space="0" w:color="auto"/>
            </w:tcBorders>
            <w:shd w:val="clear" w:color="auto" w:fill="auto"/>
            <w:noWrap/>
          </w:tcPr>
          <w:p w14:paraId="6AA1E6A0"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Reserve</w:t>
            </w:r>
          </w:p>
        </w:tc>
        <w:tc>
          <w:tcPr>
            <w:tcW w:w="930" w:type="dxa"/>
            <w:gridSpan w:val="2"/>
            <w:tcBorders>
              <w:top w:val="nil"/>
              <w:left w:val="nil"/>
              <w:bottom w:val="single" w:sz="4" w:space="0" w:color="auto"/>
              <w:right w:val="single" w:sz="4" w:space="0" w:color="auto"/>
            </w:tcBorders>
            <w:shd w:val="clear" w:color="auto" w:fill="auto"/>
            <w:noWrap/>
          </w:tcPr>
          <w:p w14:paraId="6019687B"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N/A</w:t>
            </w:r>
          </w:p>
        </w:tc>
        <w:tc>
          <w:tcPr>
            <w:tcW w:w="990" w:type="dxa"/>
            <w:tcBorders>
              <w:top w:val="nil"/>
              <w:left w:val="nil"/>
              <w:bottom w:val="single" w:sz="4" w:space="0" w:color="auto"/>
              <w:right w:val="single" w:sz="4" w:space="0" w:color="auto"/>
            </w:tcBorders>
            <w:shd w:val="clear" w:color="auto" w:fill="auto"/>
          </w:tcPr>
          <w:p w14:paraId="49CA2727" w14:textId="6B05A876"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1</w:t>
            </w:r>
            <w:r w:rsidR="0080425B">
              <w:rPr>
                <w:rFonts w:eastAsia="Times New Roman" w:cs="Arial"/>
                <w:sz w:val="20"/>
                <w:szCs w:val="20"/>
                <w:lang w:eastAsia="en-US"/>
              </w:rPr>
              <w:t>,</w:t>
            </w:r>
            <w:r w:rsidRPr="009E1320">
              <w:rPr>
                <w:rFonts w:eastAsia="Times New Roman" w:cs="Arial"/>
                <w:sz w:val="20"/>
                <w:szCs w:val="20"/>
                <w:lang w:eastAsia="en-US"/>
              </w:rPr>
              <w:t>500</w:t>
            </w:r>
          </w:p>
        </w:tc>
        <w:tc>
          <w:tcPr>
            <w:tcW w:w="990" w:type="dxa"/>
            <w:tcBorders>
              <w:top w:val="nil"/>
              <w:left w:val="nil"/>
              <w:bottom w:val="single" w:sz="4" w:space="0" w:color="auto"/>
              <w:right w:val="single" w:sz="4" w:space="0" w:color="auto"/>
            </w:tcBorders>
            <w:shd w:val="clear" w:color="auto" w:fill="auto"/>
          </w:tcPr>
          <w:p w14:paraId="6B4CCF4B"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750</w:t>
            </w:r>
          </w:p>
        </w:tc>
      </w:tr>
      <w:tr w:rsidR="009E1320" w:rsidRPr="009E1320" w14:paraId="57177094" w14:textId="77777777" w:rsidTr="009E1320">
        <w:trPr>
          <w:trHeight w:val="264"/>
        </w:trPr>
        <w:tc>
          <w:tcPr>
            <w:tcW w:w="1724" w:type="dxa"/>
            <w:gridSpan w:val="2"/>
            <w:tcBorders>
              <w:top w:val="nil"/>
              <w:left w:val="single" w:sz="4" w:space="0" w:color="auto"/>
              <w:bottom w:val="single" w:sz="4" w:space="0" w:color="auto"/>
              <w:right w:val="single" w:sz="4" w:space="0" w:color="auto"/>
            </w:tcBorders>
            <w:shd w:val="clear" w:color="auto" w:fill="auto"/>
            <w:noWrap/>
          </w:tcPr>
          <w:p w14:paraId="6E80DB86" w14:textId="77777777" w:rsidR="009E1320" w:rsidRPr="009E1320" w:rsidRDefault="009E1320" w:rsidP="009E1320">
            <w:pPr>
              <w:spacing w:after="0" w:line="240" w:lineRule="auto"/>
              <w:jc w:val="left"/>
              <w:rPr>
                <w:rFonts w:eastAsia="Times New Roman" w:cs="Arial"/>
                <w:sz w:val="20"/>
                <w:szCs w:val="20"/>
                <w:lang w:eastAsia="en-US"/>
              </w:rPr>
            </w:pPr>
            <w:r w:rsidRPr="009E1320">
              <w:rPr>
                <w:rFonts w:eastAsia="Times New Roman" w:cs="Arial"/>
                <w:sz w:val="20"/>
                <w:szCs w:val="20"/>
                <w:lang w:eastAsia="en-US"/>
              </w:rPr>
              <w:t>AR281</w:t>
            </w:r>
          </w:p>
        </w:tc>
        <w:tc>
          <w:tcPr>
            <w:tcW w:w="1440" w:type="dxa"/>
            <w:gridSpan w:val="2"/>
            <w:tcBorders>
              <w:top w:val="nil"/>
              <w:left w:val="nil"/>
              <w:bottom w:val="single" w:sz="4" w:space="0" w:color="auto"/>
              <w:right w:val="single" w:sz="4" w:space="0" w:color="auto"/>
            </w:tcBorders>
            <w:shd w:val="clear" w:color="auto" w:fill="auto"/>
            <w:noWrap/>
          </w:tcPr>
          <w:p w14:paraId="6072A77A"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ARFF</w:t>
            </w:r>
          </w:p>
        </w:tc>
        <w:tc>
          <w:tcPr>
            <w:tcW w:w="720" w:type="dxa"/>
            <w:gridSpan w:val="2"/>
            <w:tcBorders>
              <w:top w:val="nil"/>
              <w:left w:val="nil"/>
              <w:bottom w:val="single" w:sz="4" w:space="0" w:color="auto"/>
              <w:right w:val="single" w:sz="4" w:space="0" w:color="auto"/>
            </w:tcBorders>
            <w:shd w:val="clear" w:color="auto" w:fill="auto"/>
            <w:noWrap/>
          </w:tcPr>
          <w:p w14:paraId="298FE0A4"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2008</w:t>
            </w:r>
          </w:p>
        </w:tc>
        <w:tc>
          <w:tcPr>
            <w:tcW w:w="1685" w:type="dxa"/>
            <w:gridSpan w:val="2"/>
            <w:tcBorders>
              <w:top w:val="nil"/>
              <w:left w:val="nil"/>
              <w:bottom w:val="single" w:sz="4" w:space="0" w:color="auto"/>
              <w:right w:val="single" w:sz="4" w:space="0" w:color="auto"/>
            </w:tcBorders>
            <w:shd w:val="clear" w:color="auto" w:fill="auto"/>
            <w:noWrap/>
          </w:tcPr>
          <w:p w14:paraId="0FA9CDF2"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Oshkosh</w:t>
            </w:r>
          </w:p>
        </w:tc>
        <w:tc>
          <w:tcPr>
            <w:tcW w:w="1144" w:type="dxa"/>
            <w:gridSpan w:val="3"/>
            <w:tcBorders>
              <w:top w:val="nil"/>
              <w:left w:val="nil"/>
              <w:bottom w:val="single" w:sz="4" w:space="0" w:color="auto"/>
              <w:right w:val="single" w:sz="4" w:space="0" w:color="auto"/>
            </w:tcBorders>
            <w:shd w:val="clear" w:color="auto" w:fill="auto"/>
            <w:noWrap/>
          </w:tcPr>
          <w:p w14:paraId="004E72A4"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Good</w:t>
            </w:r>
          </w:p>
        </w:tc>
        <w:tc>
          <w:tcPr>
            <w:tcW w:w="930" w:type="dxa"/>
            <w:gridSpan w:val="2"/>
            <w:tcBorders>
              <w:top w:val="nil"/>
              <w:left w:val="nil"/>
              <w:bottom w:val="single" w:sz="4" w:space="0" w:color="auto"/>
              <w:right w:val="single" w:sz="4" w:space="0" w:color="auto"/>
            </w:tcBorders>
            <w:shd w:val="clear" w:color="auto" w:fill="auto"/>
            <w:noWrap/>
          </w:tcPr>
          <w:p w14:paraId="5C90BA1E"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1</w:t>
            </w:r>
          </w:p>
        </w:tc>
        <w:tc>
          <w:tcPr>
            <w:tcW w:w="990" w:type="dxa"/>
            <w:tcBorders>
              <w:top w:val="nil"/>
              <w:left w:val="nil"/>
              <w:bottom w:val="single" w:sz="4" w:space="0" w:color="auto"/>
              <w:right w:val="single" w:sz="4" w:space="0" w:color="auto"/>
            </w:tcBorders>
            <w:shd w:val="clear" w:color="auto" w:fill="auto"/>
          </w:tcPr>
          <w:p w14:paraId="3741081D" w14:textId="531CA131"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1</w:t>
            </w:r>
            <w:r w:rsidR="0080425B">
              <w:rPr>
                <w:rFonts w:eastAsia="Times New Roman" w:cs="Arial"/>
                <w:sz w:val="20"/>
                <w:szCs w:val="20"/>
                <w:lang w:eastAsia="en-US"/>
              </w:rPr>
              <w:t>,</w:t>
            </w:r>
            <w:r w:rsidRPr="009E1320">
              <w:rPr>
                <w:rFonts w:eastAsia="Times New Roman" w:cs="Arial"/>
                <w:sz w:val="20"/>
                <w:szCs w:val="20"/>
                <w:lang w:eastAsia="en-US"/>
              </w:rPr>
              <w:t>500</w:t>
            </w:r>
          </w:p>
        </w:tc>
        <w:tc>
          <w:tcPr>
            <w:tcW w:w="990" w:type="dxa"/>
            <w:tcBorders>
              <w:top w:val="nil"/>
              <w:left w:val="nil"/>
              <w:bottom w:val="single" w:sz="4" w:space="0" w:color="auto"/>
              <w:right w:val="single" w:sz="4" w:space="0" w:color="auto"/>
            </w:tcBorders>
            <w:shd w:val="clear" w:color="auto" w:fill="auto"/>
          </w:tcPr>
          <w:p w14:paraId="54E10206" w14:textId="1784AAED"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1</w:t>
            </w:r>
            <w:r w:rsidR="0080425B">
              <w:rPr>
                <w:rFonts w:eastAsia="Times New Roman" w:cs="Arial"/>
                <w:sz w:val="20"/>
                <w:szCs w:val="20"/>
                <w:lang w:eastAsia="en-US"/>
              </w:rPr>
              <w:t>,</w:t>
            </w:r>
            <w:r w:rsidRPr="009E1320">
              <w:rPr>
                <w:rFonts w:eastAsia="Times New Roman" w:cs="Arial"/>
                <w:sz w:val="20"/>
                <w:szCs w:val="20"/>
                <w:lang w:eastAsia="en-US"/>
              </w:rPr>
              <w:t>500</w:t>
            </w:r>
          </w:p>
        </w:tc>
      </w:tr>
      <w:tr w:rsidR="009E1320" w:rsidRPr="009E1320" w14:paraId="5DD03D37" w14:textId="77777777" w:rsidTr="009E1320">
        <w:trPr>
          <w:trHeight w:val="264"/>
        </w:trPr>
        <w:tc>
          <w:tcPr>
            <w:tcW w:w="1724" w:type="dxa"/>
            <w:gridSpan w:val="2"/>
            <w:tcBorders>
              <w:top w:val="nil"/>
              <w:left w:val="single" w:sz="4" w:space="0" w:color="auto"/>
              <w:bottom w:val="single" w:sz="4" w:space="0" w:color="auto"/>
              <w:right w:val="single" w:sz="4" w:space="0" w:color="auto"/>
            </w:tcBorders>
            <w:shd w:val="clear" w:color="auto" w:fill="auto"/>
            <w:noWrap/>
          </w:tcPr>
          <w:p w14:paraId="3946B3C9" w14:textId="77777777" w:rsidR="009E1320" w:rsidRPr="009E1320" w:rsidRDefault="009E1320" w:rsidP="009E1320">
            <w:pPr>
              <w:spacing w:after="0" w:line="240" w:lineRule="auto"/>
              <w:jc w:val="left"/>
              <w:rPr>
                <w:rFonts w:eastAsia="Times New Roman" w:cs="Arial"/>
                <w:sz w:val="20"/>
                <w:szCs w:val="20"/>
                <w:lang w:eastAsia="en-US"/>
              </w:rPr>
            </w:pPr>
            <w:r w:rsidRPr="009E1320">
              <w:rPr>
                <w:rFonts w:eastAsia="Times New Roman" w:cs="Arial"/>
                <w:sz w:val="20"/>
                <w:szCs w:val="20"/>
                <w:lang w:eastAsia="en-US"/>
              </w:rPr>
              <w:t>AR282</w:t>
            </w:r>
          </w:p>
        </w:tc>
        <w:tc>
          <w:tcPr>
            <w:tcW w:w="1440" w:type="dxa"/>
            <w:gridSpan w:val="2"/>
            <w:tcBorders>
              <w:top w:val="nil"/>
              <w:left w:val="nil"/>
              <w:bottom w:val="single" w:sz="4" w:space="0" w:color="auto"/>
              <w:right w:val="single" w:sz="4" w:space="0" w:color="auto"/>
            </w:tcBorders>
            <w:shd w:val="clear" w:color="auto" w:fill="auto"/>
            <w:noWrap/>
          </w:tcPr>
          <w:p w14:paraId="686BED93"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ARFF</w:t>
            </w:r>
          </w:p>
        </w:tc>
        <w:tc>
          <w:tcPr>
            <w:tcW w:w="720" w:type="dxa"/>
            <w:gridSpan w:val="2"/>
            <w:tcBorders>
              <w:top w:val="nil"/>
              <w:left w:val="nil"/>
              <w:bottom w:val="single" w:sz="4" w:space="0" w:color="auto"/>
              <w:right w:val="single" w:sz="4" w:space="0" w:color="auto"/>
            </w:tcBorders>
            <w:shd w:val="clear" w:color="auto" w:fill="auto"/>
            <w:noWrap/>
          </w:tcPr>
          <w:p w14:paraId="0F860C27"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1990</w:t>
            </w:r>
          </w:p>
        </w:tc>
        <w:tc>
          <w:tcPr>
            <w:tcW w:w="1685" w:type="dxa"/>
            <w:gridSpan w:val="2"/>
            <w:tcBorders>
              <w:top w:val="nil"/>
              <w:left w:val="nil"/>
              <w:bottom w:val="single" w:sz="4" w:space="0" w:color="auto"/>
              <w:right w:val="single" w:sz="4" w:space="0" w:color="auto"/>
            </w:tcBorders>
            <w:shd w:val="clear" w:color="auto" w:fill="auto"/>
            <w:noWrap/>
          </w:tcPr>
          <w:p w14:paraId="248CEF4A"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Oshkosh</w:t>
            </w:r>
          </w:p>
        </w:tc>
        <w:tc>
          <w:tcPr>
            <w:tcW w:w="1144" w:type="dxa"/>
            <w:gridSpan w:val="3"/>
            <w:tcBorders>
              <w:top w:val="nil"/>
              <w:left w:val="nil"/>
              <w:bottom w:val="single" w:sz="4" w:space="0" w:color="auto"/>
              <w:right w:val="single" w:sz="4" w:space="0" w:color="auto"/>
            </w:tcBorders>
            <w:shd w:val="clear" w:color="auto" w:fill="auto"/>
            <w:noWrap/>
          </w:tcPr>
          <w:p w14:paraId="4DC4A96C"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Good</w:t>
            </w:r>
          </w:p>
        </w:tc>
        <w:tc>
          <w:tcPr>
            <w:tcW w:w="930" w:type="dxa"/>
            <w:gridSpan w:val="2"/>
            <w:tcBorders>
              <w:top w:val="nil"/>
              <w:left w:val="nil"/>
              <w:bottom w:val="single" w:sz="4" w:space="0" w:color="auto"/>
              <w:right w:val="single" w:sz="4" w:space="0" w:color="auto"/>
            </w:tcBorders>
            <w:shd w:val="clear" w:color="auto" w:fill="auto"/>
            <w:noWrap/>
          </w:tcPr>
          <w:p w14:paraId="0CA46F47"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1</w:t>
            </w:r>
          </w:p>
        </w:tc>
        <w:tc>
          <w:tcPr>
            <w:tcW w:w="990" w:type="dxa"/>
            <w:tcBorders>
              <w:top w:val="nil"/>
              <w:left w:val="nil"/>
              <w:bottom w:val="single" w:sz="4" w:space="0" w:color="auto"/>
              <w:right w:val="single" w:sz="4" w:space="0" w:color="auto"/>
            </w:tcBorders>
            <w:shd w:val="clear" w:color="auto" w:fill="auto"/>
          </w:tcPr>
          <w:p w14:paraId="1B4D9E82" w14:textId="0C60A50D"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1</w:t>
            </w:r>
            <w:r w:rsidR="0080425B">
              <w:rPr>
                <w:rFonts w:eastAsia="Times New Roman" w:cs="Arial"/>
                <w:sz w:val="20"/>
                <w:szCs w:val="20"/>
                <w:lang w:eastAsia="en-US"/>
              </w:rPr>
              <w:t>,</w:t>
            </w:r>
            <w:r w:rsidRPr="009E1320">
              <w:rPr>
                <w:rFonts w:eastAsia="Times New Roman" w:cs="Arial"/>
                <w:sz w:val="20"/>
                <w:szCs w:val="20"/>
                <w:lang w:eastAsia="en-US"/>
              </w:rPr>
              <w:t>500</w:t>
            </w:r>
          </w:p>
        </w:tc>
        <w:tc>
          <w:tcPr>
            <w:tcW w:w="990" w:type="dxa"/>
            <w:tcBorders>
              <w:top w:val="nil"/>
              <w:left w:val="nil"/>
              <w:bottom w:val="single" w:sz="4" w:space="0" w:color="auto"/>
              <w:right w:val="single" w:sz="4" w:space="0" w:color="auto"/>
            </w:tcBorders>
            <w:shd w:val="clear" w:color="auto" w:fill="auto"/>
          </w:tcPr>
          <w:p w14:paraId="0BC69F0C" w14:textId="4BD3CDA2"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1</w:t>
            </w:r>
            <w:r w:rsidR="0080425B">
              <w:rPr>
                <w:rFonts w:eastAsia="Times New Roman" w:cs="Arial"/>
                <w:sz w:val="20"/>
                <w:szCs w:val="20"/>
                <w:lang w:eastAsia="en-US"/>
              </w:rPr>
              <w:t>,</w:t>
            </w:r>
            <w:r w:rsidRPr="009E1320">
              <w:rPr>
                <w:rFonts w:eastAsia="Times New Roman" w:cs="Arial"/>
                <w:sz w:val="20"/>
                <w:szCs w:val="20"/>
                <w:lang w:eastAsia="en-US"/>
              </w:rPr>
              <w:t>500</w:t>
            </w:r>
          </w:p>
        </w:tc>
      </w:tr>
      <w:tr w:rsidR="009E1320" w:rsidRPr="009E1320" w14:paraId="1131626C" w14:textId="77777777" w:rsidTr="009E1320">
        <w:trPr>
          <w:trHeight w:val="264"/>
        </w:trPr>
        <w:tc>
          <w:tcPr>
            <w:tcW w:w="1724" w:type="dxa"/>
            <w:gridSpan w:val="2"/>
            <w:tcBorders>
              <w:top w:val="nil"/>
              <w:left w:val="single" w:sz="4" w:space="0" w:color="auto"/>
              <w:bottom w:val="single" w:sz="4" w:space="0" w:color="auto"/>
              <w:right w:val="single" w:sz="4" w:space="0" w:color="auto"/>
            </w:tcBorders>
            <w:shd w:val="clear" w:color="auto" w:fill="auto"/>
            <w:noWrap/>
          </w:tcPr>
          <w:p w14:paraId="18C9471E" w14:textId="77777777" w:rsidR="009E1320" w:rsidRPr="009E1320" w:rsidRDefault="009E1320" w:rsidP="009E1320">
            <w:pPr>
              <w:spacing w:after="0" w:line="240" w:lineRule="auto"/>
              <w:jc w:val="left"/>
              <w:rPr>
                <w:rFonts w:eastAsia="Times New Roman" w:cs="Arial"/>
                <w:sz w:val="20"/>
                <w:szCs w:val="20"/>
                <w:lang w:eastAsia="en-US"/>
              </w:rPr>
            </w:pPr>
            <w:r w:rsidRPr="009E1320">
              <w:rPr>
                <w:rFonts w:eastAsia="Times New Roman" w:cs="Arial"/>
                <w:sz w:val="20"/>
                <w:szCs w:val="20"/>
                <w:lang w:eastAsia="en-US"/>
              </w:rPr>
              <w:t>Tender 2822</w:t>
            </w:r>
          </w:p>
        </w:tc>
        <w:tc>
          <w:tcPr>
            <w:tcW w:w="1440" w:type="dxa"/>
            <w:gridSpan w:val="2"/>
            <w:tcBorders>
              <w:top w:val="nil"/>
              <w:left w:val="nil"/>
              <w:bottom w:val="single" w:sz="4" w:space="0" w:color="auto"/>
              <w:right w:val="single" w:sz="4" w:space="0" w:color="auto"/>
            </w:tcBorders>
            <w:shd w:val="clear" w:color="auto" w:fill="auto"/>
            <w:noWrap/>
          </w:tcPr>
          <w:p w14:paraId="7CB9FF18"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Tender T2</w:t>
            </w:r>
          </w:p>
        </w:tc>
        <w:tc>
          <w:tcPr>
            <w:tcW w:w="720" w:type="dxa"/>
            <w:gridSpan w:val="2"/>
            <w:tcBorders>
              <w:top w:val="nil"/>
              <w:left w:val="nil"/>
              <w:bottom w:val="single" w:sz="4" w:space="0" w:color="auto"/>
              <w:right w:val="single" w:sz="4" w:space="0" w:color="auto"/>
            </w:tcBorders>
            <w:shd w:val="clear" w:color="auto" w:fill="auto"/>
            <w:noWrap/>
          </w:tcPr>
          <w:p w14:paraId="067C3A94" w14:textId="0AB334BE" w:rsidR="009E1320" w:rsidRPr="009E1320" w:rsidRDefault="009E1320" w:rsidP="009E1320">
            <w:pPr>
              <w:spacing w:after="0" w:line="240" w:lineRule="auto"/>
              <w:jc w:val="center"/>
              <w:rPr>
                <w:rFonts w:eastAsia="Times New Roman" w:cs="Arial"/>
                <w:sz w:val="20"/>
                <w:szCs w:val="20"/>
                <w:lang w:eastAsia="en-US"/>
              </w:rPr>
            </w:pPr>
            <w:r>
              <w:rPr>
                <w:rFonts w:eastAsia="Times New Roman" w:cs="Arial"/>
                <w:sz w:val="20"/>
                <w:szCs w:val="20"/>
                <w:lang w:eastAsia="en-US"/>
              </w:rPr>
              <w:t>---</w:t>
            </w:r>
          </w:p>
        </w:tc>
        <w:tc>
          <w:tcPr>
            <w:tcW w:w="1685" w:type="dxa"/>
            <w:gridSpan w:val="2"/>
            <w:tcBorders>
              <w:top w:val="nil"/>
              <w:left w:val="nil"/>
              <w:bottom w:val="single" w:sz="4" w:space="0" w:color="auto"/>
              <w:right w:val="single" w:sz="4" w:space="0" w:color="auto"/>
            </w:tcBorders>
            <w:shd w:val="clear" w:color="auto" w:fill="auto"/>
            <w:noWrap/>
          </w:tcPr>
          <w:p w14:paraId="66DFE0CF"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M923 A2 6X6</w:t>
            </w:r>
          </w:p>
        </w:tc>
        <w:tc>
          <w:tcPr>
            <w:tcW w:w="1144" w:type="dxa"/>
            <w:gridSpan w:val="3"/>
            <w:tcBorders>
              <w:top w:val="nil"/>
              <w:left w:val="nil"/>
              <w:bottom w:val="single" w:sz="4" w:space="0" w:color="auto"/>
              <w:right w:val="single" w:sz="4" w:space="0" w:color="auto"/>
            </w:tcBorders>
            <w:shd w:val="clear" w:color="auto" w:fill="auto"/>
            <w:noWrap/>
          </w:tcPr>
          <w:p w14:paraId="35C04303" w14:textId="77777777" w:rsidR="009E1320" w:rsidRPr="009E1320" w:rsidRDefault="009E1320" w:rsidP="009E1320">
            <w:pPr>
              <w:spacing w:after="0" w:line="240" w:lineRule="auto"/>
              <w:jc w:val="left"/>
              <w:rPr>
                <w:rFonts w:eastAsia="Times New Roman" w:cs="Arial"/>
                <w:sz w:val="20"/>
                <w:szCs w:val="20"/>
                <w:lang w:eastAsia="en-US"/>
              </w:rPr>
            </w:pPr>
            <w:r w:rsidRPr="009E1320">
              <w:rPr>
                <w:rFonts w:eastAsia="Times New Roman" w:cs="Arial"/>
                <w:sz w:val="20"/>
                <w:szCs w:val="20"/>
                <w:lang w:eastAsia="en-US"/>
              </w:rPr>
              <w:t>New Build</w:t>
            </w:r>
          </w:p>
        </w:tc>
        <w:tc>
          <w:tcPr>
            <w:tcW w:w="930" w:type="dxa"/>
            <w:gridSpan w:val="2"/>
            <w:tcBorders>
              <w:top w:val="nil"/>
              <w:left w:val="nil"/>
              <w:bottom w:val="single" w:sz="4" w:space="0" w:color="auto"/>
              <w:right w:val="single" w:sz="4" w:space="0" w:color="auto"/>
            </w:tcBorders>
            <w:shd w:val="clear" w:color="auto" w:fill="auto"/>
            <w:noWrap/>
          </w:tcPr>
          <w:p w14:paraId="2BD78D74"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1</w:t>
            </w:r>
          </w:p>
        </w:tc>
        <w:tc>
          <w:tcPr>
            <w:tcW w:w="990" w:type="dxa"/>
            <w:tcBorders>
              <w:top w:val="nil"/>
              <w:left w:val="nil"/>
              <w:bottom w:val="single" w:sz="4" w:space="0" w:color="auto"/>
              <w:right w:val="single" w:sz="4" w:space="0" w:color="auto"/>
            </w:tcBorders>
            <w:shd w:val="clear" w:color="auto" w:fill="auto"/>
          </w:tcPr>
          <w:p w14:paraId="075A59EF"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500</w:t>
            </w:r>
          </w:p>
        </w:tc>
        <w:tc>
          <w:tcPr>
            <w:tcW w:w="990" w:type="dxa"/>
            <w:tcBorders>
              <w:top w:val="nil"/>
              <w:left w:val="nil"/>
              <w:bottom w:val="single" w:sz="4" w:space="0" w:color="auto"/>
              <w:right w:val="single" w:sz="4" w:space="0" w:color="auto"/>
            </w:tcBorders>
            <w:shd w:val="clear" w:color="auto" w:fill="auto"/>
          </w:tcPr>
          <w:p w14:paraId="3038E18B" w14:textId="72A8ABCD"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2</w:t>
            </w:r>
            <w:r w:rsidR="0080425B">
              <w:rPr>
                <w:rFonts w:eastAsia="Times New Roman" w:cs="Arial"/>
                <w:sz w:val="20"/>
                <w:szCs w:val="20"/>
                <w:lang w:eastAsia="en-US"/>
              </w:rPr>
              <w:t>,</w:t>
            </w:r>
            <w:r w:rsidRPr="009E1320">
              <w:rPr>
                <w:rFonts w:eastAsia="Times New Roman" w:cs="Arial"/>
                <w:sz w:val="20"/>
                <w:szCs w:val="20"/>
                <w:lang w:eastAsia="en-US"/>
              </w:rPr>
              <w:t>000</w:t>
            </w:r>
          </w:p>
        </w:tc>
      </w:tr>
      <w:tr w:rsidR="009E1320" w:rsidRPr="009E1320" w14:paraId="0300C119" w14:textId="77777777" w:rsidTr="009E1320">
        <w:trPr>
          <w:trHeight w:val="264"/>
        </w:trPr>
        <w:tc>
          <w:tcPr>
            <w:tcW w:w="1724" w:type="dxa"/>
            <w:gridSpan w:val="2"/>
            <w:tcBorders>
              <w:top w:val="nil"/>
              <w:left w:val="single" w:sz="4" w:space="0" w:color="auto"/>
              <w:bottom w:val="single" w:sz="4" w:space="0" w:color="auto"/>
              <w:right w:val="single" w:sz="4" w:space="0" w:color="auto"/>
            </w:tcBorders>
            <w:shd w:val="clear" w:color="auto" w:fill="auto"/>
            <w:noWrap/>
          </w:tcPr>
          <w:p w14:paraId="2E99834E" w14:textId="6AB48A18" w:rsidR="009E1320" w:rsidRPr="009E1320" w:rsidRDefault="009E1320" w:rsidP="009E1320">
            <w:pPr>
              <w:spacing w:after="0" w:line="240" w:lineRule="auto"/>
              <w:jc w:val="left"/>
              <w:rPr>
                <w:rFonts w:eastAsia="Times New Roman" w:cs="Arial"/>
                <w:sz w:val="20"/>
                <w:szCs w:val="20"/>
                <w:lang w:eastAsia="en-US"/>
              </w:rPr>
            </w:pPr>
            <w:r w:rsidRPr="009E1320">
              <w:rPr>
                <w:rFonts w:eastAsia="Times New Roman" w:cs="Arial"/>
                <w:sz w:val="20"/>
                <w:szCs w:val="20"/>
                <w:lang w:eastAsia="en-US"/>
              </w:rPr>
              <w:t>M2829/#3131</w:t>
            </w:r>
          </w:p>
        </w:tc>
        <w:tc>
          <w:tcPr>
            <w:tcW w:w="1440" w:type="dxa"/>
            <w:gridSpan w:val="2"/>
            <w:tcBorders>
              <w:top w:val="nil"/>
              <w:left w:val="nil"/>
              <w:bottom w:val="single" w:sz="4" w:space="0" w:color="auto"/>
              <w:right w:val="single" w:sz="4" w:space="0" w:color="auto"/>
            </w:tcBorders>
            <w:shd w:val="clear" w:color="auto" w:fill="auto"/>
            <w:noWrap/>
          </w:tcPr>
          <w:p w14:paraId="524F1868"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AmbulanceT2</w:t>
            </w:r>
          </w:p>
        </w:tc>
        <w:tc>
          <w:tcPr>
            <w:tcW w:w="720" w:type="dxa"/>
            <w:gridSpan w:val="2"/>
            <w:tcBorders>
              <w:top w:val="nil"/>
              <w:left w:val="nil"/>
              <w:bottom w:val="single" w:sz="4" w:space="0" w:color="auto"/>
              <w:right w:val="single" w:sz="4" w:space="0" w:color="auto"/>
            </w:tcBorders>
            <w:shd w:val="clear" w:color="auto" w:fill="auto"/>
            <w:noWrap/>
          </w:tcPr>
          <w:p w14:paraId="3F683C27"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2011</w:t>
            </w:r>
          </w:p>
        </w:tc>
        <w:tc>
          <w:tcPr>
            <w:tcW w:w="1685" w:type="dxa"/>
            <w:gridSpan w:val="2"/>
            <w:tcBorders>
              <w:top w:val="nil"/>
              <w:left w:val="nil"/>
              <w:bottom w:val="single" w:sz="4" w:space="0" w:color="auto"/>
              <w:right w:val="single" w:sz="4" w:space="0" w:color="auto"/>
            </w:tcBorders>
            <w:shd w:val="clear" w:color="auto" w:fill="auto"/>
            <w:noWrap/>
          </w:tcPr>
          <w:p w14:paraId="1CD86D00"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Chevy 4500</w:t>
            </w:r>
          </w:p>
        </w:tc>
        <w:tc>
          <w:tcPr>
            <w:tcW w:w="1144" w:type="dxa"/>
            <w:gridSpan w:val="3"/>
            <w:tcBorders>
              <w:top w:val="nil"/>
              <w:left w:val="nil"/>
              <w:bottom w:val="single" w:sz="4" w:space="0" w:color="auto"/>
              <w:right w:val="single" w:sz="4" w:space="0" w:color="auto"/>
            </w:tcBorders>
            <w:shd w:val="clear" w:color="auto" w:fill="auto"/>
            <w:noWrap/>
          </w:tcPr>
          <w:p w14:paraId="35DA61C2"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Reserve</w:t>
            </w:r>
          </w:p>
        </w:tc>
        <w:tc>
          <w:tcPr>
            <w:tcW w:w="930" w:type="dxa"/>
            <w:gridSpan w:val="2"/>
            <w:tcBorders>
              <w:top w:val="nil"/>
              <w:left w:val="nil"/>
              <w:bottom w:val="single" w:sz="4" w:space="0" w:color="auto"/>
              <w:right w:val="single" w:sz="4" w:space="0" w:color="auto"/>
            </w:tcBorders>
            <w:shd w:val="clear" w:color="auto" w:fill="auto"/>
            <w:noWrap/>
          </w:tcPr>
          <w:p w14:paraId="15E51144"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N/A</w:t>
            </w:r>
          </w:p>
        </w:tc>
        <w:tc>
          <w:tcPr>
            <w:tcW w:w="990" w:type="dxa"/>
            <w:tcBorders>
              <w:top w:val="nil"/>
              <w:left w:val="nil"/>
              <w:bottom w:val="single" w:sz="4" w:space="0" w:color="auto"/>
              <w:right w:val="single" w:sz="4" w:space="0" w:color="auto"/>
            </w:tcBorders>
            <w:shd w:val="clear" w:color="auto" w:fill="auto"/>
          </w:tcPr>
          <w:p w14:paraId="0FD4239D"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N/A</w:t>
            </w:r>
          </w:p>
        </w:tc>
        <w:tc>
          <w:tcPr>
            <w:tcW w:w="990" w:type="dxa"/>
            <w:tcBorders>
              <w:top w:val="nil"/>
              <w:left w:val="nil"/>
              <w:bottom w:val="single" w:sz="4" w:space="0" w:color="auto"/>
              <w:right w:val="single" w:sz="4" w:space="0" w:color="auto"/>
            </w:tcBorders>
            <w:shd w:val="clear" w:color="auto" w:fill="auto"/>
          </w:tcPr>
          <w:p w14:paraId="58670391"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N/A</w:t>
            </w:r>
          </w:p>
        </w:tc>
      </w:tr>
      <w:tr w:rsidR="009E1320" w:rsidRPr="009E1320" w14:paraId="510AC5CF" w14:textId="77777777" w:rsidTr="009E1320">
        <w:trPr>
          <w:trHeight w:val="491"/>
        </w:trPr>
        <w:tc>
          <w:tcPr>
            <w:tcW w:w="9623" w:type="dxa"/>
            <w:gridSpan w:val="15"/>
            <w:tcBorders>
              <w:top w:val="single" w:sz="4" w:space="0" w:color="auto"/>
              <w:left w:val="single" w:sz="4" w:space="0" w:color="auto"/>
              <w:bottom w:val="single" w:sz="4" w:space="0" w:color="auto"/>
              <w:right w:val="single" w:sz="4" w:space="0" w:color="auto"/>
            </w:tcBorders>
            <w:shd w:val="clear" w:color="auto" w:fill="365F91"/>
            <w:noWrap/>
            <w:vAlign w:val="center"/>
          </w:tcPr>
          <w:p w14:paraId="22632839" w14:textId="521F9A2C" w:rsidR="009E1320" w:rsidRPr="009E1320" w:rsidRDefault="009E1320" w:rsidP="009E1320">
            <w:pPr>
              <w:spacing w:after="0" w:line="240" w:lineRule="auto"/>
              <w:jc w:val="center"/>
              <w:rPr>
                <w:rFonts w:eastAsia="Times New Roman" w:cs="Arial"/>
                <w:b/>
                <w:color w:val="FFFFFF"/>
                <w:sz w:val="20"/>
                <w:szCs w:val="20"/>
                <w:lang w:eastAsia="en-US"/>
              </w:rPr>
            </w:pPr>
            <w:r>
              <w:rPr>
                <w:rFonts w:eastAsia="Times New Roman" w:cs="Arial"/>
                <w:b/>
                <w:color w:val="FFFFFF"/>
                <w:sz w:val="20"/>
                <w:szCs w:val="20"/>
                <w:lang w:eastAsia="en-US"/>
              </w:rPr>
              <w:t>Station 83 Apparatus</w:t>
            </w:r>
          </w:p>
        </w:tc>
      </w:tr>
      <w:tr w:rsidR="009E1320" w:rsidRPr="009E1320" w14:paraId="7CDCA388" w14:textId="77777777" w:rsidTr="009E1320">
        <w:trPr>
          <w:trHeight w:val="491"/>
        </w:trPr>
        <w:tc>
          <w:tcPr>
            <w:tcW w:w="1724" w:type="dxa"/>
            <w:gridSpan w:val="2"/>
            <w:tcBorders>
              <w:top w:val="single" w:sz="4" w:space="0" w:color="auto"/>
              <w:left w:val="single" w:sz="4" w:space="0" w:color="auto"/>
              <w:bottom w:val="single" w:sz="4" w:space="0" w:color="auto"/>
              <w:right w:val="single" w:sz="4" w:space="0" w:color="auto"/>
            </w:tcBorders>
            <w:shd w:val="clear" w:color="auto" w:fill="365F91"/>
            <w:noWrap/>
            <w:vAlign w:val="center"/>
          </w:tcPr>
          <w:p w14:paraId="2737745E" w14:textId="77777777" w:rsidR="009E1320" w:rsidRPr="009E1320" w:rsidRDefault="009E1320" w:rsidP="009E1320">
            <w:pPr>
              <w:spacing w:after="0" w:line="240" w:lineRule="auto"/>
              <w:jc w:val="center"/>
              <w:rPr>
                <w:rFonts w:eastAsia="Times New Roman" w:cs="Arial"/>
                <w:b/>
                <w:color w:val="FFFFFF"/>
                <w:sz w:val="20"/>
                <w:szCs w:val="20"/>
                <w:lang w:eastAsia="en-US"/>
              </w:rPr>
            </w:pPr>
            <w:r w:rsidRPr="009E1320">
              <w:rPr>
                <w:rFonts w:eastAsia="Times New Roman" w:cs="Arial"/>
                <w:b/>
                <w:color w:val="FFFFFF"/>
                <w:sz w:val="20"/>
                <w:szCs w:val="20"/>
                <w:lang w:eastAsia="en-US"/>
              </w:rPr>
              <w:t>Apparatus Designation</w:t>
            </w:r>
          </w:p>
        </w:tc>
        <w:tc>
          <w:tcPr>
            <w:tcW w:w="1439" w:type="dxa"/>
            <w:gridSpan w:val="2"/>
            <w:tcBorders>
              <w:top w:val="single" w:sz="4" w:space="0" w:color="auto"/>
              <w:left w:val="nil"/>
              <w:bottom w:val="single" w:sz="4" w:space="0" w:color="auto"/>
              <w:right w:val="single" w:sz="4" w:space="0" w:color="auto"/>
            </w:tcBorders>
            <w:shd w:val="clear" w:color="auto" w:fill="365F91"/>
            <w:noWrap/>
            <w:vAlign w:val="center"/>
          </w:tcPr>
          <w:p w14:paraId="1577F858" w14:textId="77777777" w:rsidR="009E1320" w:rsidRPr="009E1320" w:rsidRDefault="009E1320" w:rsidP="009E1320">
            <w:pPr>
              <w:spacing w:after="0" w:line="240" w:lineRule="auto"/>
              <w:jc w:val="center"/>
              <w:rPr>
                <w:rFonts w:eastAsia="Times New Roman" w:cs="Arial"/>
                <w:b/>
                <w:color w:val="FFFFFF"/>
                <w:sz w:val="20"/>
                <w:szCs w:val="20"/>
                <w:lang w:eastAsia="en-US"/>
              </w:rPr>
            </w:pPr>
            <w:r w:rsidRPr="009E1320">
              <w:rPr>
                <w:rFonts w:eastAsia="Times New Roman" w:cs="Arial"/>
                <w:b/>
                <w:color w:val="FFFFFF"/>
                <w:sz w:val="20"/>
                <w:szCs w:val="20"/>
                <w:lang w:eastAsia="en-US"/>
              </w:rPr>
              <w:t>Type</w:t>
            </w:r>
          </w:p>
        </w:tc>
        <w:tc>
          <w:tcPr>
            <w:tcW w:w="720" w:type="dxa"/>
            <w:gridSpan w:val="2"/>
            <w:tcBorders>
              <w:top w:val="single" w:sz="4" w:space="0" w:color="auto"/>
              <w:left w:val="nil"/>
              <w:bottom w:val="single" w:sz="4" w:space="0" w:color="auto"/>
              <w:right w:val="single" w:sz="4" w:space="0" w:color="auto"/>
            </w:tcBorders>
            <w:shd w:val="clear" w:color="auto" w:fill="365F91"/>
            <w:noWrap/>
            <w:vAlign w:val="center"/>
          </w:tcPr>
          <w:p w14:paraId="367EF24E" w14:textId="77777777" w:rsidR="009E1320" w:rsidRPr="009E1320" w:rsidRDefault="009E1320" w:rsidP="009E1320">
            <w:pPr>
              <w:spacing w:after="0" w:line="240" w:lineRule="auto"/>
              <w:jc w:val="center"/>
              <w:rPr>
                <w:rFonts w:eastAsia="Times New Roman" w:cs="Arial"/>
                <w:b/>
                <w:color w:val="FFFFFF"/>
                <w:sz w:val="20"/>
                <w:szCs w:val="20"/>
                <w:lang w:eastAsia="en-US"/>
              </w:rPr>
            </w:pPr>
            <w:r w:rsidRPr="009E1320">
              <w:rPr>
                <w:rFonts w:eastAsia="Times New Roman" w:cs="Arial"/>
                <w:b/>
                <w:color w:val="FFFFFF"/>
                <w:sz w:val="20"/>
                <w:szCs w:val="20"/>
                <w:lang w:eastAsia="en-US"/>
              </w:rPr>
              <w:t>Year</w:t>
            </w:r>
          </w:p>
        </w:tc>
        <w:tc>
          <w:tcPr>
            <w:tcW w:w="1686" w:type="dxa"/>
            <w:gridSpan w:val="2"/>
            <w:tcBorders>
              <w:top w:val="single" w:sz="4" w:space="0" w:color="auto"/>
              <w:left w:val="nil"/>
              <w:bottom w:val="single" w:sz="4" w:space="0" w:color="auto"/>
              <w:right w:val="single" w:sz="4" w:space="0" w:color="auto"/>
            </w:tcBorders>
            <w:shd w:val="clear" w:color="auto" w:fill="365F91"/>
            <w:noWrap/>
            <w:vAlign w:val="center"/>
          </w:tcPr>
          <w:p w14:paraId="3F2265DD" w14:textId="77777777" w:rsidR="009E1320" w:rsidRPr="009E1320" w:rsidRDefault="009E1320" w:rsidP="009E1320">
            <w:pPr>
              <w:spacing w:after="0" w:line="240" w:lineRule="auto"/>
              <w:jc w:val="center"/>
              <w:rPr>
                <w:rFonts w:eastAsia="Times New Roman" w:cs="Arial"/>
                <w:b/>
                <w:color w:val="FFFFFF"/>
                <w:sz w:val="20"/>
                <w:szCs w:val="20"/>
                <w:lang w:eastAsia="en-US"/>
              </w:rPr>
            </w:pPr>
            <w:r w:rsidRPr="009E1320">
              <w:rPr>
                <w:rFonts w:eastAsia="Times New Roman" w:cs="Arial"/>
                <w:b/>
                <w:color w:val="FFFFFF"/>
                <w:sz w:val="20"/>
                <w:szCs w:val="20"/>
                <w:lang w:eastAsia="en-US"/>
              </w:rPr>
              <w:t>Make &amp; Model</w:t>
            </w:r>
          </w:p>
        </w:tc>
        <w:tc>
          <w:tcPr>
            <w:tcW w:w="1084" w:type="dxa"/>
            <w:tcBorders>
              <w:top w:val="single" w:sz="4" w:space="0" w:color="auto"/>
              <w:left w:val="nil"/>
              <w:bottom w:val="single" w:sz="4" w:space="0" w:color="auto"/>
              <w:right w:val="single" w:sz="4" w:space="0" w:color="auto"/>
            </w:tcBorders>
            <w:shd w:val="clear" w:color="auto" w:fill="365F91"/>
            <w:noWrap/>
            <w:vAlign w:val="center"/>
          </w:tcPr>
          <w:p w14:paraId="25AAACB9" w14:textId="77777777" w:rsidR="009E1320" w:rsidRPr="009E1320" w:rsidRDefault="009E1320" w:rsidP="009E1320">
            <w:pPr>
              <w:spacing w:after="0" w:line="240" w:lineRule="auto"/>
              <w:jc w:val="center"/>
              <w:rPr>
                <w:rFonts w:eastAsia="Times New Roman" w:cs="Arial"/>
                <w:b/>
                <w:color w:val="FFFFFF"/>
                <w:sz w:val="20"/>
                <w:szCs w:val="20"/>
                <w:lang w:eastAsia="en-US"/>
              </w:rPr>
            </w:pPr>
            <w:r w:rsidRPr="009E1320">
              <w:rPr>
                <w:rFonts w:eastAsia="Times New Roman" w:cs="Arial"/>
                <w:b/>
                <w:color w:val="FFFFFF"/>
                <w:sz w:val="20"/>
                <w:szCs w:val="20"/>
                <w:lang w:eastAsia="en-US"/>
              </w:rPr>
              <w:t>Condition</w:t>
            </w:r>
          </w:p>
        </w:tc>
        <w:tc>
          <w:tcPr>
            <w:tcW w:w="990" w:type="dxa"/>
            <w:gridSpan w:val="4"/>
            <w:tcBorders>
              <w:top w:val="single" w:sz="4" w:space="0" w:color="auto"/>
              <w:left w:val="nil"/>
              <w:bottom w:val="single" w:sz="4" w:space="0" w:color="auto"/>
              <w:right w:val="single" w:sz="4" w:space="0" w:color="auto"/>
            </w:tcBorders>
            <w:shd w:val="clear" w:color="auto" w:fill="365F91"/>
            <w:vAlign w:val="center"/>
          </w:tcPr>
          <w:p w14:paraId="1FB0FC17" w14:textId="77777777" w:rsidR="009E1320" w:rsidRPr="009E1320" w:rsidRDefault="009E1320" w:rsidP="009E1320">
            <w:pPr>
              <w:spacing w:after="0" w:line="240" w:lineRule="auto"/>
              <w:jc w:val="center"/>
              <w:rPr>
                <w:rFonts w:eastAsia="Times New Roman" w:cs="Arial"/>
                <w:b/>
                <w:color w:val="FFFFFF"/>
                <w:sz w:val="20"/>
                <w:szCs w:val="20"/>
                <w:lang w:eastAsia="en-US"/>
              </w:rPr>
            </w:pPr>
            <w:r w:rsidRPr="009E1320">
              <w:rPr>
                <w:rFonts w:eastAsia="Times New Roman" w:cs="Arial"/>
                <w:b/>
                <w:color w:val="FFFFFF"/>
                <w:sz w:val="20"/>
                <w:szCs w:val="20"/>
                <w:lang w:eastAsia="en-US"/>
              </w:rPr>
              <w:t>Min. Staffing</w:t>
            </w:r>
          </w:p>
        </w:tc>
        <w:tc>
          <w:tcPr>
            <w:tcW w:w="990" w:type="dxa"/>
            <w:tcBorders>
              <w:top w:val="single" w:sz="4" w:space="0" w:color="auto"/>
              <w:left w:val="nil"/>
              <w:bottom w:val="single" w:sz="4" w:space="0" w:color="auto"/>
              <w:right w:val="single" w:sz="4" w:space="0" w:color="auto"/>
            </w:tcBorders>
            <w:shd w:val="clear" w:color="auto" w:fill="365F91"/>
            <w:vAlign w:val="center"/>
          </w:tcPr>
          <w:p w14:paraId="63C3D1C0" w14:textId="77777777" w:rsidR="009E1320" w:rsidRPr="009E1320" w:rsidRDefault="009E1320" w:rsidP="009E1320">
            <w:pPr>
              <w:spacing w:after="0" w:line="240" w:lineRule="auto"/>
              <w:jc w:val="center"/>
              <w:rPr>
                <w:rFonts w:eastAsia="Times New Roman" w:cs="Arial"/>
                <w:b/>
                <w:color w:val="FFFFFF"/>
                <w:sz w:val="20"/>
                <w:szCs w:val="20"/>
                <w:lang w:eastAsia="en-US"/>
              </w:rPr>
            </w:pPr>
            <w:r w:rsidRPr="009E1320">
              <w:rPr>
                <w:rFonts w:eastAsia="Times New Roman" w:cs="Arial"/>
                <w:b/>
                <w:color w:val="FFFFFF"/>
                <w:sz w:val="20"/>
                <w:szCs w:val="20"/>
                <w:lang w:eastAsia="en-US"/>
              </w:rPr>
              <w:t>Pump Capacity</w:t>
            </w:r>
          </w:p>
        </w:tc>
        <w:tc>
          <w:tcPr>
            <w:tcW w:w="990" w:type="dxa"/>
            <w:tcBorders>
              <w:top w:val="single" w:sz="4" w:space="0" w:color="auto"/>
              <w:left w:val="nil"/>
              <w:bottom w:val="single" w:sz="4" w:space="0" w:color="auto"/>
              <w:right w:val="single" w:sz="4" w:space="0" w:color="auto"/>
            </w:tcBorders>
            <w:shd w:val="clear" w:color="auto" w:fill="365F91"/>
            <w:vAlign w:val="center"/>
          </w:tcPr>
          <w:p w14:paraId="6A5292F5" w14:textId="77777777" w:rsidR="009E1320" w:rsidRPr="009E1320" w:rsidRDefault="009E1320" w:rsidP="009E1320">
            <w:pPr>
              <w:spacing w:after="0" w:line="240" w:lineRule="auto"/>
              <w:jc w:val="center"/>
              <w:rPr>
                <w:rFonts w:eastAsia="Times New Roman" w:cs="Arial"/>
                <w:b/>
                <w:color w:val="FFFFFF"/>
                <w:sz w:val="20"/>
                <w:szCs w:val="20"/>
                <w:lang w:eastAsia="en-US"/>
              </w:rPr>
            </w:pPr>
            <w:r w:rsidRPr="009E1320">
              <w:rPr>
                <w:rFonts w:eastAsia="Times New Roman" w:cs="Arial"/>
                <w:b/>
                <w:color w:val="FFFFFF"/>
                <w:sz w:val="20"/>
                <w:szCs w:val="20"/>
                <w:lang w:eastAsia="en-US"/>
              </w:rPr>
              <w:t>Tank Capacity</w:t>
            </w:r>
          </w:p>
        </w:tc>
      </w:tr>
      <w:tr w:rsidR="009E1320" w:rsidRPr="009E1320" w14:paraId="6992B6F3" w14:textId="77777777" w:rsidTr="009E1320">
        <w:trPr>
          <w:trHeight w:val="264"/>
        </w:trPr>
        <w:tc>
          <w:tcPr>
            <w:tcW w:w="1671" w:type="dxa"/>
            <w:tcBorders>
              <w:top w:val="nil"/>
              <w:left w:val="single" w:sz="4" w:space="0" w:color="auto"/>
              <w:bottom w:val="single" w:sz="4" w:space="0" w:color="auto"/>
              <w:right w:val="single" w:sz="4" w:space="0" w:color="auto"/>
            </w:tcBorders>
            <w:shd w:val="clear" w:color="auto" w:fill="auto"/>
            <w:noWrap/>
          </w:tcPr>
          <w:p w14:paraId="377A9324" w14:textId="77777777" w:rsidR="009E1320" w:rsidRPr="009E1320" w:rsidRDefault="009E1320" w:rsidP="009E1320">
            <w:pPr>
              <w:spacing w:after="0" w:line="240" w:lineRule="auto"/>
              <w:jc w:val="left"/>
              <w:rPr>
                <w:rFonts w:eastAsia="Times New Roman" w:cs="Arial"/>
                <w:sz w:val="20"/>
                <w:szCs w:val="20"/>
                <w:lang w:eastAsia="en-US"/>
              </w:rPr>
            </w:pPr>
            <w:r w:rsidRPr="009E1320">
              <w:rPr>
                <w:rFonts w:eastAsia="Times New Roman" w:cs="Arial"/>
                <w:sz w:val="20"/>
                <w:szCs w:val="20"/>
                <w:lang w:eastAsia="en-US"/>
              </w:rPr>
              <w:t>E2813/#3121</w:t>
            </w:r>
          </w:p>
        </w:tc>
        <w:tc>
          <w:tcPr>
            <w:tcW w:w="1483" w:type="dxa"/>
            <w:gridSpan w:val="2"/>
            <w:tcBorders>
              <w:top w:val="nil"/>
              <w:left w:val="nil"/>
              <w:bottom w:val="single" w:sz="4" w:space="0" w:color="auto"/>
              <w:right w:val="single" w:sz="4" w:space="0" w:color="auto"/>
            </w:tcBorders>
            <w:shd w:val="clear" w:color="auto" w:fill="auto"/>
            <w:noWrap/>
          </w:tcPr>
          <w:p w14:paraId="746B93EE"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Engine T1</w:t>
            </w:r>
          </w:p>
        </w:tc>
        <w:tc>
          <w:tcPr>
            <w:tcW w:w="709" w:type="dxa"/>
            <w:gridSpan w:val="2"/>
            <w:tcBorders>
              <w:top w:val="nil"/>
              <w:left w:val="nil"/>
              <w:bottom w:val="single" w:sz="4" w:space="0" w:color="auto"/>
              <w:right w:val="single" w:sz="4" w:space="0" w:color="auto"/>
            </w:tcBorders>
            <w:shd w:val="clear" w:color="auto" w:fill="auto"/>
            <w:noWrap/>
          </w:tcPr>
          <w:p w14:paraId="5E171914"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2003</w:t>
            </w:r>
          </w:p>
        </w:tc>
        <w:tc>
          <w:tcPr>
            <w:tcW w:w="1692" w:type="dxa"/>
            <w:gridSpan w:val="2"/>
            <w:tcBorders>
              <w:top w:val="nil"/>
              <w:left w:val="nil"/>
              <w:bottom w:val="single" w:sz="4" w:space="0" w:color="auto"/>
              <w:right w:val="single" w:sz="4" w:space="0" w:color="auto"/>
            </w:tcBorders>
            <w:shd w:val="clear" w:color="auto" w:fill="auto"/>
            <w:noWrap/>
          </w:tcPr>
          <w:p w14:paraId="372A0BC7"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Central States</w:t>
            </w:r>
          </w:p>
        </w:tc>
        <w:tc>
          <w:tcPr>
            <w:tcW w:w="1098" w:type="dxa"/>
            <w:gridSpan w:val="2"/>
            <w:tcBorders>
              <w:top w:val="nil"/>
              <w:left w:val="nil"/>
              <w:bottom w:val="single" w:sz="4" w:space="0" w:color="auto"/>
              <w:right w:val="single" w:sz="4" w:space="0" w:color="auto"/>
            </w:tcBorders>
            <w:shd w:val="clear" w:color="auto" w:fill="auto"/>
            <w:noWrap/>
          </w:tcPr>
          <w:p w14:paraId="6312A044"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Good</w:t>
            </w:r>
          </w:p>
        </w:tc>
        <w:tc>
          <w:tcPr>
            <w:tcW w:w="990" w:type="dxa"/>
            <w:gridSpan w:val="4"/>
            <w:tcBorders>
              <w:top w:val="nil"/>
              <w:left w:val="nil"/>
              <w:bottom w:val="single" w:sz="4" w:space="0" w:color="auto"/>
              <w:right w:val="single" w:sz="4" w:space="0" w:color="auto"/>
            </w:tcBorders>
            <w:shd w:val="clear" w:color="auto" w:fill="auto"/>
            <w:noWrap/>
          </w:tcPr>
          <w:p w14:paraId="5C9B3BC6"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2</w:t>
            </w:r>
          </w:p>
        </w:tc>
        <w:tc>
          <w:tcPr>
            <w:tcW w:w="990" w:type="dxa"/>
            <w:tcBorders>
              <w:top w:val="nil"/>
              <w:left w:val="nil"/>
              <w:bottom w:val="single" w:sz="4" w:space="0" w:color="auto"/>
              <w:right w:val="single" w:sz="4" w:space="0" w:color="auto"/>
            </w:tcBorders>
            <w:shd w:val="clear" w:color="auto" w:fill="auto"/>
          </w:tcPr>
          <w:p w14:paraId="4A510A6C" w14:textId="579E0F3A"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1</w:t>
            </w:r>
            <w:r w:rsidR="0080425B">
              <w:rPr>
                <w:rFonts w:eastAsia="Times New Roman" w:cs="Arial"/>
                <w:sz w:val="20"/>
                <w:szCs w:val="20"/>
                <w:lang w:eastAsia="en-US"/>
              </w:rPr>
              <w:t>,</w:t>
            </w:r>
            <w:r w:rsidRPr="009E1320">
              <w:rPr>
                <w:rFonts w:eastAsia="Times New Roman" w:cs="Arial"/>
                <w:sz w:val="20"/>
                <w:szCs w:val="20"/>
                <w:lang w:eastAsia="en-US"/>
              </w:rPr>
              <w:t>500</w:t>
            </w:r>
          </w:p>
        </w:tc>
        <w:tc>
          <w:tcPr>
            <w:tcW w:w="990" w:type="dxa"/>
            <w:tcBorders>
              <w:top w:val="nil"/>
              <w:left w:val="nil"/>
              <w:bottom w:val="single" w:sz="4" w:space="0" w:color="auto"/>
              <w:right w:val="single" w:sz="4" w:space="0" w:color="auto"/>
            </w:tcBorders>
            <w:shd w:val="clear" w:color="auto" w:fill="auto"/>
          </w:tcPr>
          <w:p w14:paraId="2209B5DD"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750</w:t>
            </w:r>
          </w:p>
        </w:tc>
      </w:tr>
      <w:tr w:rsidR="009E1320" w:rsidRPr="009E1320" w14:paraId="352A6F76" w14:textId="77777777" w:rsidTr="009E1320">
        <w:trPr>
          <w:trHeight w:val="264"/>
        </w:trPr>
        <w:tc>
          <w:tcPr>
            <w:tcW w:w="1671" w:type="dxa"/>
            <w:tcBorders>
              <w:top w:val="nil"/>
              <w:left w:val="single" w:sz="4" w:space="0" w:color="auto"/>
              <w:bottom w:val="single" w:sz="4" w:space="0" w:color="auto"/>
              <w:right w:val="single" w:sz="4" w:space="0" w:color="auto"/>
            </w:tcBorders>
            <w:shd w:val="clear" w:color="auto" w:fill="auto"/>
            <w:noWrap/>
          </w:tcPr>
          <w:p w14:paraId="3C81760C" w14:textId="77777777" w:rsidR="009E1320" w:rsidRPr="009E1320" w:rsidRDefault="009E1320" w:rsidP="009E1320">
            <w:pPr>
              <w:spacing w:after="0" w:line="240" w:lineRule="auto"/>
              <w:jc w:val="left"/>
              <w:rPr>
                <w:rFonts w:eastAsia="Times New Roman" w:cs="Arial"/>
                <w:sz w:val="20"/>
                <w:szCs w:val="20"/>
                <w:lang w:eastAsia="en-US"/>
              </w:rPr>
            </w:pPr>
            <w:r w:rsidRPr="009E1320">
              <w:rPr>
                <w:rFonts w:eastAsia="Times New Roman" w:cs="Arial"/>
                <w:sz w:val="20"/>
                <w:szCs w:val="20"/>
                <w:lang w:eastAsia="en-US"/>
              </w:rPr>
              <w:t>M2823/#3133</w:t>
            </w:r>
          </w:p>
        </w:tc>
        <w:tc>
          <w:tcPr>
            <w:tcW w:w="1483" w:type="dxa"/>
            <w:gridSpan w:val="2"/>
            <w:tcBorders>
              <w:top w:val="nil"/>
              <w:left w:val="nil"/>
              <w:bottom w:val="single" w:sz="4" w:space="0" w:color="auto"/>
              <w:right w:val="single" w:sz="4" w:space="0" w:color="auto"/>
            </w:tcBorders>
            <w:shd w:val="clear" w:color="auto" w:fill="auto"/>
            <w:noWrap/>
          </w:tcPr>
          <w:p w14:paraId="4D9A882B"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Ambulance T2</w:t>
            </w:r>
          </w:p>
        </w:tc>
        <w:tc>
          <w:tcPr>
            <w:tcW w:w="709" w:type="dxa"/>
            <w:gridSpan w:val="2"/>
            <w:tcBorders>
              <w:top w:val="nil"/>
              <w:left w:val="nil"/>
              <w:bottom w:val="single" w:sz="4" w:space="0" w:color="auto"/>
              <w:right w:val="single" w:sz="4" w:space="0" w:color="auto"/>
            </w:tcBorders>
            <w:shd w:val="clear" w:color="auto" w:fill="auto"/>
            <w:noWrap/>
          </w:tcPr>
          <w:p w14:paraId="3C66C358"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2012</w:t>
            </w:r>
          </w:p>
        </w:tc>
        <w:tc>
          <w:tcPr>
            <w:tcW w:w="1692" w:type="dxa"/>
            <w:gridSpan w:val="2"/>
            <w:tcBorders>
              <w:top w:val="nil"/>
              <w:left w:val="nil"/>
              <w:bottom w:val="single" w:sz="4" w:space="0" w:color="auto"/>
              <w:right w:val="single" w:sz="4" w:space="0" w:color="auto"/>
            </w:tcBorders>
            <w:shd w:val="clear" w:color="auto" w:fill="auto"/>
            <w:noWrap/>
          </w:tcPr>
          <w:p w14:paraId="4D60EC1F"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GMC 4500</w:t>
            </w:r>
          </w:p>
        </w:tc>
        <w:tc>
          <w:tcPr>
            <w:tcW w:w="1098" w:type="dxa"/>
            <w:gridSpan w:val="2"/>
            <w:tcBorders>
              <w:top w:val="nil"/>
              <w:left w:val="nil"/>
              <w:bottom w:val="single" w:sz="4" w:space="0" w:color="auto"/>
              <w:right w:val="single" w:sz="4" w:space="0" w:color="auto"/>
            </w:tcBorders>
            <w:shd w:val="clear" w:color="auto" w:fill="auto"/>
            <w:noWrap/>
          </w:tcPr>
          <w:p w14:paraId="1A4F4358"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Good</w:t>
            </w:r>
          </w:p>
        </w:tc>
        <w:tc>
          <w:tcPr>
            <w:tcW w:w="990" w:type="dxa"/>
            <w:gridSpan w:val="4"/>
            <w:tcBorders>
              <w:top w:val="nil"/>
              <w:left w:val="nil"/>
              <w:bottom w:val="single" w:sz="4" w:space="0" w:color="auto"/>
              <w:right w:val="single" w:sz="4" w:space="0" w:color="auto"/>
            </w:tcBorders>
            <w:shd w:val="clear" w:color="auto" w:fill="auto"/>
            <w:noWrap/>
          </w:tcPr>
          <w:p w14:paraId="6DD757E4"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2</w:t>
            </w:r>
          </w:p>
        </w:tc>
        <w:tc>
          <w:tcPr>
            <w:tcW w:w="990" w:type="dxa"/>
            <w:tcBorders>
              <w:top w:val="nil"/>
              <w:left w:val="nil"/>
              <w:bottom w:val="single" w:sz="4" w:space="0" w:color="auto"/>
              <w:right w:val="single" w:sz="4" w:space="0" w:color="auto"/>
            </w:tcBorders>
            <w:shd w:val="clear" w:color="auto" w:fill="auto"/>
          </w:tcPr>
          <w:p w14:paraId="7953A642"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N/A</w:t>
            </w:r>
          </w:p>
        </w:tc>
        <w:tc>
          <w:tcPr>
            <w:tcW w:w="990" w:type="dxa"/>
            <w:tcBorders>
              <w:top w:val="nil"/>
              <w:left w:val="nil"/>
              <w:bottom w:val="single" w:sz="4" w:space="0" w:color="auto"/>
              <w:right w:val="single" w:sz="4" w:space="0" w:color="auto"/>
            </w:tcBorders>
            <w:shd w:val="clear" w:color="auto" w:fill="auto"/>
          </w:tcPr>
          <w:p w14:paraId="191E297D"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N/A</w:t>
            </w:r>
          </w:p>
        </w:tc>
      </w:tr>
      <w:tr w:rsidR="009E1320" w:rsidRPr="009E1320" w14:paraId="682FD8D5" w14:textId="77777777" w:rsidTr="009E1320">
        <w:trPr>
          <w:trHeight w:val="264"/>
        </w:trPr>
        <w:tc>
          <w:tcPr>
            <w:tcW w:w="1671" w:type="dxa"/>
            <w:tcBorders>
              <w:top w:val="nil"/>
              <w:left w:val="single" w:sz="4" w:space="0" w:color="auto"/>
              <w:bottom w:val="single" w:sz="4" w:space="0" w:color="auto"/>
              <w:right w:val="single" w:sz="4" w:space="0" w:color="auto"/>
            </w:tcBorders>
            <w:shd w:val="clear" w:color="auto" w:fill="auto"/>
            <w:noWrap/>
          </w:tcPr>
          <w:p w14:paraId="3802CD8C" w14:textId="77777777" w:rsidR="009E1320" w:rsidRPr="009E1320" w:rsidRDefault="009E1320" w:rsidP="009E1320">
            <w:pPr>
              <w:spacing w:after="0" w:line="240" w:lineRule="auto"/>
              <w:jc w:val="left"/>
              <w:rPr>
                <w:rFonts w:eastAsia="Times New Roman" w:cs="Arial"/>
                <w:sz w:val="20"/>
                <w:szCs w:val="20"/>
                <w:lang w:eastAsia="en-US"/>
              </w:rPr>
            </w:pPr>
            <w:r w:rsidRPr="009E1320">
              <w:rPr>
                <w:rFonts w:eastAsia="Times New Roman" w:cs="Arial"/>
                <w:sz w:val="20"/>
                <w:szCs w:val="20"/>
                <w:lang w:eastAsia="en-US"/>
              </w:rPr>
              <w:t>E2863/#3132</w:t>
            </w:r>
          </w:p>
        </w:tc>
        <w:tc>
          <w:tcPr>
            <w:tcW w:w="1483" w:type="dxa"/>
            <w:gridSpan w:val="2"/>
            <w:tcBorders>
              <w:top w:val="nil"/>
              <w:left w:val="nil"/>
              <w:bottom w:val="single" w:sz="4" w:space="0" w:color="auto"/>
              <w:right w:val="single" w:sz="4" w:space="0" w:color="auto"/>
            </w:tcBorders>
            <w:shd w:val="clear" w:color="auto" w:fill="auto"/>
            <w:noWrap/>
          </w:tcPr>
          <w:p w14:paraId="5E9438DE"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Engine T6</w:t>
            </w:r>
          </w:p>
        </w:tc>
        <w:tc>
          <w:tcPr>
            <w:tcW w:w="709" w:type="dxa"/>
            <w:gridSpan w:val="2"/>
            <w:tcBorders>
              <w:top w:val="nil"/>
              <w:left w:val="nil"/>
              <w:bottom w:val="single" w:sz="4" w:space="0" w:color="auto"/>
              <w:right w:val="single" w:sz="4" w:space="0" w:color="auto"/>
            </w:tcBorders>
            <w:shd w:val="clear" w:color="auto" w:fill="auto"/>
            <w:noWrap/>
          </w:tcPr>
          <w:p w14:paraId="775681A6"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2012</w:t>
            </w:r>
          </w:p>
        </w:tc>
        <w:tc>
          <w:tcPr>
            <w:tcW w:w="1692" w:type="dxa"/>
            <w:gridSpan w:val="2"/>
            <w:tcBorders>
              <w:top w:val="nil"/>
              <w:left w:val="nil"/>
              <w:bottom w:val="single" w:sz="4" w:space="0" w:color="auto"/>
              <w:right w:val="single" w:sz="4" w:space="0" w:color="auto"/>
            </w:tcBorders>
            <w:shd w:val="clear" w:color="auto" w:fill="auto"/>
            <w:noWrap/>
          </w:tcPr>
          <w:p w14:paraId="4CB8B7D0"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Ford F-550</w:t>
            </w:r>
          </w:p>
        </w:tc>
        <w:tc>
          <w:tcPr>
            <w:tcW w:w="1098" w:type="dxa"/>
            <w:gridSpan w:val="2"/>
            <w:tcBorders>
              <w:top w:val="nil"/>
              <w:left w:val="nil"/>
              <w:bottom w:val="single" w:sz="4" w:space="0" w:color="auto"/>
              <w:right w:val="single" w:sz="4" w:space="0" w:color="auto"/>
            </w:tcBorders>
            <w:shd w:val="clear" w:color="auto" w:fill="auto"/>
            <w:noWrap/>
          </w:tcPr>
          <w:p w14:paraId="65707FCD"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New</w:t>
            </w:r>
          </w:p>
        </w:tc>
        <w:tc>
          <w:tcPr>
            <w:tcW w:w="990" w:type="dxa"/>
            <w:gridSpan w:val="4"/>
            <w:tcBorders>
              <w:top w:val="nil"/>
              <w:left w:val="nil"/>
              <w:bottom w:val="single" w:sz="4" w:space="0" w:color="auto"/>
              <w:right w:val="single" w:sz="4" w:space="0" w:color="auto"/>
            </w:tcBorders>
            <w:shd w:val="clear" w:color="auto" w:fill="auto"/>
            <w:noWrap/>
          </w:tcPr>
          <w:p w14:paraId="27E3C220"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2</w:t>
            </w:r>
          </w:p>
        </w:tc>
        <w:tc>
          <w:tcPr>
            <w:tcW w:w="990" w:type="dxa"/>
            <w:tcBorders>
              <w:top w:val="nil"/>
              <w:left w:val="nil"/>
              <w:bottom w:val="single" w:sz="4" w:space="0" w:color="auto"/>
              <w:right w:val="single" w:sz="4" w:space="0" w:color="auto"/>
            </w:tcBorders>
            <w:shd w:val="clear" w:color="auto" w:fill="auto"/>
          </w:tcPr>
          <w:p w14:paraId="679B199E"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125</w:t>
            </w:r>
          </w:p>
        </w:tc>
        <w:tc>
          <w:tcPr>
            <w:tcW w:w="990" w:type="dxa"/>
            <w:tcBorders>
              <w:top w:val="nil"/>
              <w:left w:val="nil"/>
              <w:bottom w:val="single" w:sz="4" w:space="0" w:color="auto"/>
              <w:right w:val="single" w:sz="4" w:space="0" w:color="auto"/>
            </w:tcBorders>
            <w:shd w:val="clear" w:color="auto" w:fill="auto"/>
          </w:tcPr>
          <w:p w14:paraId="4432B3FD"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250</w:t>
            </w:r>
          </w:p>
        </w:tc>
      </w:tr>
      <w:tr w:rsidR="009E1320" w:rsidRPr="009E1320" w14:paraId="2F8FC5E8" w14:textId="77777777" w:rsidTr="009E1320">
        <w:trPr>
          <w:trHeight w:val="264"/>
        </w:trPr>
        <w:tc>
          <w:tcPr>
            <w:tcW w:w="1671" w:type="dxa"/>
            <w:tcBorders>
              <w:top w:val="nil"/>
              <w:left w:val="single" w:sz="4" w:space="0" w:color="auto"/>
              <w:bottom w:val="single" w:sz="4" w:space="0" w:color="auto"/>
              <w:right w:val="single" w:sz="4" w:space="0" w:color="auto"/>
            </w:tcBorders>
            <w:shd w:val="clear" w:color="auto" w:fill="auto"/>
            <w:noWrap/>
          </w:tcPr>
          <w:p w14:paraId="0E9E611D" w14:textId="77777777" w:rsidR="009E1320" w:rsidRPr="009E1320" w:rsidRDefault="009E1320" w:rsidP="009E1320">
            <w:pPr>
              <w:spacing w:after="0" w:line="240" w:lineRule="auto"/>
              <w:jc w:val="left"/>
              <w:rPr>
                <w:rFonts w:eastAsia="Times New Roman" w:cs="Arial"/>
                <w:sz w:val="20"/>
                <w:szCs w:val="20"/>
                <w:lang w:eastAsia="en-US"/>
              </w:rPr>
            </w:pPr>
            <w:r w:rsidRPr="009E1320">
              <w:rPr>
                <w:rFonts w:eastAsia="Times New Roman" w:cs="Arial"/>
                <w:sz w:val="20"/>
                <w:szCs w:val="20"/>
                <w:lang w:eastAsia="en-US"/>
              </w:rPr>
              <w:t>E2819/#3116</w:t>
            </w:r>
          </w:p>
        </w:tc>
        <w:tc>
          <w:tcPr>
            <w:tcW w:w="1483" w:type="dxa"/>
            <w:gridSpan w:val="2"/>
            <w:tcBorders>
              <w:top w:val="nil"/>
              <w:left w:val="nil"/>
              <w:bottom w:val="single" w:sz="4" w:space="0" w:color="auto"/>
              <w:right w:val="single" w:sz="4" w:space="0" w:color="auto"/>
            </w:tcBorders>
            <w:shd w:val="clear" w:color="auto" w:fill="auto"/>
            <w:noWrap/>
          </w:tcPr>
          <w:p w14:paraId="6D004111"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Engine T1</w:t>
            </w:r>
          </w:p>
        </w:tc>
        <w:tc>
          <w:tcPr>
            <w:tcW w:w="709" w:type="dxa"/>
            <w:gridSpan w:val="2"/>
            <w:tcBorders>
              <w:top w:val="nil"/>
              <w:left w:val="nil"/>
              <w:bottom w:val="single" w:sz="4" w:space="0" w:color="auto"/>
              <w:right w:val="single" w:sz="4" w:space="0" w:color="auto"/>
            </w:tcBorders>
            <w:shd w:val="clear" w:color="auto" w:fill="auto"/>
            <w:noWrap/>
          </w:tcPr>
          <w:p w14:paraId="3DCD1778"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1999</w:t>
            </w:r>
          </w:p>
        </w:tc>
        <w:tc>
          <w:tcPr>
            <w:tcW w:w="1692" w:type="dxa"/>
            <w:gridSpan w:val="2"/>
            <w:tcBorders>
              <w:top w:val="nil"/>
              <w:left w:val="nil"/>
              <w:bottom w:val="single" w:sz="4" w:space="0" w:color="auto"/>
              <w:right w:val="single" w:sz="4" w:space="0" w:color="auto"/>
            </w:tcBorders>
            <w:shd w:val="clear" w:color="auto" w:fill="auto"/>
            <w:noWrap/>
          </w:tcPr>
          <w:p w14:paraId="000A3ED3"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HME</w:t>
            </w:r>
          </w:p>
        </w:tc>
        <w:tc>
          <w:tcPr>
            <w:tcW w:w="1098" w:type="dxa"/>
            <w:gridSpan w:val="2"/>
            <w:tcBorders>
              <w:top w:val="nil"/>
              <w:left w:val="nil"/>
              <w:bottom w:val="single" w:sz="4" w:space="0" w:color="auto"/>
              <w:right w:val="single" w:sz="4" w:space="0" w:color="auto"/>
            </w:tcBorders>
            <w:shd w:val="clear" w:color="auto" w:fill="auto"/>
            <w:noWrap/>
          </w:tcPr>
          <w:p w14:paraId="2418CB2B"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Reserve</w:t>
            </w:r>
          </w:p>
        </w:tc>
        <w:tc>
          <w:tcPr>
            <w:tcW w:w="990" w:type="dxa"/>
            <w:gridSpan w:val="4"/>
            <w:tcBorders>
              <w:top w:val="nil"/>
              <w:left w:val="nil"/>
              <w:bottom w:val="single" w:sz="4" w:space="0" w:color="auto"/>
              <w:right w:val="single" w:sz="4" w:space="0" w:color="auto"/>
            </w:tcBorders>
            <w:shd w:val="clear" w:color="auto" w:fill="auto"/>
            <w:noWrap/>
          </w:tcPr>
          <w:p w14:paraId="6636F208"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N/A</w:t>
            </w:r>
          </w:p>
        </w:tc>
        <w:tc>
          <w:tcPr>
            <w:tcW w:w="990" w:type="dxa"/>
            <w:tcBorders>
              <w:top w:val="nil"/>
              <w:left w:val="nil"/>
              <w:bottom w:val="single" w:sz="4" w:space="0" w:color="auto"/>
              <w:right w:val="single" w:sz="4" w:space="0" w:color="auto"/>
            </w:tcBorders>
            <w:shd w:val="clear" w:color="auto" w:fill="auto"/>
          </w:tcPr>
          <w:p w14:paraId="64F01A56"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1500</w:t>
            </w:r>
          </w:p>
        </w:tc>
        <w:tc>
          <w:tcPr>
            <w:tcW w:w="990" w:type="dxa"/>
            <w:tcBorders>
              <w:top w:val="nil"/>
              <w:left w:val="nil"/>
              <w:bottom w:val="single" w:sz="4" w:space="0" w:color="auto"/>
              <w:right w:val="single" w:sz="4" w:space="0" w:color="auto"/>
            </w:tcBorders>
            <w:shd w:val="clear" w:color="auto" w:fill="auto"/>
          </w:tcPr>
          <w:p w14:paraId="6A2F31A0"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750</w:t>
            </w:r>
          </w:p>
        </w:tc>
      </w:tr>
      <w:tr w:rsidR="009E1320" w:rsidRPr="009E1320" w14:paraId="260B3612" w14:textId="77777777" w:rsidTr="009E1320">
        <w:trPr>
          <w:trHeight w:val="264"/>
        </w:trPr>
        <w:tc>
          <w:tcPr>
            <w:tcW w:w="1671" w:type="dxa"/>
            <w:tcBorders>
              <w:top w:val="nil"/>
              <w:left w:val="single" w:sz="4" w:space="0" w:color="auto"/>
              <w:bottom w:val="single" w:sz="4" w:space="0" w:color="auto"/>
              <w:right w:val="single" w:sz="4" w:space="0" w:color="auto"/>
            </w:tcBorders>
            <w:shd w:val="clear" w:color="auto" w:fill="auto"/>
            <w:noWrap/>
          </w:tcPr>
          <w:p w14:paraId="39A815A5" w14:textId="77777777" w:rsidR="009E1320" w:rsidRPr="009E1320" w:rsidRDefault="009E1320" w:rsidP="009E1320">
            <w:pPr>
              <w:spacing w:after="0" w:line="240" w:lineRule="auto"/>
              <w:jc w:val="left"/>
              <w:rPr>
                <w:rFonts w:eastAsia="Times New Roman" w:cs="Arial"/>
                <w:sz w:val="20"/>
                <w:szCs w:val="20"/>
                <w:lang w:eastAsia="en-US"/>
              </w:rPr>
            </w:pPr>
            <w:r w:rsidRPr="009E1320">
              <w:rPr>
                <w:rFonts w:eastAsia="Times New Roman" w:cs="Arial"/>
                <w:sz w:val="20"/>
                <w:szCs w:val="20"/>
                <w:lang w:eastAsia="en-US"/>
              </w:rPr>
              <w:t>A2828/#3130</w:t>
            </w:r>
          </w:p>
        </w:tc>
        <w:tc>
          <w:tcPr>
            <w:tcW w:w="1483" w:type="dxa"/>
            <w:gridSpan w:val="2"/>
            <w:tcBorders>
              <w:top w:val="nil"/>
              <w:left w:val="nil"/>
              <w:bottom w:val="single" w:sz="4" w:space="0" w:color="auto"/>
              <w:right w:val="single" w:sz="4" w:space="0" w:color="auto"/>
            </w:tcBorders>
            <w:shd w:val="clear" w:color="auto" w:fill="auto"/>
            <w:noWrap/>
          </w:tcPr>
          <w:p w14:paraId="005335E9"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Ambulance T2</w:t>
            </w:r>
          </w:p>
        </w:tc>
        <w:tc>
          <w:tcPr>
            <w:tcW w:w="709" w:type="dxa"/>
            <w:gridSpan w:val="2"/>
            <w:tcBorders>
              <w:top w:val="nil"/>
              <w:left w:val="nil"/>
              <w:bottom w:val="single" w:sz="4" w:space="0" w:color="auto"/>
              <w:right w:val="single" w:sz="4" w:space="0" w:color="auto"/>
            </w:tcBorders>
            <w:shd w:val="clear" w:color="auto" w:fill="auto"/>
            <w:noWrap/>
          </w:tcPr>
          <w:p w14:paraId="1347CC64"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2009</w:t>
            </w:r>
          </w:p>
        </w:tc>
        <w:tc>
          <w:tcPr>
            <w:tcW w:w="1692" w:type="dxa"/>
            <w:gridSpan w:val="2"/>
            <w:tcBorders>
              <w:top w:val="nil"/>
              <w:left w:val="nil"/>
              <w:bottom w:val="single" w:sz="4" w:space="0" w:color="auto"/>
              <w:right w:val="single" w:sz="4" w:space="0" w:color="auto"/>
            </w:tcBorders>
            <w:shd w:val="clear" w:color="auto" w:fill="auto"/>
            <w:noWrap/>
          </w:tcPr>
          <w:p w14:paraId="4478DA44"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Chevy4500</w:t>
            </w:r>
          </w:p>
        </w:tc>
        <w:tc>
          <w:tcPr>
            <w:tcW w:w="1098" w:type="dxa"/>
            <w:gridSpan w:val="2"/>
            <w:tcBorders>
              <w:top w:val="nil"/>
              <w:left w:val="nil"/>
              <w:bottom w:val="single" w:sz="4" w:space="0" w:color="auto"/>
              <w:right w:val="single" w:sz="4" w:space="0" w:color="auto"/>
            </w:tcBorders>
            <w:shd w:val="clear" w:color="auto" w:fill="auto"/>
            <w:noWrap/>
          </w:tcPr>
          <w:p w14:paraId="6B5A44EA"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Reserve</w:t>
            </w:r>
          </w:p>
        </w:tc>
        <w:tc>
          <w:tcPr>
            <w:tcW w:w="990" w:type="dxa"/>
            <w:gridSpan w:val="4"/>
            <w:tcBorders>
              <w:top w:val="nil"/>
              <w:left w:val="nil"/>
              <w:bottom w:val="single" w:sz="4" w:space="0" w:color="auto"/>
              <w:right w:val="single" w:sz="4" w:space="0" w:color="auto"/>
            </w:tcBorders>
            <w:shd w:val="clear" w:color="auto" w:fill="auto"/>
            <w:noWrap/>
          </w:tcPr>
          <w:p w14:paraId="0112ABBD"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N/A</w:t>
            </w:r>
          </w:p>
        </w:tc>
        <w:tc>
          <w:tcPr>
            <w:tcW w:w="990" w:type="dxa"/>
            <w:tcBorders>
              <w:top w:val="nil"/>
              <w:left w:val="nil"/>
              <w:bottom w:val="single" w:sz="4" w:space="0" w:color="auto"/>
              <w:right w:val="single" w:sz="4" w:space="0" w:color="auto"/>
            </w:tcBorders>
            <w:shd w:val="clear" w:color="auto" w:fill="auto"/>
          </w:tcPr>
          <w:p w14:paraId="44532656"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N/A</w:t>
            </w:r>
          </w:p>
        </w:tc>
        <w:tc>
          <w:tcPr>
            <w:tcW w:w="990" w:type="dxa"/>
            <w:tcBorders>
              <w:top w:val="nil"/>
              <w:left w:val="nil"/>
              <w:bottom w:val="single" w:sz="4" w:space="0" w:color="auto"/>
              <w:right w:val="single" w:sz="4" w:space="0" w:color="auto"/>
            </w:tcBorders>
            <w:shd w:val="clear" w:color="auto" w:fill="auto"/>
          </w:tcPr>
          <w:p w14:paraId="44F27F52" w14:textId="77777777" w:rsidR="009E1320" w:rsidRPr="009E1320" w:rsidRDefault="009E1320" w:rsidP="009E1320">
            <w:pPr>
              <w:spacing w:after="0" w:line="240" w:lineRule="auto"/>
              <w:jc w:val="center"/>
              <w:rPr>
                <w:rFonts w:eastAsia="Times New Roman" w:cs="Arial"/>
                <w:sz w:val="20"/>
                <w:szCs w:val="20"/>
                <w:lang w:eastAsia="en-US"/>
              </w:rPr>
            </w:pPr>
            <w:r w:rsidRPr="009E1320">
              <w:rPr>
                <w:rFonts w:eastAsia="Times New Roman" w:cs="Arial"/>
                <w:sz w:val="20"/>
                <w:szCs w:val="20"/>
                <w:lang w:eastAsia="en-US"/>
              </w:rPr>
              <w:t>N/A</w:t>
            </w:r>
          </w:p>
        </w:tc>
      </w:tr>
    </w:tbl>
    <w:p w14:paraId="260362C2" w14:textId="77777777" w:rsidR="009E1320" w:rsidRDefault="009E1320" w:rsidP="00817349">
      <w:pPr>
        <w:widowControl w:val="0"/>
        <w:spacing w:after="0" w:line="240" w:lineRule="auto"/>
        <w:jc w:val="left"/>
        <w:rPr>
          <w:rFonts w:eastAsia="Times New Roman" w:cs="Times New Roman"/>
          <w:b/>
          <w:bCs/>
          <w:i/>
          <w:iCs/>
          <w:szCs w:val="24"/>
          <w:lang w:eastAsia="en-US"/>
        </w:rPr>
      </w:pPr>
    </w:p>
    <w:p w14:paraId="44ACFAA0" w14:textId="77777777" w:rsidR="002461E7" w:rsidRPr="00FD59E0" w:rsidRDefault="002461E7" w:rsidP="002461E7">
      <w:pPr>
        <w:spacing w:after="200"/>
        <w:rPr>
          <w:rFonts w:eastAsia="Cambria" w:cs="Calibri"/>
        </w:rPr>
      </w:pPr>
    </w:p>
    <w:p w14:paraId="72F683CE" w14:textId="37F20201" w:rsidR="00177BFF" w:rsidRDefault="00177BFF" w:rsidP="00177BFF">
      <w:pPr>
        <w:pStyle w:val="Heading2"/>
        <w:rPr>
          <w:rFonts w:eastAsia="Times New Roman" w:cs="Calibri"/>
          <w:color w:val="808080"/>
        </w:rPr>
      </w:pPr>
      <w:bookmarkStart w:id="217" w:name="_Toc357084180"/>
      <w:bookmarkStart w:id="218" w:name="_Toc464323601"/>
      <w:bookmarkStart w:id="219" w:name="_Toc317141543"/>
      <w:bookmarkStart w:id="220" w:name="_Toc312243254"/>
      <w:bookmarkStart w:id="221" w:name="_Toc312243257"/>
      <w:bookmarkEnd w:id="18"/>
      <w:bookmarkEnd w:id="19"/>
      <w:bookmarkEnd w:id="20"/>
      <w:bookmarkEnd w:id="21"/>
      <w:bookmarkEnd w:id="22"/>
      <w:bookmarkEnd w:id="176"/>
      <w:bookmarkEnd w:id="177"/>
      <w:bookmarkEnd w:id="178"/>
      <w:bookmarkEnd w:id="179"/>
      <w:bookmarkEnd w:id="180"/>
      <w:r w:rsidRPr="00177BFF">
        <w:rPr>
          <w:rFonts w:eastAsia="Times New Roman" w:cs="Calibri"/>
          <w:color w:val="808080"/>
        </w:rPr>
        <w:t>Service Delivery and Performance</w:t>
      </w:r>
      <w:bookmarkEnd w:id="217"/>
      <w:bookmarkEnd w:id="218"/>
    </w:p>
    <w:p w14:paraId="3A1AB473" w14:textId="77777777" w:rsidR="00DA253A" w:rsidRPr="00DA253A" w:rsidRDefault="00DA253A" w:rsidP="00DA253A">
      <w:pPr>
        <w:pStyle w:val="Heading3"/>
        <w:rPr>
          <w:rFonts w:eastAsia="Times New Roman"/>
          <w:lang w:eastAsia="en-US"/>
        </w:rPr>
      </w:pPr>
      <w:bookmarkStart w:id="222" w:name="_Toc464323602"/>
      <w:r w:rsidRPr="00DA253A">
        <w:rPr>
          <w:rFonts w:eastAsia="Times New Roman"/>
          <w:lang w:eastAsia="en-US"/>
        </w:rPr>
        <w:t>Service Demand Study</w:t>
      </w:r>
      <w:bookmarkEnd w:id="222"/>
    </w:p>
    <w:p w14:paraId="2D897605" w14:textId="63979CD4" w:rsidR="00DA253A" w:rsidRPr="00DA253A" w:rsidRDefault="00DA253A" w:rsidP="00DA253A">
      <w:pPr>
        <w:rPr>
          <w:lang w:eastAsia="en-US"/>
        </w:rPr>
      </w:pPr>
      <w:r w:rsidRPr="00DA253A">
        <w:rPr>
          <w:lang w:eastAsia="en-US"/>
        </w:rPr>
        <w:t>The following figure disp</w:t>
      </w:r>
      <w:r w:rsidR="0080425B">
        <w:rPr>
          <w:lang w:eastAsia="en-US"/>
        </w:rPr>
        <w:t>lays Pasco Fire Department</w:t>
      </w:r>
      <w:r w:rsidRPr="00DA253A">
        <w:rPr>
          <w:lang w:eastAsia="en-US"/>
        </w:rPr>
        <w:t xml:space="preserve"> service demand for the previous five calendar years. The annual incidents displayed below represent all incident types including mutual/automatic aid given to neighboring fire jurisdictions.</w:t>
      </w:r>
    </w:p>
    <w:p w14:paraId="0D817A48" w14:textId="444BAADD" w:rsidR="00DA253A" w:rsidRPr="00DA253A" w:rsidRDefault="00DA253A" w:rsidP="00574D69">
      <w:pPr>
        <w:pStyle w:val="Caption"/>
      </w:pPr>
      <w:bookmarkStart w:id="223" w:name="_Toc464323697"/>
      <w:r w:rsidRPr="00DA253A">
        <w:t xml:space="preserve">Figure </w:t>
      </w:r>
      <w:r w:rsidR="00432AD4">
        <w:fldChar w:fldCharType="begin"/>
      </w:r>
      <w:r w:rsidR="00432AD4">
        <w:instrText xml:space="preserve"> SEQ Figure \* ARABIC </w:instrText>
      </w:r>
      <w:r w:rsidR="00432AD4">
        <w:fldChar w:fldCharType="separate"/>
      </w:r>
      <w:r w:rsidR="008209A2">
        <w:rPr>
          <w:noProof/>
        </w:rPr>
        <w:t>55</w:t>
      </w:r>
      <w:r w:rsidR="00432AD4">
        <w:rPr>
          <w:noProof/>
        </w:rPr>
        <w:fldChar w:fldCharType="end"/>
      </w:r>
      <w:r w:rsidR="00574D69">
        <w:t xml:space="preserve">: </w:t>
      </w:r>
      <w:r w:rsidRPr="00DA253A">
        <w:t xml:space="preserve">Service Demand, 2011 </w:t>
      </w:r>
      <w:r w:rsidR="0080425B">
        <w:t>-</w:t>
      </w:r>
      <w:r w:rsidRPr="00DA253A">
        <w:t xml:space="preserve"> 2015</w:t>
      </w:r>
      <w:bookmarkEnd w:id="223"/>
    </w:p>
    <w:p w14:paraId="3B3CD52D" w14:textId="77777777" w:rsidR="00DA253A" w:rsidRPr="00DA253A" w:rsidRDefault="00DA253A" w:rsidP="00DA253A">
      <w:pPr>
        <w:jc w:val="center"/>
        <w:rPr>
          <w:lang w:eastAsia="en-US"/>
        </w:rPr>
      </w:pPr>
      <w:r w:rsidRPr="00DA253A">
        <w:rPr>
          <w:noProof/>
          <w:lang w:eastAsia="en-US"/>
        </w:rPr>
        <w:drawing>
          <wp:inline distT="0" distB="0" distL="0" distR="0" wp14:anchorId="240083C6" wp14:editId="0EB515D2">
            <wp:extent cx="4572000" cy="2743200"/>
            <wp:effectExtent l="0" t="0" r="0" b="0"/>
            <wp:docPr id="29"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27CB01F5" w14:textId="77777777" w:rsidR="00DA253A" w:rsidRPr="00DA253A" w:rsidRDefault="00DA253A" w:rsidP="00DA253A">
      <w:pPr>
        <w:rPr>
          <w:lang w:eastAsia="en-US"/>
        </w:rPr>
      </w:pPr>
      <w:r w:rsidRPr="00DA253A">
        <w:rPr>
          <w:lang w:eastAsia="en-US"/>
        </w:rPr>
        <w:t xml:space="preserve">PFD service demand increased by over 20 percent (20.4 percent) during the time period displayed in this figure. The following figure uses National Fire Incident Records System (NFIRS) incident type definitions to categorize incidents as </w:t>
      </w:r>
      <w:r w:rsidRPr="00DA253A">
        <w:t xml:space="preserve">“Fires” (structures, vehicle, brush, any responses categorized as a 100 series incident in NFIRS), “EMS” (all calls for medical service including motor vehicle accidents [MVAs] and rescues, any responses categorized as a 300 series incident in NFIRS), and “Other” (false alarms, hazmat incidents, service calls, all other NFIRS incident series). </w:t>
      </w:r>
    </w:p>
    <w:p w14:paraId="3216C8FB" w14:textId="607EE0A3" w:rsidR="00DA253A" w:rsidRPr="00DA253A" w:rsidRDefault="00DA253A" w:rsidP="0080425B">
      <w:pPr>
        <w:pStyle w:val="Caption"/>
      </w:pPr>
      <w:bookmarkStart w:id="224" w:name="_Toc464323698"/>
      <w:r w:rsidRPr="00DA253A">
        <w:t xml:space="preserve">Figure </w:t>
      </w:r>
      <w:r w:rsidR="00432AD4">
        <w:fldChar w:fldCharType="begin"/>
      </w:r>
      <w:r w:rsidR="00432AD4">
        <w:instrText xml:space="preserve"> SEQ Figure \* ARABIC </w:instrText>
      </w:r>
      <w:r w:rsidR="00432AD4">
        <w:fldChar w:fldCharType="separate"/>
      </w:r>
      <w:r w:rsidR="008209A2">
        <w:rPr>
          <w:noProof/>
        </w:rPr>
        <w:t>56</w:t>
      </w:r>
      <w:r w:rsidR="00432AD4">
        <w:rPr>
          <w:noProof/>
        </w:rPr>
        <w:fldChar w:fldCharType="end"/>
      </w:r>
      <w:r w:rsidR="0080425B">
        <w:t xml:space="preserve">: </w:t>
      </w:r>
      <w:r w:rsidRPr="00DA253A">
        <w:t>Incident Type, 2014-2015 Incidents</w:t>
      </w:r>
      <w:bookmarkEnd w:id="224"/>
    </w:p>
    <w:p w14:paraId="2F2908C5" w14:textId="77777777" w:rsidR="00DA253A" w:rsidRPr="00DA253A" w:rsidRDefault="00DA253A" w:rsidP="00DA253A">
      <w:pPr>
        <w:jc w:val="center"/>
        <w:rPr>
          <w:lang w:eastAsia="en-US"/>
        </w:rPr>
      </w:pPr>
      <w:r w:rsidRPr="00DA253A">
        <w:rPr>
          <w:noProof/>
          <w:lang w:eastAsia="en-US"/>
        </w:rPr>
        <w:drawing>
          <wp:inline distT="0" distB="0" distL="0" distR="0" wp14:anchorId="2AEE8973" wp14:editId="5412D7B4">
            <wp:extent cx="5212080" cy="2743200"/>
            <wp:effectExtent l="0" t="0" r="7620" b="0"/>
            <wp:docPr id="30" name="Chart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54424143" w14:textId="77777777" w:rsidR="00DA253A" w:rsidRPr="00DA253A" w:rsidRDefault="00DA253A" w:rsidP="00DA253A">
      <w:pPr>
        <w:rPr>
          <w:lang w:eastAsia="en-US"/>
        </w:rPr>
      </w:pPr>
      <w:r w:rsidRPr="00DA253A">
        <w:rPr>
          <w:lang w:eastAsia="en-US"/>
        </w:rPr>
        <w:t>This figure demonstrates that EMS incidents represent the majority of service demand in the PFD service area. As the primary provider of BLS and ALS emergency medical first responder and transport service in Pasco, EMS incidents comprise nearly 79 percent of PFD service demand. Incidents coded as a fire represent 5.4 percent of service demand during 2014 and 2015. This is more than twice the industry norm for fire demand. All other incident types make up nearly 16 percent of PFD service demand.</w:t>
      </w:r>
    </w:p>
    <w:p w14:paraId="0CCE7D10" w14:textId="77777777" w:rsidR="00DA253A" w:rsidRPr="00DA253A" w:rsidRDefault="00DA253A" w:rsidP="00DA253A">
      <w:pPr>
        <w:keepNext/>
        <w:keepLines/>
        <w:spacing w:before="200" w:after="0"/>
        <w:contextualSpacing/>
        <w:jc w:val="left"/>
        <w:outlineLvl w:val="3"/>
        <w:rPr>
          <w:rFonts w:eastAsiaTheme="majorEastAsia" w:cstheme="majorBidi"/>
          <w:bCs/>
          <w:i/>
          <w:iCs/>
          <w:color w:val="808080" w:themeColor="background1" w:themeShade="80"/>
          <w:lang w:eastAsia="en-US"/>
        </w:rPr>
      </w:pPr>
      <w:r w:rsidRPr="00DA253A">
        <w:rPr>
          <w:rFonts w:eastAsiaTheme="majorEastAsia" w:cstheme="majorBidi"/>
          <w:bCs/>
          <w:i/>
          <w:iCs/>
          <w:color w:val="808080" w:themeColor="background1" w:themeShade="80"/>
          <w:lang w:eastAsia="en-US"/>
        </w:rPr>
        <w:t>Temporal Demand</w:t>
      </w:r>
    </w:p>
    <w:p w14:paraId="68A07A7E" w14:textId="77777777" w:rsidR="00DA253A" w:rsidRPr="00DA253A" w:rsidRDefault="00DA253A" w:rsidP="00DA253A">
      <w:pPr>
        <w:rPr>
          <w:lang w:eastAsia="en-US"/>
        </w:rPr>
      </w:pPr>
      <w:r w:rsidRPr="00DA253A">
        <w:t xml:space="preserve">It is also useful to evaluate service demand temporally in order to determine if there are specific trends during certain periods where staffing can be modified to better fit the demand. The following figures display total service demand during 2014 and 2015, summarized by various measures of time. </w:t>
      </w:r>
    </w:p>
    <w:p w14:paraId="6F883001" w14:textId="3435F00E" w:rsidR="00DA253A" w:rsidRPr="00DA253A" w:rsidRDefault="00DA253A" w:rsidP="008B7EF7">
      <w:pPr>
        <w:pStyle w:val="Caption"/>
      </w:pPr>
      <w:bookmarkStart w:id="225" w:name="_Toc464323699"/>
      <w:r w:rsidRPr="00DA253A">
        <w:t xml:space="preserve">Figure </w:t>
      </w:r>
      <w:r w:rsidR="00432AD4">
        <w:fldChar w:fldCharType="begin"/>
      </w:r>
      <w:r w:rsidR="00432AD4">
        <w:instrText xml:space="preserve"> SEQ Figure \* ARABIC </w:instrText>
      </w:r>
      <w:r w:rsidR="00432AD4">
        <w:fldChar w:fldCharType="separate"/>
      </w:r>
      <w:r w:rsidR="008209A2">
        <w:rPr>
          <w:noProof/>
        </w:rPr>
        <w:t>57</w:t>
      </w:r>
      <w:r w:rsidR="00432AD4">
        <w:rPr>
          <w:noProof/>
        </w:rPr>
        <w:fldChar w:fldCharType="end"/>
      </w:r>
      <w:r w:rsidR="008B7EF7">
        <w:t xml:space="preserve">: </w:t>
      </w:r>
      <w:r w:rsidRPr="00DA253A">
        <w:t>Service Demand by Month of the Year, 2014-2015</w:t>
      </w:r>
      <w:bookmarkEnd w:id="225"/>
    </w:p>
    <w:p w14:paraId="56A67658" w14:textId="77777777" w:rsidR="00DA253A" w:rsidRPr="00DA253A" w:rsidRDefault="00DA253A" w:rsidP="00DA253A">
      <w:pPr>
        <w:jc w:val="center"/>
        <w:rPr>
          <w:lang w:eastAsia="en-US"/>
        </w:rPr>
      </w:pPr>
      <w:r w:rsidRPr="00DA253A">
        <w:rPr>
          <w:noProof/>
          <w:lang w:eastAsia="en-US"/>
        </w:rPr>
        <w:drawing>
          <wp:inline distT="0" distB="0" distL="0" distR="0" wp14:anchorId="6EB3A9B6" wp14:editId="71E9F9FE">
            <wp:extent cx="5212080" cy="2743201"/>
            <wp:effectExtent l="0" t="0" r="7620" b="0"/>
            <wp:docPr id="31" name="Chart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4B170208" w14:textId="77777777" w:rsidR="00DA253A" w:rsidRPr="00DA253A" w:rsidRDefault="00DA253A" w:rsidP="00DA253A">
      <w:pPr>
        <w:rPr>
          <w:lang w:eastAsia="en-US"/>
        </w:rPr>
      </w:pPr>
      <w:r w:rsidRPr="00DA253A">
        <w:rPr>
          <w:lang w:eastAsia="en-US"/>
        </w:rPr>
        <w:t xml:space="preserve">Service demand varies within a range of 2.4 percent throughout the year. In general, the lowest service demand occurs during December, January, and February. July and August demonstrate the greatest service demand in this figure. </w:t>
      </w:r>
    </w:p>
    <w:p w14:paraId="76AA2721" w14:textId="52AB54A0" w:rsidR="00DA253A" w:rsidRPr="00DA253A" w:rsidRDefault="00DA253A" w:rsidP="008B7EF7">
      <w:pPr>
        <w:pStyle w:val="Caption"/>
      </w:pPr>
      <w:bookmarkStart w:id="226" w:name="_Toc464323700"/>
      <w:r w:rsidRPr="00DA253A">
        <w:t xml:space="preserve">Figure </w:t>
      </w:r>
      <w:r w:rsidR="00432AD4">
        <w:fldChar w:fldCharType="begin"/>
      </w:r>
      <w:r w:rsidR="00432AD4">
        <w:instrText xml:space="preserve"> SEQ Figure \* ARABIC </w:instrText>
      </w:r>
      <w:r w:rsidR="00432AD4">
        <w:fldChar w:fldCharType="separate"/>
      </w:r>
      <w:r w:rsidR="008209A2">
        <w:rPr>
          <w:noProof/>
        </w:rPr>
        <w:t>58</w:t>
      </w:r>
      <w:r w:rsidR="00432AD4">
        <w:rPr>
          <w:noProof/>
        </w:rPr>
        <w:fldChar w:fldCharType="end"/>
      </w:r>
      <w:r w:rsidR="008B7EF7">
        <w:t xml:space="preserve">: </w:t>
      </w:r>
      <w:r w:rsidRPr="00DA253A">
        <w:t>Service Demand by Day of the Week, 2014-2015</w:t>
      </w:r>
      <w:bookmarkEnd w:id="226"/>
    </w:p>
    <w:p w14:paraId="78AC219C" w14:textId="77777777" w:rsidR="00DA253A" w:rsidRPr="00DA253A" w:rsidRDefault="00DA253A" w:rsidP="00DA253A">
      <w:pPr>
        <w:jc w:val="center"/>
        <w:rPr>
          <w:lang w:eastAsia="en-US"/>
        </w:rPr>
      </w:pPr>
      <w:r w:rsidRPr="00DA253A">
        <w:rPr>
          <w:noProof/>
          <w:lang w:eastAsia="en-US"/>
        </w:rPr>
        <w:drawing>
          <wp:inline distT="0" distB="0" distL="0" distR="0" wp14:anchorId="192CB7F4" wp14:editId="38286ACD">
            <wp:extent cx="5212080" cy="2743201"/>
            <wp:effectExtent l="0" t="0" r="7620" b="0"/>
            <wp:docPr id="32" name="Chart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7E924AFD" w14:textId="53DA81A1" w:rsidR="00DA253A" w:rsidRPr="00DA253A" w:rsidRDefault="00DA253A" w:rsidP="00DA253A">
      <w:pPr>
        <w:rPr>
          <w:lang w:eastAsia="en-US"/>
        </w:rPr>
      </w:pPr>
      <w:r w:rsidRPr="00DA253A">
        <w:t xml:space="preserve">As with monthly service demand, service demand varies throughout the week. Again, the range is relatively narrow (slightly less than </w:t>
      </w:r>
      <w:r w:rsidR="008B7EF7">
        <w:t>2</w:t>
      </w:r>
      <w:r w:rsidRPr="00DA253A">
        <w:t xml:space="preserve"> percent).</w:t>
      </w:r>
    </w:p>
    <w:p w14:paraId="4D53CCB6" w14:textId="141C8F14" w:rsidR="00DA253A" w:rsidRPr="00DA253A" w:rsidRDefault="00DA253A" w:rsidP="00574D69">
      <w:pPr>
        <w:pStyle w:val="Caption"/>
      </w:pPr>
      <w:bookmarkStart w:id="227" w:name="_Toc464323701"/>
      <w:r w:rsidRPr="00DA253A">
        <w:t xml:space="preserve">Figure </w:t>
      </w:r>
      <w:r w:rsidR="00432AD4">
        <w:fldChar w:fldCharType="begin"/>
      </w:r>
      <w:r w:rsidR="00432AD4">
        <w:instrText xml:space="preserve"> SEQ Figure \* ARABIC </w:instrText>
      </w:r>
      <w:r w:rsidR="00432AD4">
        <w:fldChar w:fldCharType="separate"/>
      </w:r>
      <w:r w:rsidR="008209A2">
        <w:rPr>
          <w:noProof/>
        </w:rPr>
        <w:t>59</w:t>
      </w:r>
      <w:r w:rsidR="00432AD4">
        <w:rPr>
          <w:noProof/>
        </w:rPr>
        <w:fldChar w:fldCharType="end"/>
      </w:r>
      <w:r w:rsidR="008B7EF7">
        <w:t xml:space="preserve">: </w:t>
      </w:r>
      <w:r w:rsidRPr="00DA253A">
        <w:t>Service Demand by Hour of the Day, 2014-2015</w:t>
      </w:r>
      <w:bookmarkEnd w:id="227"/>
    </w:p>
    <w:p w14:paraId="22E14540" w14:textId="77777777" w:rsidR="00DA253A" w:rsidRPr="00DA253A" w:rsidRDefault="00DA253A" w:rsidP="00DA253A">
      <w:pPr>
        <w:jc w:val="center"/>
        <w:rPr>
          <w:lang w:eastAsia="en-US"/>
        </w:rPr>
      </w:pPr>
      <w:r w:rsidRPr="00DA253A">
        <w:rPr>
          <w:noProof/>
          <w:lang w:eastAsia="en-US"/>
        </w:rPr>
        <w:drawing>
          <wp:inline distT="0" distB="0" distL="0" distR="0" wp14:anchorId="1C683205" wp14:editId="0196191C">
            <wp:extent cx="5212080" cy="2743200"/>
            <wp:effectExtent l="0" t="0" r="7620" b="0"/>
            <wp:docPr id="33" name="Chart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372A67A4" w14:textId="77777777" w:rsidR="00DA253A" w:rsidRPr="00DA253A" w:rsidRDefault="00DA253A" w:rsidP="00DA253A">
      <w:pPr>
        <w:rPr>
          <w:lang w:eastAsia="en-US"/>
        </w:rPr>
      </w:pPr>
      <w:r w:rsidRPr="00DA253A">
        <w:rPr>
          <w:lang w:eastAsia="en-US"/>
        </w:rPr>
        <w:t xml:space="preserve">PFD service demand correlates with the activity of people, with workload increasing during daytime hours and decreasing during nighttime hours as shown in this figure. Incident activity is at its highest between 10:00 AM and 6:00 PM. Over 64 percent of calls for service occurred between 08:00 AM and 08:00 PM. </w:t>
      </w:r>
      <w:r w:rsidRPr="00DA253A">
        <w:t>There is a significant and predictable increase in service demand during the day. This provides an opportunity for PFD to anticipate increased workload and improve response performance by deploying additional apparatus during periods of peak activity.</w:t>
      </w:r>
    </w:p>
    <w:p w14:paraId="70D6CBAD" w14:textId="77777777" w:rsidR="00DA253A" w:rsidRPr="00DA253A" w:rsidRDefault="00DA253A" w:rsidP="00DA253A">
      <w:pPr>
        <w:keepNext/>
        <w:keepLines/>
        <w:spacing w:before="200" w:after="0"/>
        <w:contextualSpacing/>
        <w:jc w:val="left"/>
        <w:outlineLvl w:val="3"/>
        <w:rPr>
          <w:rFonts w:eastAsia="Times New Roman" w:cstheme="majorBidi"/>
          <w:bCs/>
          <w:i/>
          <w:iCs/>
          <w:color w:val="808080" w:themeColor="background1" w:themeShade="80"/>
          <w:lang w:eastAsia="en-US"/>
        </w:rPr>
      </w:pPr>
      <w:r w:rsidRPr="00DA253A">
        <w:rPr>
          <w:rFonts w:eastAsia="Times New Roman" w:cstheme="majorBidi"/>
          <w:bCs/>
          <w:i/>
          <w:iCs/>
          <w:color w:val="808080" w:themeColor="background1" w:themeShade="80"/>
          <w:lang w:eastAsia="en-US"/>
        </w:rPr>
        <w:t>Geographic Service Demand</w:t>
      </w:r>
    </w:p>
    <w:p w14:paraId="7B50A886" w14:textId="77777777" w:rsidR="00DA253A" w:rsidRPr="00DA253A" w:rsidRDefault="00DA253A" w:rsidP="00DA253A">
      <w:pPr>
        <w:rPr>
          <w:lang w:eastAsia="en-US"/>
        </w:rPr>
      </w:pPr>
      <w:r w:rsidRPr="00DA253A">
        <w:t>In addition to the temporal analysis of service demand, it is useful to examine the geographic distribution of service demand. Using incident location data provided by PFD, ESCI plots incident locations and calculates the mathematical density of 2014 and 2015 service demand in the PFD service area.</w:t>
      </w:r>
    </w:p>
    <w:p w14:paraId="605E2679" w14:textId="7C34B54E" w:rsidR="00DA253A" w:rsidRPr="00DA253A" w:rsidRDefault="00DA253A" w:rsidP="008B7EF7">
      <w:pPr>
        <w:pStyle w:val="Caption"/>
      </w:pPr>
      <w:bookmarkStart w:id="228" w:name="_Toc464323702"/>
      <w:r w:rsidRPr="00DA253A">
        <w:t xml:space="preserve">Figure </w:t>
      </w:r>
      <w:r w:rsidR="00432AD4">
        <w:fldChar w:fldCharType="begin"/>
      </w:r>
      <w:r w:rsidR="00432AD4">
        <w:instrText xml:space="preserve"> SEQ Figure \* ARABIC </w:instrText>
      </w:r>
      <w:r w:rsidR="00432AD4">
        <w:fldChar w:fldCharType="separate"/>
      </w:r>
      <w:r w:rsidR="008209A2">
        <w:rPr>
          <w:noProof/>
        </w:rPr>
        <w:t>60</w:t>
      </w:r>
      <w:r w:rsidR="00432AD4">
        <w:rPr>
          <w:noProof/>
        </w:rPr>
        <w:fldChar w:fldCharType="end"/>
      </w:r>
      <w:r w:rsidRPr="00DA253A">
        <w:t>: Geographic Service Demand –All Incident Types, 2014-2015</w:t>
      </w:r>
      <w:bookmarkEnd w:id="228"/>
    </w:p>
    <w:p w14:paraId="16F6CB4C" w14:textId="77777777" w:rsidR="00DA253A" w:rsidRPr="00DA253A" w:rsidRDefault="00DA253A" w:rsidP="00DA253A">
      <w:pPr>
        <w:jc w:val="center"/>
        <w:rPr>
          <w:lang w:eastAsia="en-US"/>
        </w:rPr>
      </w:pPr>
      <w:r w:rsidRPr="00DA253A">
        <w:rPr>
          <w:noProof/>
          <w:lang w:eastAsia="en-US"/>
        </w:rPr>
        <w:drawing>
          <wp:inline distT="0" distB="0" distL="0" distR="0" wp14:anchorId="7ACB299E" wp14:editId="5F08809E">
            <wp:extent cx="5943600" cy="4245610"/>
            <wp:effectExtent l="0" t="0" r="0" b="254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FD Incident Density 2014_2015.jpg"/>
                    <pic:cNvPicPr/>
                  </pic:nvPicPr>
                  <pic:blipFill>
                    <a:blip r:embed="rId80">
                      <a:extLst>
                        <a:ext uri="{28A0092B-C50C-407E-A947-70E740481C1C}">
                          <a14:useLocalDpi xmlns:a14="http://schemas.microsoft.com/office/drawing/2010/main" val="0"/>
                        </a:ext>
                      </a:extLst>
                    </a:blip>
                    <a:stretch>
                      <a:fillRect/>
                    </a:stretch>
                  </pic:blipFill>
                  <pic:spPr>
                    <a:xfrm>
                      <a:off x="0" y="0"/>
                      <a:ext cx="5943600" cy="4245610"/>
                    </a:xfrm>
                    <a:prstGeom prst="rect">
                      <a:avLst/>
                    </a:prstGeom>
                  </pic:spPr>
                </pic:pic>
              </a:graphicData>
            </a:graphic>
          </wp:inline>
        </w:drawing>
      </w:r>
    </w:p>
    <w:p w14:paraId="14E1E633" w14:textId="77777777" w:rsidR="00DA253A" w:rsidRPr="00DA253A" w:rsidRDefault="00DA253A" w:rsidP="00DA253A">
      <w:pPr>
        <w:rPr>
          <w:lang w:eastAsia="en-US"/>
        </w:rPr>
      </w:pPr>
      <w:r w:rsidRPr="00DA253A">
        <w:rPr>
          <w:lang w:eastAsia="en-US"/>
        </w:rPr>
        <w:t>PFD service demand is concentrated in the central core area of Pasco, between Station 81 and Highway 395. Additionally, the commercial corridor along Road 68 and the residential neighborhoods north of Interstate 182 experience higher incident density. The majority of the incidents displayed in this figure are EMS incidents (78.9 percent). The following figure displays 2014-2015 fire incidents.</w:t>
      </w:r>
    </w:p>
    <w:p w14:paraId="3948DFDC" w14:textId="774ED3C6" w:rsidR="00DA253A" w:rsidRPr="00DA253A" w:rsidRDefault="00DA253A" w:rsidP="008B7EF7">
      <w:pPr>
        <w:pStyle w:val="Caption"/>
      </w:pPr>
      <w:bookmarkStart w:id="229" w:name="_Toc464323703"/>
      <w:r w:rsidRPr="00DA253A">
        <w:t xml:space="preserve">Figure </w:t>
      </w:r>
      <w:r w:rsidR="00432AD4">
        <w:fldChar w:fldCharType="begin"/>
      </w:r>
      <w:r w:rsidR="00432AD4">
        <w:instrText xml:space="preserve"> SEQ Figure \* ARABIC </w:instrText>
      </w:r>
      <w:r w:rsidR="00432AD4">
        <w:fldChar w:fldCharType="separate"/>
      </w:r>
      <w:r w:rsidR="008209A2">
        <w:rPr>
          <w:noProof/>
        </w:rPr>
        <w:t>61</w:t>
      </w:r>
      <w:r w:rsidR="00432AD4">
        <w:rPr>
          <w:noProof/>
        </w:rPr>
        <w:fldChar w:fldCharType="end"/>
      </w:r>
      <w:r w:rsidR="008B7EF7">
        <w:t xml:space="preserve">: </w:t>
      </w:r>
      <w:r w:rsidRPr="00DA253A">
        <w:t>Geographic Service Demand –All Fires Incidents, 2014-2015</w:t>
      </w:r>
      <w:bookmarkEnd w:id="229"/>
    </w:p>
    <w:p w14:paraId="3BC0D0A4" w14:textId="77777777" w:rsidR="00DA253A" w:rsidRPr="00DA253A" w:rsidRDefault="00DA253A" w:rsidP="00DA253A">
      <w:pPr>
        <w:jc w:val="center"/>
        <w:rPr>
          <w:lang w:eastAsia="en-US"/>
        </w:rPr>
      </w:pPr>
      <w:r w:rsidRPr="00DA253A">
        <w:rPr>
          <w:noProof/>
          <w:lang w:eastAsia="en-US"/>
        </w:rPr>
        <w:drawing>
          <wp:inline distT="0" distB="0" distL="0" distR="0" wp14:anchorId="643B0EBA" wp14:editId="48B0F3E6">
            <wp:extent cx="5943600" cy="4245610"/>
            <wp:effectExtent l="0" t="0" r="0" b="254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FD Fire Incidents_Density.jpg"/>
                    <pic:cNvPicPr/>
                  </pic:nvPicPr>
                  <pic:blipFill>
                    <a:blip r:embed="rId81">
                      <a:extLst>
                        <a:ext uri="{28A0092B-C50C-407E-A947-70E740481C1C}">
                          <a14:useLocalDpi xmlns:a14="http://schemas.microsoft.com/office/drawing/2010/main" val="0"/>
                        </a:ext>
                      </a:extLst>
                    </a:blip>
                    <a:stretch>
                      <a:fillRect/>
                    </a:stretch>
                  </pic:blipFill>
                  <pic:spPr>
                    <a:xfrm>
                      <a:off x="0" y="0"/>
                      <a:ext cx="5943600" cy="4245610"/>
                    </a:xfrm>
                    <a:prstGeom prst="rect">
                      <a:avLst/>
                    </a:prstGeom>
                  </pic:spPr>
                </pic:pic>
              </a:graphicData>
            </a:graphic>
          </wp:inline>
        </w:drawing>
      </w:r>
    </w:p>
    <w:p w14:paraId="6F10F59F" w14:textId="77777777" w:rsidR="00DA253A" w:rsidRPr="00DA253A" w:rsidRDefault="00DA253A" w:rsidP="00DA253A">
      <w:r w:rsidRPr="00DA253A">
        <w:t>Fire incidents are the least frequent incident type in the data set. However, incidents categorized as Fires are distributed throughout the study area in a pattern similar to the overall incident data.</w:t>
      </w:r>
    </w:p>
    <w:p w14:paraId="78ABD0FD" w14:textId="77777777" w:rsidR="00DA253A" w:rsidRPr="00DA253A" w:rsidRDefault="00DA253A" w:rsidP="00DA253A">
      <w:pPr>
        <w:pStyle w:val="Heading3"/>
        <w:rPr>
          <w:rFonts w:eastAsia="Times New Roman"/>
          <w:lang w:eastAsia="en-US"/>
        </w:rPr>
      </w:pPr>
      <w:bookmarkStart w:id="230" w:name="_Toc464323603"/>
      <w:r w:rsidRPr="00DA253A">
        <w:rPr>
          <w:rFonts w:eastAsia="Times New Roman"/>
          <w:lang w:eastAsia="en-US"/>
        </w:rPr>
        <w:t>Distribution Study</w:t>
      </w:r>
      <w:bookmarkEnd w:id="230"/>
    </w:p>
    <w:p w14:paraId="727D8067" w14:textId="77777777" w:rsidR="00DA253A" w:rsidRPr="00DA253A" w:rsidRDefault="00DA253A" w:rsidP="00DA253A">
      <w:pPr>
        <w:rPr>
          <w:lang w:eastAsia="en-US"/>
        </w:rPr>
      </w:pPr>
      <w:r w:rsidRPr="00DA253A">
        <w:rPr>
          <w:lang w:eastAsia="en-US"/>
        </w:rPr>
        <w:t>The distribution analysis presents an overview of the current deployment of facilities, apparatus, and personnel within the Pasco Fire Department service area.</w:t>
      </w:r>
    </w:p>
    <w:p w14:paraId="53B3F16B" w14:textId="5AFAAE7D" w:rsidR="00DA253A" w:rsidRPr="00DA253A" w:rsidRDefault="00DA253A" w:rsidP="008B7EF7">
      <w:pPr>
        <w:pStyle w:val="Caption"/>
      </w:pPr>
      <w:bookmarkStart w:id="231" w:name="_Toc464323704"/>
      <w:r w:rsidRPr="00DA253A">
        <w:t xml:space="preserve">Figure </w:t>
      </w:r>
      <w:r w:rsidR="00432AD4">
        <w:fldChar w:fldCharType="begin"/>
      </w:r>
      <w:r w:rsidR="00432AD4">
        <w:instrText xml:space="preserve"> SEQ Figure \* ARABIC </w:instrText>
      </w:r>
      <w:r w:rsidR="00432AD4">
        <w:fldChar w:fldCharType="separate"/>
      </w:r>
      <w:r w:rsidR="008209A2">
        <w:rPr>
          <w:noProof/>
        </w:rPr>
        <w:t>62</w:t>
      </w:r>
      <w:r w:rsidR="00432AD4">
        <w:rPr>
          <w:noProof/>
        </w:rPr>
        <w:fldChar w:fldCharType="end"/>
      </w:r>
      <w:r w:rsidRPr="00DA253A">
        <w:t>: Study Area</w:t>
      </w:r>
      <w:bookmarkEnd w:id="231"/>
    </w:p>
    <w:p w14:paraId="39417568" w14:textId="77777777" w:rsidR="00DA253A" w:rsidRPr="00DA253A" w:rsidRDefault="00DA253A" w:rsidP="00DA253A">
      <w:pPr>
        <w:jc w:val="center"/>
        <w:rPr>
          <w:lang w:eastAsia="en-US"/>
        </w:rPr>
      </w:pPr>
      <w:r w:rsidRPr="00DA253A">
        <w:rPr>
          <w:noProof/>
          <w:lang w:eastAsia="en-US"/>
        </w:rPr>
        <w:drawing>
          <wp:inline distT="0" distB="0" distL="0" distR="0" wp14:anchorId="4789A1D6" wp14:editId="06125C12">
            <wp:extent cx="5943600" cy="4245428"/>
            <wp:effectExtent l="0" t="0" r="0" b="31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sco Base.jpg"/>
                    <pic:cNvPicPr/>
                  </pic:nvPicPr>
                  <pic:blipFill>
                    <a:blip r:embed="rId82">
                      <a:extLst>
                        <a:ext uri="{28A0092B-C50C-407E-A947-70E740481C1C}">
                          <a14:useLocalDpi xmlns:a14="http://schemas.microsoft.com/office/drawing/2010/main" val="0"/>
                        </a:ext>
                      </a:extLst>
                    </a:blip>
                    <a:stretch>
                      <a:fillRect/>
                    </a:stretch>
                  </pic:blipFill>
                  <pic:spPr>
                    <a:xfrm>
                      <a:off x="0" y="0"/>
                      <a:ext cx="5943600" cy="4245428"/>
                    </a:xfrm>
                    <a:prstGeom prst="rect">
                      <a:avLst/>
                    </a:prstGeom>
                  </pic:spPr>
                </pic:pic>
              </a:graphicData>
            </a:graphic>
          </wp:inline>
        </w:drawing>
      </w:r>
    </w:p>
    <w:p w14:paraId="1F41E0F6" w14:textId="41D8CA76" w:rsidR="00DA253A" w:rsidRPr="00DA253A" w:rsidRDefault="00DA253A" w:rsidP="00DA253A">
      <w:pPr>
        <w:rPr>
          <w:lang w:eastAsia="en-US"/>
        </w:rPr>
      </w:pPr>
      <w:r w:rsidRPr="00DA253A">
        <w:rPr>
          <w:lang w:eastAsia="en-US"/>
        </w:rPr>
        <w:t>PFD currently provides fire protection, EMS first response and transport (ALS and BLS), hazmat, and rescue service within the City of Pasco. In addition, PFD operates Aircraft Rescue and Fire Fighting (ARFF) apparatus at the Tri-Cities Airport. The City of Pasco encompasses approximately 37 square miles. There are islands of unincorporated Franklin County inside the City of Pasco. Through an inter-governmental agreement (IGA), PFD and Franklin County Fire District #3 (FCFD#3) have si</w:t>
      </w:r>
      <w:r w:rsidR="008B7EF7">
        <w:rPr>
          <w:lang w:eastAsia="en-US"/>
        </w:rPr>
        <w:t>gned an automatic aid agreement</w:t>
      </w:r>
      <w:r w:rsidRPr="00DA253A">
        <w:rPr>
          <w:lang w:eastAsia="en-US"/>
        </w:rPr>
        <w:t xml:space="preserve"> which ensures that the closest available resource is dispatched to emergency incidents in these areas. The same IGA transferred ownership of the FCFD#3 Station 32 to PFD (labeled as Station 84 in the figure above).</w:t>
      </w:r>
    </w:p>
    <w:p w14:paraId="3D601077" w14:textId="5837A432" w:rsidR="00DA253A" w:rsidRPr="00DA253A" w:rsidRDefault="00DA253A" w:rsidP="00DA253A">
      <w:pPr>
        <w:rPr>
          <w:lang w:eastAsia="en-US"/>
        </w:rPr>
      </w:pPr>
      <w:r w:rsidRPr="00DA253A">
        <w:rPr>
          <w:lang w:eastAsia="en-US"/>
        </w:rPr>
        <w:t xml:space="preserve">In the figure below, ESCI utilizes Washington Office of Financial Management (OFM) population (2015 estimate) and traffic analysis zone (TAZ) data to display population density Pasco area. Using National Fire Protection Association (NFPA) population classifications, population density is categorized as </w:t>
      </w:r>
      <w:r w:rsidR="008B7EF7" w:rsidRPr="00DA253A">
        <w:rPr>
          <w:lang w:eastAsia="en-US"/>
        </w:rPr>
        <w:t>urban, suburban, and rural</w:t>
      </w:r>
      <w:r w:rsidRPr="00DA253A">
        <w:rPr>
          <w:lang w:eastAsia="en-US"/>
        </w:rPr>
        <w:t>.</w:t>
      </w:r>
    </w:p>
    <w:p w14:paraId="29646991" w14:textId="77777777" w:rsidR="00DA253A" w:rsidRPr="00DA253A" w:rsidRDefault="00DA253A" w:rsidP="00DA253A">
      <w:pPr>
        <w:rPr>
          <w:lang w:eastAsia="en-US"/>
        </w:rPr>
      </w:pPr>
    </w:p>
    <w:p w14:paraId="0C32AC55" w14:textId="329A3F51" w:rsidR="00DA253A" w:rsidRPr="00DA253A" w:rsidRDefault="00DA253A" w:rsidP="008B7EF7">
      <w:pPr>
        <w:pStyle w:val="Caption"/>
      </w:pPr>
      <w:bookmarkStart w:id="232" w:name="_Toc464323705"/>
      <w:r w:rsidRPr="00DA253A">
        <w:t xml:space="preserve">Figure </w:t>
      </w:r>
      <w:r w:rsidR="00432AD4">
        <w:fldChar w:fldCharType="begin"/>
      </w:r>
      <w:r w:rsidR="00432AD4">
        <w:instrText xml:space="preserve"> SEQ Figure \* ARABIC </w:instrText>
      </w:r>
      <w:r w:rsidR="00432AD4">
        <w:fldChar w:fldCharType="separate"/>
      </w:r>
      <w:r w:rsidR="008209A2">
        <w:rPr>
          <w:noProof/>
        </w:rPr>
        <w:t>63</w:t>
      </w:r>
      <w:r w:rsidR="00432AD4">
        <w:rPr>
          <w:noProof/>
        </w:rPr>
        <w:fldChar w:fldCharType="end"/>
      </w:r>
      <w:r w:rsidR="008B7EF7">
        <w:t xml:space="preserve">: </w:t>
      </w:r>
      <w:r w:rsidRPr="00DA253A">
        <w:t>Population Density, Office of Financial Management (OFM) 2015 Population Estimate</w:t>
      </w:r>
      <w:bookmarkEnd w:id="232"/>
      <w:r w:rsidRPr="00DA253A">
        <w:t xml:space="preserve"> </w:t>
      </w:r>
    </w:p>
    <w:p w14:paraId="0F09E564" w14:textId="77777777" w:rsidR="00DA253A" w:rsidRPr="00DA253A" w:rsidRDefault="00DA253A" w:rsidP="00DA253A">
      <w:pPr>
        <w:jc w:val="center"/>
        <w:rPr>
          <w:lang w:eastAsia="en-US"/>
        </w:rPr>
      </w:pPr>
      <w:r w:rsidRPr="00DA253A">
        <w:rPr>
          <w:noProof/>
          <w:lang w:eastAsia="en-US"/>
        </w:rPr>
        <w:drawing>
          <wp:inline distT="0" distB="0" distL="0" distR="0" wp14:anchorId="0962E367" wp14:editId="31BA971F">
            <wp:extent cx="5943600" cy="4245610"/>
            <wp:effectExtent l="0" t="0" r="0" b="25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FD Pop Density_NFPA criteria.jpg"/>
                    <pic:cNvPicPr/>
                  </pic:nvPicPr>
                  <pic:blipFill>
                    <a:blip r:embed="rId83">
                      <a:extLst>
                        <a:ext uri="{28A0092B-C50C-407E-A947-70E740481C1C}">
                          <a14:useLocalDpi xmlns:a14="http://schemas.microsoft.com/office/drawing/2010/main" val="0"/>
                        </a:ext>
                      </a:extLst>
                    </a:blip>
                    <a:stretch>
                      <a:fillRect/>
                    </a:stretch>
                  </pic:blipFill>
                  <pic:spPr>
                    <a:xfrm>
                      <a:off x="0" y="0"/>
                      <a:ext cx="5943600" cy="4245610"/>
                    </a:xfrm>
                    <a:prstGeom prst="rect">
                      <a:avLst/>
                    </a:prstGeom>
                  </pic:spPr>
                </pic:pic>
              </a:graphicData>
            </a:graphic>
          </wp:inline>
        </w:drawing>
      </w:r>
    </w:p>
    <w:p w14:paraId="09B1DCC3" w14:textId="76295801" w:rsidR="00DA253A" w:rsidRPr="00DA253A" w:rsidRDefault="00DA253A" w:rsidP="00DA253A">
      <w:pPr>
        <w:rPr>
          <w:lang w:eastAsia="en-US"/>
        </w:rPr>
      </w:pPr>
      <w:r w:rsidRPr="00DA253A">
        <w:rPr>
          <w:lang w:eastAsia="en-US"/>
        </w:rPr>
        <w:t>The population density inside Pasco is largely urban in nature. The m</w:t>
      </w:r>
      <w:r w:rsidR="008B7EF7">
        <w:rPr>
          <w:lang w:eastAsia="en-US"/>
        </w:rPr>
        <w:t>ajority of area categorized as r</w:t>
      </w:r>
      <w:r w:rsidRPr="00DA253A">
        <w:rPr>
          <w:lang w:eastAsia="en-US"/>
        </w:rPr>
        <w:t>ural or low density (less than 500 per square mile) inside the Pasco Urban Growth Boundary (UGB) is zoned for industrial land use; or currently undeveloped land slated for future development and population growth. The overall population density inside of Pasco is approximately 1,844 per square mile.</w:t>
      </w:r>
    </w:p>
    <w:p w14:paraId="0CB4E4AC" w14:textId="77777777" w:rsidR="00500DB3" w:rsidRDefault="00DA253A" w:rsidP="00DA253A">
      <w:pPr>
        <w:rPr>
          <w:rFonts w:asciiTheme="majorHAnsi" w:eastAsia="Calibri" w:hAnsiTheme="majorHAnsi" w:cs="Arial"/>
        </w:rPr>
      </w:pPr>
      <w:r w:rsidRPr="00DA253A">
        <w:rPr>
          <w:rFonts w:asciiTheme="majorHAnsi" w:eastAsia="Calibri" w:hAnsiTheme="majorHAnsi" w:cs="Arial"/>
        </w:rPr>
        <w:t>The Washington Survey</w:t>
      </w:r>
      <w:r w:rsidR="0096232E">
        <w:rPr>
          <w:rFonts w:asciiTheme="majorHAnsi" w:eastAsia="Calibri" w:hAnsiTheme="majorHAnsi" w:cs="Arial"/>
        </w:rPr>
        <w:t>ing</w:t>
      </w:r>
      <w:r w:rsidRPr="00DA253A">
        <w:rPr>
          <w:rFonts w:asciiTheme="majorHAnsi" w:eastAsia="Calibri" w:hAnsiTheme="majorHAnsi" w:cs="Arial"/>
        </w:rPr>
        <w:t xml:space="preserve"> and Rating Bureau (WSRB) is a statewide insurance industry organization that evaluates fire protection for communities across Washington. A jurisdiction’s WSRB rating is an important factor when considering fire station and apparatus distribution since it can affect the cost of fire insurance for fire district residents and businesses.  </w:t>
      </w:r>
    </w:p>
    <w:p w14:paraId="076ED77F" w14:textId="12B547F8" w:rsidR="00DA253A" w:rsidRPr="00DA253A" w:rsidRDefault="00DA253A" w:rsidP="00DA253A">
      <w:pPr>
        <w:rPr>
          <w:lang w:eastAsia="en-US"/>
        </w:rPr>
      </w:pPr>
      <w:r w:rsidRPr="00DA253A">
        <w:rPr>
          <w:rFonts w:asciiTheme="majorHAnsi" w:eastAsia="Calibri" w:hAnsiTheme="majorHAnsi" w:cs="Arial"/>
        </w:rPr>
        <w:t>To receive maximum credit for station and apparatus distribution, WSRB recommends that all “built upon” areas in a community be within 1.5 road miles of an engine company.  Additionally, a structure should be within five miles of a fire station to receive any fire protection rating for insurance purposes.  In the following figures, ESCI examines PFD fire facility distribution by WSRB distance criteria over the existing road network.</w:t>
      </w:r>
    </w:p>
    <w:p w14:paraId="424DCE85" w14:textId="30C8FE92" w:rsidR="00DA253A" w:rsidRPr="00DA253A" w:rsidRDefault="00DA253A" w:rsidP="008B7EF7">
      <w:pPr>
        <w:pStyle w:val="Caption"/>
      </w:pPr>
      <w:bookmarkStart w:id="233" w:name="_Toc464323706"/>
      <w:r w:rsidRPr="00DA253A">
        <w:t xml:space="preserve">Figure </w:t>
      </w:r>
      <w:r w:rsidR="00432AD4">
        <w:fldChar w:fldCharType="begin"/>
      </w:r>
      <w:r w:rsidR="00432AD4">
        <w:instrText xml:space="preserve"> SEQ Figure \* ARABIC </w:instrText>
      </w:r>
      <w:r w:rsidR="00432AD4">
        <w:fldChar w:fldCharType="separate"/>
      </w:r>
      <w:r w:rsidR="008209A2">
        <w:rPr>
          <w:noProof/>
        </w:rPr>
        <w:t>64</w:t>
      </w:r>
      <w:r w:rsidR="00432AD4">
        <w:rPr>
          <w:noProof/>
        </w:rPr>
        <w:fldChar w:fldCharType="end"/>
      </w:r>
      <w:r w:rsidR="008B7EF7">
        <w:t xml:space="preserve">: </w:t>
      </w:r>
      <w:r w:rsidRPr="00DA253A">
        <w:t>Station Distribution, WSRB Criteria</w:t>
      </w:r>
      <w:bookmarkEnd w:id="233"/>
    </w:p>
    <w:p w14:paraId="3DF8A4AD" w14:textId="77777777" w:rsidR="00DA253A" w:rsidRPr="00DA253A" w:rsidRDefault="00DA253A" w:rsidP="00DA253A">
      <w:pPr>
        <w:jc w:val="center"/>
        <w:rPr>
          <w:lang w:eastAsia="en-US"/>
        </w:rPr>
      </w:pPr>
      <w:r w:rsidRPr="00DA253A">
        <w:rPr>
          <w:noProof/>
          <w:lang w:eastAsia="en-US"/>
        </w:rPr>
        <w:drawing>
          <wp:inline distT="0" distB="0" distL="0" distR="0" wp14:anchorId="5E445CA6" wp14:editId="7FA324B7">
            <wp:extent cx="5943600" cy="4245610"/>
            <wp:effectExtent l="0" t="0" r="0"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FD Travel Distance_wsrb criteria.jpg"/>
                    <pic:cNvPicPr/>
                  </pic:nvPicPr>
                  <pic:blipFill>
                    <a:blip r:embed="rId84">
                      <a:extLst>
                        <a:ext uri="{28A0092B-C50C-407E-A947-70E740481C1C}">
                          <a14:useLocalDpi xmlns:a14="http://schemas.microsoft.com/office/drawing/2010/main" val="0"/>
                        </a:ext>
                      </a:extLst>
                    </a:blip>
                    <a:stretch>
                      <a:fillRect/>
                    </a:stretch>
                  </pic:blipFill>
                  <pic:spPr>
                    <a:xfrm>
                      <a:off x="0" y="0"/>
                      <a:ext cx="5943600" cy="4245610"/>
                    </a:xfrm>
                    <a:prstGeom prst="rect">
                      <a:avLst/>
                    </a:prstGeom>
                  </pic:spPr>
                </pic:pic>
              </a:graphicData>
            </a:graphic>
          </wp:inline>
        </w:drawing>
      </w:r>
    </w:p>
    <w:p w14:paraId="06D24AF5" w14:textId="1EA41CDC" w:rsidR="00DA253A" w:rsidRPr="00DA253A" w:rsidRDefault="00DA253A" w:rsidP="00DA253A">
      <w:pPr>
        <w:rPr>
          <w:lang w:eastAsia="en-US"/>
        </w:rPr>
      </w:pPr>
      <w:r w:rsidRPr="00DA253A">
        <w:rPr>
          <w:lang w:eastAsia="en-US"/>
        </w:rPr>
        <w:t xml:space="preserve">Approximately 28 percent of the road network inside Pasco is within 1.5 miles of a PFD station. The entire PFD service area is within </w:t>
      </w:r>
      <w:r w:rsidR="008B7EF7">
        <w:rPr>
          <w:lang w:eastAsia="en-US"/>
        </w:rPr>
        <w:t>five</w:t>
      </w:r>
      <w:r w:rsidRPr="00DA253A">
        <w:rPr>
          <w:lang w:eastAsia="en-US"/>
        </w:rPr>
        <w:t xml:space="preserve"> miles travel of a PFD station. PFD is currently rated as a Class 5 fire department (Class 1 represents exemplary fire protection). </w:t>
      </w:r>
    </w:p>
    <w:p w14:paraId="4C923EC4" w14:textId="77777777" w:rsidR="00DA253A" w:rsidRPr="00DA253A" w:rsidRDefault="00DA253A" w:rsidP="00DA253A">
      <w:pPr>
        <w:rPr>
          <w:lang w:eastAsia="en-US"/>
        </w:rPr>
      </w:pPr>
      <w:r w:rsidRPr="00DA253A">
        <w:t>Similar to engine company criteria, WSRB recommends that ladder companies (aerial apparatus) be placed at 2.5-mile intervals in areas with buildings over three stories in height.</w:t>
      </w:r>
    </w:p>
    <w:p w14:paraId="217ED406" w14:textId="30A2534C" w:rsidR="00DA253A" w:rsidRPr="00DA253A" w:rsidRDefault="00DA253A" w:rsidP="007B24CE">
      <w:pPr>
        <w:pStyle w:val="Caption"/>
      </w:pPr>
      <w:bookmarkStart w:id="234" w:name="_Toc464323707"/>
      <w:r w:rsidRPr="00DA253A">
        <w:t xml:space="preserve">Figure </w:t>
      </w:r>
      <w:r w:rsidR="00432AD4">
        <w:fldChar w:fldCharType="begin"/>
      </w:r>
      <w:r w:rsidR="00432AD4">
        <w:instrText xml:space="preserve"> SEQ Figure \* ARABIC </w:instrText>
      </w:r>
      <w:r w:rsidR="00432AD4">
        <w:fldChar w:fldCharType="separate"/>
      </w:r>
      <w:r w:rsidR="008209A2">
        <w:rPr>
          <w:noProof/>
        </w:rPr>
        <w:t>65</w:t>
      </w:r>
      <w:r w:rsidR="00432AD4">
        <w:rPr>
          <w:noProof/>
        </w:rPr>
        <w:fldChar w:fldCharType="end"/>
      </w:r>
      <w:r w:rsidR="00574D69">
        <w:t>:</w:t>
      </w:r>
      <w:r w:rsidRPr="00DA253A">
        <w:t xml:space="preserve"> Aerial Apparatus Distribution, WSRB Criteria</w:t>
      </w:r>
      <w:bookmarkEnd w:id="234"/>
    </w:p>
    <w:p w14:paraId="1998B676" w14:textId="77777777" w:rsidR="00DA253A" w:rsidRPr="00DA253A" w:rsidRDefault="00DA253A" w:rsidP="00DA253A">
      <w:pPr>
        <w:jc w:val="center"/>
        <w:rPr>
          <w:lang w:eastAsia="en-US"/>
        </w:rPr>
      </w:pPr>
      <w:r w:rsidRPr="00DA253A">
        <w:rPr>
          <w:noProof/>
          <w:lang w:eastAsia="en-US"/>
        </w:rPr>
        <w:drawing>
          <wp:inline distT="0" distB="0" distL="0" distR="0" wp14:anchorId="30C48D92" wp14:editId="7F77F513">
            <wp:extent cx="5943600" cy="4245610"/>
            <wp:effectExtent l="0" t="0" r="0" b="25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FD Travel Distance_Aerial Apparatus.jpg"/>
                    <pic:cNvPicPr/>
                  </pic:nvPicPr>
                  <pic:blipFill>
                    <a:blip r:embed="rId85">
                      <a:extLst>
                        <a:ext uri="{28A0092B-C50C-407E-A947-70E740481C1C}">
                          <a14:useLocalDpi xmlns:a14="http://schemas.microsoft.com/office/drawing/2010/main" val="0"/>
                        </a:ext>
                      </a:extLst>
                    </a:blip>
                    <a:stretch>
                      <a:fillRect/>
                    </a:stretch>
                  </pic:blipFill>
                  <pic:spPr>
                    <a:xfrm>
                      <a:off x="0" y="0"/>
                      <a:ext cx="5943600" cy="4245610"/>
                    </a:xfrm>
                    <a:prstGeom prst="rect">
                      <a:avLst/>
                    </a:prstGeom>
                  </pic:spPr>
                </pic:pic>
              </a:graphicData>
            </a:graphic>
          </wp:inline>
        </w:drawing>
      </w:r>
    </w:p>
    <w:p w14:paraId="129C7CE6" w14:textId="77777777" w:rsidR="00DA253A" w:rsidRPr="00DA253A" w:rsidRDefault="00DA253A" w:rsidP="00DA253A">
      <w:pPr>
        <w:rPr>
          <w:lang w:eastAsia="en-US"/>
        </w:rPr>
      </w:pPr>
      <w:r w:rsidRPr="00DA253A">
        <w:rPr>
          <w:lang w:eastAsia="en-US"/>
        </w:rPr>
        <w:t>The PFD aerial apparatus currently placed at Station 82 is well placed to respond throughout the PFD service area.</w:t>
      </w:r>
    </w:p>
    <w:p w14:paraId="18704798" w14:textId="77777777" w:rsidR="00DA253A" w:rsidRPr="00DA253A" w:rsidRDefault="00DA253A" w:rsidP="00DA253A">
      <w:pPr>
        <w:rPr>
          <w:lang w:eastAsia="en-US"/>
        </w:rPr>
      </w:pPr>
      <w:r w:rsidRPr="00DA253A">
        <w:rPr>
          <w:lang w:eastAsia="en-US"/>
        </w:rPr>
        <w:t xml:space="preserve">The WSRB Public Protection Classification program only addresses fire suppression activities and is primarily concerned with the geographic coverage of property. For jurisdictions such as PFD that respond to all types of emergencies, the travel time required to respond from a fire station to any type of emergency call for service is of equal importance. The following figures demonstrate travel time over the existing road network. </w:t>
      </w:r>
      <w:r w:rsidRPr="00DA253A">
        <w:t>Travel time is calculated using the posted speed limit and adjusted for negotiating turns and intersections.</w:t>
      </w:r>
    </w:p>
    <w:p w14:paraId="26774300" w14:textId="48E3BC0F" w:rsidR="00DA253A" w:rsidRPr="00DA253A" w:rsidRDefault="00DA253A" w:rsidP="007B24CE">
      <w:pPr>
        <w:pStyle w:val="Caption"/>
      </w:pPr>
      <w:bookmarkStart w:id="235" w:name="_Ref454352123"/>
      <w:bookmarkStart w:id="236" w:name="_Toc464323708"/>
      <w:r w:rsidRPr="00DA253A">
        <w:t xml:space="preserve">Figure </w:t>
      </w:r>
      <w:r w:rsidR="00432AD4">
        <w:fldChar w:fldCharType="begin"/>
      </w:r>
      <w:r w:rsidR="00432AD4">
        <w:instrText xml:space="preserve"> SEQ Figure \* ARABIC </w:instrText>
      </w:r>
      <w:r w:rsidR="00432AD4">
        <w:fldChar w:fldCharType="separate"/>
      </w:r>
      <w:r w:rsidR="008209A2">
        <w:rPr>
          <w:noProof/>
        </w:rPr>
        <w:t>66</w:t>
      </w:r>
      <w:r w:rsidR="00432AD4">
        <w:rPr>
          <w:noProof/>
        </w:rPr>
        <w:fldChar w:fldCharType="end"/>
      </w:r>
      <w:bookmarkEnd w:id="235"/>
      <w:r w:rsidRPr="00DA253A">
        <w:t>: Travel Time Model, NFPA Criteria</w:t>
      </w:r>
      <w:bookmarkEnd w:id="236"/>
    </w:p>
    <w:p w14:paraId="485213FE" w14:textId="77777777" w:rsidR="00DA253A" w:rsidRPr="00DA253A" w:rsidRDefault="00DA253A" w:rsidP="00DA253A">
      <w:pPr>
        <w:jc w:val="center"/>
        <w:rPr>
          <w:lang w:eastAsia="en-US"/>
        </w:rPr>
      </w:pPr>
      <w:r w:rsidRPr="00DA253A">
        <w:rPr>
          <w:noProof/>
          <w:lang w:eastAsia="en-US"/>
        </w:rPr>
        <w:drawing>
          <wp:inline distT="0" distB="0" distL="0" distR="0" wp14:anchorId="3801CE57" wp14:editId="3855C3EF">
            <wp:extent cx="5943600" cy="4245610"/>
            <wp:effectExtent l="0" t="0" r="0" b="25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FD Travel Time Model NFPA Criteria.jpg"/>
                    <pic:cNvPicPr/>
                  </pic:nvPicPr>
                  <pic:blipFill>
                    <a:blip r:embed="rId86">
                      <a:extLst>
                        <a:ext uri="{28A0092B-C50C-407E-A947-70E740481C1C}">
                          <a14:useLocalDpi xmlns:a14="http://schemas.microsoft.com/office/drawing/2010/main" val="0"/>
                        </a:ext>
                      </a:extLst>
                    </a:blip>
                    <a:stretch>
                      <a:fillRect/>
                    </a:stretch>
                  </pic:blipFill>
                  <pic:spPr>
                    <a:xfrm>
                      <a:off x="0" y="0"/>
                      <a:ext cx="5943600" cy="4245610"/>
                    </a:xfrm>
                    <a:prstGeom prst="rect">
                      <a:avLst/>
                    </a:prstGeom>
                  </pic:spPr>
                </pic:pic>
              </a:graphicData>
            </a:graphic>
          </wp:inline>
        </w:drawing>
      </w:r>
    </w:p>
    <w:p w14:paraId="0FD5CB92" w14:textId="2360B26D" w:rsidR="00DA253A" w:rsidRPr="00DA253A" w:rsidRDefault="00DA253A" w:rsidP="00DA253A">
      <w:pPr>
        <w:rPr>
          <w:lang w:eastAsia="en-US"/>
        </w:rPr>
      </w:pPr>
      <w:r w:rsidRPr="007B24CE">
        <w:rPr>
          <w:lang w:eastAsia="en-US"/>
        </w:rPr>
        <w:fldChar w:fldCharType="begin"/>
      </w:r>
      <w:r w:rsidRPr="007B24CE">
        <w:rPr>
          <w:lang w:eastAsia="en-US"/>
        </w:rPr>
        <w:instrText xml:space="preserve"> REF _Ref454352123 \h </w:instrText>
      </w:r>
      <w:r w:rsidR="007B24CE" w:rsidRPr="007B24CE">
        <w:rPr>
          <w:lang w:eastAsia="en-US"/>
        </w:rPr>
        <w:instrText xml:space="preserve"> \* MERGEFORMAT </w:instrText>
      </w:r>
      <w:r w:rsidRPr="007B24CE">
        <w:rPr>
          <w:lang w:eastAsia="en-US"/>
        </w:rPr>
      </w:r>
      <w:r w:rsidRPr="007B24CE">
        <w:rPr>
          <w:lang w:eastAsia="en-US"/>
        </w:rPr>
        <w:fldChar w:fldCharType="separate"/>
      </w:r>
      <w:r w:rsidR="008209A2" w:rsidRPr="008209A2">
        <w:rPr>
          <w:rFonts w:asciiTheme="majorHAnsi" w:hAnsiTheme="majorHAnsi" w:cstheme="majorHAnsi"/>
          <w:bCs/>
        </w:rPr>
        <w:t xml:space="preserve">Figure </w:t>
      </w:r>
      <w:r w:rsidR="008209A2" w:rsidRPr="008209A2">
        <w:rPr>
          <w:rFonts w:asciiTheme="majorHAnsi" w:hAnsiTheme="majorHAnsi" w:cstheme="majorHAnsi"/>
          <w:bCs/>
          <w:noProof/>
        </w:rPr>
        <w:t>66</w:t>
      </w:r>
      <w:r w:rsidRPr="007B24CE">
        <w:rPr>
          <w:lang w:eastAsia="en-US"/>
        </w:rPr>
        <w:fldChar w:fldCharType="end"/>
      </w:r>
      <w:r w:rsidRPr="007B24CE">
        <w:rPr>
          <w:lang w:eastAsia="en-US"/>
        </w:rPr>
        <w:t xml:space="preserve"> </w:t>
      </w:r>
      <w:r w:rsidRPr="00DA253A">
        <w:rPr>
          <w:lang w:eastAsia="en-US"/>
        </w:rPr>
        <w:t xml:space="preserve">demonstrates PFD travel time capabilities from the currently staffed PFD fire stations. </w:t>
      </w:r>
      <w:r w:rsidRPr="00DA253A">
        <w:t xml:space="preserve">National consensus standards, such as the </w:t>
      </w:r>
      <w:r w:rsidRPr="00DA253A">
        <w:rPr>
          <w:i/>
        </w:rPr>
        <w:t>NFPA 1710,</w:t>
      </w:r>
      <w:r w:rsidRPr="00DA253A">
        <w:rPr>
          <w:rFonts w:cs="Arial"/>
          <w:i/>
          <w:sz w:val="20"/>
          <w:vertAlign w:val="superscript"/>
        </w:rPr>
        <w:footnoteReference w:id="33"/>
      </w:r>
      <w:r w:rsidRPr="00DA253A">
        <w:t xml:space="preserve"> specify that career staffed, urban fire departments should deploy resources such that 90 percent of emergency service demand can be reached in four </w:t>
      </w:r>
      <w:r w:rsidR="004D79EC">
        <w:t>minutes or less travel time</w:t>
      </w:r>
      <w:r w:rsidRPr="00DA253A">
        <w:t xml:space="preserve">. </w:t>
      </w:r>
      <w:r w:rsidR="00C52201">
        <w:t>Pasco City Council</w:t>
      </w:r>
      <w:r w:rsidR="00C52201" w:rsidRPr="00DA253A">
        <w:t xml:space="preserve"> </w:t>
      </w:r>
      <w:r w:rsidRPr="00DA253A">
        <w:t xml:space="preserve">has adopted a travel time standard of six minutes travel time for the arrival of the first apparatus on scene. The following figure displays the portions of the PFD service area within six </w:t>
      </w:r>
      <w:r w:rsidR="004D79EC">
        <w:t>minutes or less travel time</w:t>
      </w:r>
      <w:r w:rsidRPr="00DA253A">
        <w:t xml:space="preserve"> of a staffed fire station.  </w:t>
      </w:r>
      <w:r w:rsidRPr="00DA253A">
        <w:rPr>
          <w:lang w:eastAsia="en-US"/>
        </w:rPr>
        <w:t xml:space="preserve"> </w:t>
      </w:r>
      <w:r w:rsidR="00286E86" w:rsidRPr="00286E86">
        <w:rPr>
          <w:lang w:eastAsia="en-US"/>
        </w:rPr>
        <w:t>Note that the street network data provided to model travel time does not include data for the Tri-Cities Airport. However, examination of aerial photo data reveals that the entire airport complex is well within four minutes travel of Station 82.</w:t>
      </w:r>
    </w:p>
    <w:p w14:paraId="17EF60C8" w14:textId="33611580" w:rsidR="00DA253A" w:rsidRPr="00DA253A" w:rsidRDefault="00DA253A" w:rsidP="007B24CE">
      <w:pPr>
        <w:pStyle w:val="Caption"/>
      </w:pPr>
      <w:bookmarkStart w:id="237" w:name="_Toc464323709"/>
      <w:r w:rsidRPr="00DA253A">
        <w:t xml:space="preserve">Figure </w:t>
      </w:r>
      <w:r w:rsidR="00432AD4">
        <w:fldChar w:fldCharType="begin"/>
      </w:r>
      <w:r w:rsidR="00432AD4">
        <w:instrText xml:space="preserve"> SEQ Figure \* ARABIC </w:instrText>
      </w:r>
      <w:r w:rsidR="00432AD4">
        <w:fldChar w:fldCharType="separate"/>
      </w:r>
      <w:r w:rsidR="008209A2">
        <w:rPr>
          <w:noProof/>
        </w:rPr>
        <w:t>67</w:t>
      </w:r>
      <w:r w:rsidR="00432AD4">
        <w:rPr>
          <w:noProof/>
        </w:rPr>
        <w:fldChar w:fldCharType="end"/>
      </w:r>
      <w:r w:rsidR="007B24CE">
        <w:t xml:space="preserve">: </w:t>
      </w:r>
      <w:r w:rsidR="00C52201">
        <w:t xml:space="preserve">Potential </w:t>
      </w:r>
      <w:r w:rsidRPr="00DA253A">
        <w:t>Travel Time Model, PFD Response/Travel Time Model</w:t>
      </w:r>
      <w:bookmarkEnd w:id="237"/>
    </w:p>
    <w:p w14:paraId="556089BC" w14:textId="77777777" w:rsidR="00DA253A" w:rsidRPr="00DA253A" w:rsidRDefault="00DA253A" w:rsidP="00DA253A">
      <w:pPr>
        <w:jc w:val="center"/>
        <w:rPr>
          <w:lang w:eastAsia="en-US"/>
        </w:rPr>
      </w:pPr>
      <w:r w:rsidRPr="00DA253A">
        <w:rPr>
          <w:noProof/>
          <w:lang w:eastAsia="en-US"/>
        </w:rPr>
        <w:drawing>
          <wp:inline distT="0" distB="0" distL="0" distR="0" wp14:anchorId="4D4A89FB" wp14:editId="3F9C3A13">
            <wp:extent cx="5943600" cy="4245610"/>
            <wp:effectExtent l="0" t="0" r="0" b="254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FD Travel Time Model_PFD Goal_6 minutes.jpg"/>
                    <pic:cNvPicPr/>
                  </pic:nvPicPr>
                  <pic:blipFill>
                    <a:blip r:embed="rId87">
                      <a:extLst>
                        <a:ext uri="{28A0092B-C50C-407E-A947-70E740481C1C}">
                          <a14:useLocalDpi xmlns:a14="http://schemas.microsoft.com/office/drawing/2010/main" val="0"/>
                        </a:ext>
                      </a:extLst>
                    </a:blip>
                    <a:stretch>
                      <a:fillRect/>
                    </a:stretch>
                  </pic:blipFill>
                  <pic:spPr>
                    <a:xfrm>
                      <a:off x="0" y="0"/>
                      <a:ext cx="5943600" cy="4245610"/>
                    </a:xfrm>
                    <a:prstGeom prst="rect">
                      <a:avLst/>
                    </a:prstGeom>
                  </pic:spPr>
                </pic:pic>
              </a:graphicData>
            </a:graphic>
          </wp:inline>
        </w:drawing>
      </w:r>
    </w:p>
    <w:p w14:paraId="7390CA29" w14:textId="09D8429A" w:rsidR="00DA253A" w:rsidRPr="00DA253A" w:rsidRDefault="00DA253A" w:rsidP="00DA253A">
      <w:pPr>
        <w:rPr>
          <w:lang w:eastAsia="en-US"/>
        </w:rPr>
      </w:pPr>
      <w:r w:rsidRPr="00DA253A">
        <w:rPr>
          <w:lang w:eastAsia="en-US"/>
        </w:rPr>
        <w:t xml:space="preserve">As illustrated in the figure above, the majority of Pasco is within six minutes travel time of a PFD staffed station. More importantly, the following figure demonstrates the percentage of historical service demand (2014-2015) that is within six </w:t>
      </w:r>
      <w:r w:rsidR="004D79EC">
        <w:rPr>
          <w:lang w:eastAsia="en-US"/>
        </w:rPr>
        <w:t>minutes or less travel time</w:t>
      </w:r>
      <w:r w:rsidRPr="00DA253A">
        <w:rPr>
          <w:lang w:eastAsia="en-US"/>
        </w:rPr>
        <w:t xml:space="preserve"> of a PFD staffed fire station.</w:t>
      </w:r>
    </w:p>
    <w:p w14:paraId="14A87112" w14:textId="2ED6F6DF" w:rsidR="00DA253A" w:rsidRPr="00DA253A" w:rsidRDefault="00DA253A" w:rsidP="007B24CE">
      <w:pPr>
        <w:pStyle w:val="Caption"/>
      </w:pPr>
      <w:bookmarkStart w:id="238" w:name="_Toc464323710"/>
      <w:r w:rsidRPr="00DA253A">
        <w:t xml:space="preserve">Figure </w:t>
      </w:r>
      <w:r w:rsidR="00432AD4">
        <w:fldChar w:fldCharType="begin"/>
      </w:r>
      <w:r w:rsidR="00432AD4">
        <w:instrText xml:space="preserve"> SEQ Figure \* ARABIC </w:instrText>
      </w:r>
      <w:r w:rsidR="00432AD4">
        <w:fldChar w:fldCharType="separate"/>
      </w:r>
      <w:r w:rsidR="008209A2">
        <w:rPr>
          <w:noProof/>
        </w:rPr>
        <w:t>68</w:t>
      </w:r>
      <w:r w:rsidR="00432AD4">
        <w:rPr>
          <w:noProof/>
        </w:rPr>
        <w:fldChar w:fldCharType="end"/>
      </w:r>
      <w:r w:rsidRPr="00DA253A">
        <w:t>: 2014-2015 Service Demand and Six Minutes Travel Time Model</w:t>
      </w:r>
      <w:bookmarkEnd w:id="238"/>
    </w:p>
    <w:p w14:paraId="1D0681DA" w14:textId="77777777" w:rsidR="00DA253A" w:rsidRPr="00DA253A" w:rsidRDefault="00DA253A" w:rsidP="00DA253A">
      <w:pPr>
        <w:jc w:val="center"/>
        <w:rPr>
          <w:lang w:eastAsia="en-US"/>
        </w:rPr>
      </w:pPr>
      <w:r w:rsidRPr="00DA253A">
        <w:rPr>
          <w:noProof/>
          <w:lang w:eastAsia="en-US"/>
        </w:rPr>
        <w:drawing>
          <wp:inline distT="0" distB="0" distL="0" distR="0" wp14:anchorId="676CC736" wp14:editId="53235A6D">
            <wp:extent cx="5943600" cy="4245610"/>
            <wp:effectExtent l="0" t="0" r="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FD Incidents and Travel Time_6 Minutes.jpg"/>
                    <pic:cNvPicPr/>
                  </pic:nvPicPr>
                  <pic:blipFill>
                    <a:blip r:embed="rId88">
                      <a:extLst>
                        <a:ext uri="{28A0092B-C50C-407E-A947-70E740481C1C}">
                          <a14:useLocalDpi xmlns:a14="http://schemas.microsoft.com/office/drawing/2010/main" val="0"/>
                        </a:ext>
                      </a:extLst>
                    </a:blip>
                    <a:stretch>
                      <a:fillRect/>
                    </a:stretch>
                  </pic:blipFill>
                  <pic:spPr>
                    <a:xfrm>
                      <a:off x="0" y="0"/>
                      <a:ext cx="5943600" cy="4245610"/>
                    </a:xfrm>
                    <a:prstGeom prst="rect">
                      <a:avLst/>
                    </a:prstGeom>
                  </pic:spPr>
                </pic:pic>
              </a:graphicData>
            </a:graphic>
          </wp:inline>
        </w:drawing>
      </w:r>
    </w:p>
    <w:p w14:paraId="1DB05885" w14:textId="2F6C7926" w:rsidR="00DA253A" w:rsidRPr="00DA253A" w:rsidRDefault="007B24CE" w:rsidP="00DA253A">
      <w:pPr>
        <w:rPr>
          <w:lang w:eastAsia="en-US"/>
        </w:rPr>
      </w:pPr>
      <w:r>
        <w:rPr>
          <w:lang w:eastAsia="en-US"/>
        </w:rPr>
        <w:t>Approximately 95</w:t>
      </w:r>
      <w:r w:rsidR="00DA253A" w:rsidRPr="00DA253A">
        <w:rPr>
          <w:lang w:eastAsia="en-US"/>
        </w:rPr>
        <w:t xml:space="preserve"> percent of the incidents displayed in this figure occurred within six minutes travel time of a staffed fire station. The travel time model in this figure displays potential travel time capability, assuming all apparatus are in quarters and available to respond. </w:t>
      </w:r>
      <w:r w:rsidR="00286E86" w:rsidRPr="00286E86">
        <w:rPr>
          <w:lang w:eastAsia="en-US"/>
        </w:rPr>
        <w:t>The following figure uses GIS data provided by PFD to display actual travel time performance in 2015 summarized by the PFD geographic fire management zones (FMZ).</w:t>
      </w:r>
    </w:p>
    <w:p w14:paraId="62CC85B1" w14:textId="04A2A327" w:rsidR="00286E86" w:rsidRDefault="00286E86" w:rsidP="007B24CE">
      <w:pPr>
        <w:pStyle w:val="Caption"/>
      </w:pPr>
      <w:bookmarkStart w:id="239" w:name="_Ref455693107"/>
      <w:bookmarkStart w:id="240" w:name="_Toc464323711"/>
      <w:r>
        <w:t xml:space="preserve">Figure </w:t>
      </w:r>
      <w:r w:rsidR="00432AD4">
        <w:fldChar w:fldCharType="begin"/>
      </w:r>
      <w:r w:rsidR="00432AD4">
        <w:instrText xml:space="preserve"> SEQ Figure \* ARABIC </w:instrText>
      </w:r>
      <w:r w:rsidR="00432AD4">
        <w:fldChar w:fldCharType="separate"/>
      </w:r>
      <w:r w:rsidR="008209A2">
        <w:rPr>
          <w:noProof/>
        </w:rPr>
        <w:t>69</w:t>
      </w:r>
      <w:r w:rsidR="00432AD4">
        <w:rPr>
          <w:noProof/>
        </w:rPr>
        <w:fldChar w:fldCharType="end"/>
      </w:r>
      <w:bookmarkEnd w:id="239"/>
      <w:r>
        <w:t xml:space="preserve">: </w:t>
      </w:r>
      <w:r w:rsidR="00716EA9">
        <w:t xml:space="preserve">Actual </w:t>
      </w:r>
      <w:r>
        <w:t>Travel Time Performance by F</w:t>
      </w:r>
      <w:r w:rsidR="007B24CE">
        <w:t xml:space="preserve">ire </w:t>
      </w:r>
      <w:r>
        <w:t>M</w:t>
      </w:r>
      <w:r w:rsidR="007B24CE">
        <w:t xml:space="preserve">anagement </w:t>
      </w:r>
      <w:r>
        <w:t>Z</w:t>
      </w:r>
      <w:r w:rsidR="007B24CE">
        <w:t>one</w:t>
      </w:r>
      <w:r>
        <w:t>, 2015</w:t>
      </w:r>
      <w:bookmarkEnd w:id="240"/>
    </w:p>
    <w:p w14:paraId="5B31B3C3" w14:textId="77777777" w:rsidR="00286E86" w:rsidRDefault="00286E86" w:rsidP="00286E86">
      <w:pPr>
        <w:jc w:val="center"/>
        <w:rPr>
          <w:lang w:eastAsia="en-US"/>
        </w:rPr>
      </w:pPr>
      <w:r>
        <w:rPr>
          <w:noProof/>
          <w:lang w:eastAsia="en-US"/>
        </w:rPr>
        <w:drawing>
          <wp:inline distT="0" distB="0" distL="0" distR="0" wp14:anchorId="111CB051" wp14:editId="14A4C867">
            <wp:extent cx="5943600" cy="4245610"/>
            <wp:effectExtent l="0" t="0" r="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FD FMZ's and 2015 Travel Time.jpg"/>
                    <pic:cNvPicPr/>
                  </pic:nvPicPr>
                  <pic:blipFill>
                    <a:blip r:embed="rId89">
                      <a:extLst>
                        <a:ext uri="{28A0092B-C50C-407E-A947-70E740481C1C}">
                          <a14:useLocalDpi xmlns:a14="http://schemas.microsoft.com/office/drawing/2010/main" val="0"/>
                        </a:ext>
                      </a:extLst>
                    </a:blip>
                    <a:stretch>
                      <a:fillRect/>
                    </a:stretch>
                  </pic:blipFill>
                  <pic:spPr>
                    <a:xfrm>
                      <a:off x="0" y="0"/>
                      <a:ext cx="5943600" cy="4245610"/>
                    </a:xfrm>
                    <a:prstGeom prst="rect">
                      <a:avLst/>
                    </a:prstGeom>
                  </pic:spPr>
                </pic:pic>
              </a:graphicData>
            </a:graphic>
          </wp:inline>
        </w:drawing>
      </w:r>
    </w:p>
    <w:p w14:paraId="1CCA1F3A" w14:textId="37917448" w:rsidR="00286E86" w:rsidRDefault="00286E86" w:rsidP="00286E86">
      <w:pPr>
        <w:rPr>
          <w:lang w:eastAsia="en-US"/>
        </w:rPr>
      </w:pPr>
      <w:r>
        <w:rPr>
          <w:lang w:eastAsia="en-US"/>
        </w:rPr>
        <w:t xml:space="preserve">Using an approximately </w:t>
      </w:r>
      <w:r w:rsidR="007B24CE">
        <w:rPr>
          <w:lang w:eastAsia="en-US"/>
        </w:rPr>
        <w:t>0</w:t>
      </w:r>
      <w:r>
        <w:rPr>
          <w:lang w:eastAsia="en-US"/>
        </w:rPr>
        <w:t xml:space="preserve">.25-mile grid, PFD has established fire management zones (FMZ) for the PFD service area. The </w:t>
      </w:r>
      <w:r w:rsidR="007B24CE">
        <w:rPr>
          <w:lang w:eastAsia="en-US"/>
        </w:rPr>
        <w:t xml:space="preserve">Department </w:t>
      </w:r>
      <w:r>
        <w:rPr>
          <w:lang w:eastAsia="en-US"/>
        </w:rPr>
        <w:t>is able to track the distribution of incidents and actual travel time performance within each FMZ. As opposed to the previous travel time models, which model potential travel time capability</w:t>
      </w:r>
      <w:r w:rsidR="007B24CE">
        <w:rPr>
          <w:lang w:eastAsia="en-US"/>
        </w:rPr>
        <w:t>,</w:t>
      </w:r>
      <w:r>
        <w:rPr>
          <w:lang w:eastAsia="en-US"/>
        </w:rPr>
        <w:t xml:space="preserve"> </w:t>
      </w:r>
      <w:r>
        <w:rPr>
          <w:lang w:eastAsia="en-US"/>
        </w:rPr>
        <w:fldChar w:fldCharType="begin"/>
      </w:r>
      <w:r>
        <w:rPr>
          <w:lang w:eastAsia="en-US"/>
        </w:rPr>
        <w:instrText xml:space="preserve"> REF _Ref455693107 \h </w:instrText>
      </w:r>
      <w:r>
        <w:rPr>
          <w:lang w:eastAsia="en-US"/>
        </w:rPr>
      </w:r>
      <w:r>
        <w:rPr>
          <w:lang w:eastAsia="en-US"/>
        </w:rPr>
        <w:fldChar w:fldCharType="separate"/>
      </w:r>
      <w:r w:rsidR="008209A2">
        <w:t xml:space="preserve">Figure </w:t>
      </w:r>
      <w:r w:rsidR="008209A2">
        <w:rPr>
          <w:noProof/>
        </w:rPr>
        <w:t>69</w:t>
      </w:r>
      <w:r>
        <w:rPr>
          <w:lang w:eastAsia="en-US"/>
        </w:rPr>
        <w:fldChar w:fldCharType="end"/>
      </w:r>
      <w:r>
        <w:rPr>
          <w:lang w:eastAsia="en-US"/>
        </w:rPr>
        <w:t xml:space="preserve"> demonstrates actual travel time performance within a distinct geographic area. As displayed in this figure, 2015 actual travel time performance did not meet the PFD travel time standard of six minutes in approximately 33 percent of the PFD service area. The use of geographic FMZ’s is an effective tactic to pinpoint areas where traffic delays, lack of street network connectivity, or responses from a more distant station (due to concurrent incidents) negatively affects actual response performance. </w:t>
      </w:r>
    </w:p>
    <w:tbl>
      <w:tblPr>
        <w:tblW w:w="0" w:type="auto"/>
        <w:tblLook w:val="00A0" w:firstRow="1" w:lastRow="0" w:firstColumn="1" w:lastColumn="0" w:noHBand="0" w:noVBand="0"/>
      </w:tblPr>
      <w:tblGrid>
        <w:gridCol w:w="9360"/>
      </w:tblGrid>
      <w:tr w:rsidR="00716EA9" w:rsidRPr="00C1452A" w14:paraId="6212B3A9" w14:textId="77777777" w:rsidTr="00003327">
        <w:tc>
          <w:tcPr>
            <w:tcW w:w="9360" w:type="dxa"/>
            <w:shd w:val="clear" w:color="auto" w:fill="D9D9D9" w:themeFill="background1" w:themeFillShade="D9"/>
          </w:tcPr>
          <w:p w14:paraId="3AEE381C" w14:textId="77777777" w:rsidR="00716EA9" w:rsidRPr="00B97078" w:rsidRDefault="00716EA9" w:rsidP="00003327">
            <w:pPr>
              <w:keepNext/>
              <w:keepLines/>
              <w:spacing w:after="0" w:line="360" w:lineRule="auto"/>
              <w:rPr>
                <w:rFonts w:eastAsia="Times New Roman" w:cs="Calibri"/>
                <w:b/>
              </w:rPr>
            </w:pPr>
            <w:r w:rsidRPr="00B97078">
              <w:rPr>
                <w:rFonts w:eastAsia="Times New Roman" w:cs="Calibri"/>
                <w:b/>
              </w:rPr>
              <w:t>Recommendation:</w:t>
            </w:r>
          </w:p>
          <w:p w14:paraId="4E22AF24" w14:textId="26E29C4C" w:rsidR="0046331D" w:rsidRPr="0046331D" w:rsidRDefault="00716EA9" w:rsidP="0046331D">
            <w:pPr>
              <w:numPr>
                <w:ilvl w:val="0"/>
                <w:numId w:val="25"/>
              </w:numPr>
              <w:spacing w:after="120" w:line="240" w:lineRule="auto"/>
              <w:jc w:val="left"/>
              <w:rPr>
                <w:rFonts w:asciiTheme="majorHAnsi" w:hAnsiTheme="majorHAnsi" w:cs="Arial"/>
              </w:rPr>
            </w:pPr>
            <w:r w:rsidRPr="00B97078">
              <w:rPr>
                <w:rFonts w:cs="Calibri"/>
              </w:rPr>
              <w:t>I</w:t>
            </w:r>
            <w:r>
              <w:rPr>
                <w:rFonts w:cs="Calibri"/>
              </w:rPr>
              <w:t xml:space="preserve">mprove street networks for </w:t>
            </w:r>
            <w:r w:rsidR="0046331D">
              <w:rPr>
                <w:rFonts w:cs="Calibri"/>
              </w:rPr>
              <w:t xml:space="preserve">improved response time performance in areas where compliance is not achieved due to poor circulation (such as east-west of State Route 395).  </w:t>
            </w:r>
          </w:p>
          <w:p w14:paraId="5FEB546D" w14:textId="36F1384C" w:rsidR="00716EA9" w:rsidRPr="006C16B9" w:rsidRDefault="0046331D" w:rsidP="0046331D">
            <w:pPr>
              <w:numPr>
                <w:ilvl w:val="0"/>
                <w:numId w:val="25"/>
              </w:numPr>
              <w:spacing w:after="120" w:line="240" w:lineRule="auto"/>
              <w:contextualSpacing/>
              <w:jc w:val="left"/>
              <w:rPr>
                <w:rFonts w:asciiTheme="majorHAnsi" w:hAnsiTheme="majorHAnsi" w:cs="Arial"/>
              </w:rPr>
            </w:pPr>
            <w:r w:rsidRPr="0046331D">
              <w:rPr>
                <w:rFonts w:cs="Calibri"/>
                <w:shd w:val="clear" w:color="auto" w:fill="D9D9D9" w:themeFill="background1" w:themeFillShade="D9"/>
              </w:rPr>
              <w:t xml:space="preserve">Add </w:t>
            </w:r>
            <w:r w:rsidRPr="0046331D">
              <w:rPr>
                <w:rFonts w:asciiTheme="majorHAnsi" w:hAnsiTheme="majorHAnsi" w:cs="Arial"/>
                <w:shd w:val="clear" w:color="auto" w:fill="D9D9D9" w:themeFill="background1" w:themeFillShade="D9"/>
              </w:rPr>
              <w:t>Emergency Vehicle Preemption technology to signalized intersections for improved response times</w:t>
            </w:r>
            <w:r w:rsidR="00716EA9" w:rsidRPr="0046331D">
              <w:rPr>
                <w:rFonts w:cs="Calibri"/>
                <w:shd w:val="clear" w:color="auto" w:fill="D9D9D9" w:themeFill="background1" w:themeFillShade="D9"/>
              </w:rPr>
              <w:t>.</w:t>
            </w:r>
          </w:p>
        </w:tc>
      </w:tr>
    </w:tbl>
    <w:p w14:paraId="7C346C5C" w14:textId="77777777" w:rsidR="00716EA9" w:rsidRDefault="00716EA9" w:rsidP="00286E86">
      <w:pPr>
        <w:rPr>
          <w:lang w:eastAsia="en-US"/>
        </w:rPr>
      </w:pPr>
    </w:p>
    <w:p w14:paraId="37016847" w14:textId="77777777" w:rsidR="00286E86" w:rsidRPr="00DA253A" w:rsidRDefault="00286E86" w:rsidP="00286E86">
      <w:pPr>
        <w:pStyle w:val="Heading3"/>
        <w:rPr>
          <w:lang w:eastAsia="en-US"/>
        </w:rPr>
      </w:pPr>
      <w:bookmarkStart w:id="241" w:name="_Toc464323604"/>
      <w:r w:rsidRPr="00DA253A">
        <w:rPr>
          <w:lang w:eastAsia="en-US"/>
        </w:rPr>
        <w:t>Concentration Study</w:t>
      </w:r>
      <w:bookmarkEnd w:id="241"/>
    </w:p>
    <w:p w14:paraId="4C0A3034" w14:textId="7D0476EB" w:rsidR="00286E86" w:rsidRPr="00DA253A" w:rsidRDefault="00286E86" w:rsidP="00286E86">
      <w:pPr>
        <w:rPr>
          <w:lang w:eastAsia="en-US"/>
        </w:rPr>
      </w:pPr>
      <w:r w:rsidRPr="00DA253A">
        <w:rPr>
          <w:lang w:eastAsia="en-US"/>
        </w:rPr>
        <w:t xml:space="preserve">The concentration analysis examines PFD’s ability to assemble multiple resources (both apparatus and people) in a timely manner. The following figure displays the concentration of PFD stations in the study area in eight minutes or less travel time. </w:t>
      </w:r>
      <w:r w:rsidRPr="00DA253A">
        <w:t>This is to ensure that enough people and equipment arrive soon enough to safely control a fire or mitigate any emergency before there is substantial damage or injury. The eight-minute trave</w:t>
      </w:r>
      <w:r w:rsidR="007B24CE">
        <w:t>l time criteria is based on</w:t>
      </w:r>
      <w:r w:rsidRPr="00DA253A">
        <w:t xml:space="preserve"> </w:t>
      </w:r>
      <w:r w:rsidRPr="007B24CE">
        <w:rPr>
          <w:i/>
        </w:rPr>
        <w:t>NFPA 1710</w:t>
      </w:r>
      <w:r w:rsidRPr="00DA253A">
        <w:t xml:space="preserve">. The </w:t>
      </w:r>
      <w:r w:rsidRPr="007B24CE">
        <w:rPr>
          <w:i/>
        </w:rPr>
        <w:t xml:space="preserve">NFPA 1710 </w:t>
      </w:r>
      <w:r w:rsidR="007B24CE" w:rsidRPr="007B24CE">
        <w:rPr>
          <w:i/>
        </w:rPr>
        <w:t>S</w:t>
      </w:r>
      <w:r w:rsidRPr="007B24CE">
        <w:rPr>
          <w:i/>
        </w:rPr>
        <w:t>tandard</w:t>
      </w:r>
      <w:r w:rsidRPr="00DA253A">
        <w:t xml:space="preserve"> specifies that the full first alarm assignment for a moderate risk structure fire (single story residential structure) should arrive within eight minutes travel</w:t>
      </w:r>
      <w:r>
        <w:t xml:space="preserve"> time</w:t>
      </w:r>
      <w:r w:rsidRPr="00DA253A">
        <w:t xml:space="preserve">, </w:t>
      </w:r>
      <w:r w:rsidR="007B24CE">
        <w:t>90</w:t>
      </w:r>
      <w:r w:rsidRPr="00DA253A">
        <w:t xml:space="preserve"> percent of the time (90</w:t>
      </w:r>
      <w:r w:rsidRPr="00DA253A">
        <w:rPr>
          <w:vertAlign w:val="superscript"/>
        </w:rPr>
        <w:t>th</w:t>
      </w:r>
      <w:r w:rsidRPr="00DA253A">
        <w:t xml:space="preserve"> percentile).</w:t>
      </w:r>
    </w:p>
    <w:p w14:paraId="289B1F42" w14:textId="5DB38C2B" w:rsidR="00DA253A" w:rsidRPr="00DA253A" w:rsidRDefault="00DA253A" w:rsidP="007B24CE">
      <w:pPr>
        <w:pStyle w:val="Caption"/>
      </w:pPr>
      <w:bookmarkStart w:id="242" w:name="_Ref454357332"/>
      <w:bookmarkStart w:id="243" w:name="_Toc464323712"/>
      <w:r w:rsidRPr="00DA253A">
        <w:t xml:space="preserve">Figure </w:t>
      </w:r>
      <w:r w:rsidR="00432AD4">
        <w:fldChar w:fldCharType="begin"/>
      </w:r>
      <w:r w:rsidR="00432AD4">
        <w:instrText xml:space="preserve"> SEQ Figure \* ARABIC </w:instrText>
      </w:r>
      <w:r w:rsidR="00432AD4">
        <w:fldChar w:fldCharType="separate"/>
      </w:r>
      <w:r w:rsidR="008209A2">
        <w:rPr>
          <w:noProof/>
        </w:rPr>
        <w:t>70</w:t>
      </w:r>
      <w:r w:rsidR="00432AD4">
        <w:rPr>
          <w:noProof/>
        </w:rPr>
        <w:fldChar w:fldCharType="end"/>
      </w:r>
      <w:bookmarkEnd w:id="242"/>
      <w:r w:rsidR="007B24CE">
        <w:t xml:space="preserve">: </w:t>
      </w:r>
      <w:r w:rsidRPr="00DA253A">
        <w:t>Station Concentration, Staffed Stations</w:t>
      </w:r>
      <w:bookmarkEnd w:id="243"/>
    </w:p>
    <w:p w14:paraId="620B0216" w14:textId="77777777" w:rsidR="00DA253A" w:rsidRPr="00DA253A" w:rsidRDefault="00DA253A" w:rsidP="00DA253A">
      <w:pPr>
        <w:jc w:val="center"/>
        <w:rPr>
          <w:lang w:eastAsia="en-US"/>
        </w:rPr>
      </w:pPr>
      <w:r w:rsidRPr="00DA253A">
        <w:rPr>
          <w:noProof/>
          <w:lang w:eastAsia="en-US"/>
        </w:rPr>
        <w:drawing>
          <wp:inline distT="0" distB="0" distL="0" distR="0" wp14:anchorId="0E50F273" wp14:editId="5271DA00">
            <wp:extent cx="5943600" cy="4245428"/>
            <wp:effectExtent l="0" t="0" r="0" b="31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FD ERF 8 Minutes.jpg"/>
                    <pic:cNvPicPr/>
                  </pic:nvPicPr>
                  <pic:blipFill>
                    <a:blip r:embed="rId90">
                      <a:extLst>
                        <a:ext uri="{28A0092B-C50C-407E-A947-70E740481C1C}">
                          <a14:useLocalDpi xmlns:a14="http://schemas.microsoft.com/office/drawing/2010/main" val="0"/>
                        </a:ext>
                      </a:extLst>
                    </a:blip>
                    <a:stretch>
                      <a:fillRect/>
                    </a:stretch>
                  </pic:blipFill>
                  <pic:spPr>
                    <a:xfrm>
                      <a:off x="0" y="0"/>
                      <a:ext cx="5943600" cy="4245428"/>
                    </a:xfrm>
                    <a:prstGeom prst="rect">
                      <a:avLst/>
                    </a:prstGeom>
                  </pic:spPr>
                </pic:pic>
              </a:graphicData>
            </a:graphic>
          </wp:inline>
        </w:drawing>
      </w:r>
    </w:p>
    <w:p w14:paraId="5B5C0166" w14:textId="5AC1B021" w:rsidR="00DA253A" w:rsidRPr="00DA253A" w:rsidRDefault="00DA253A" w:rsidP="00DA253A">
      <w:pPr>
        <w:rPr>
          <w:lang w:eastAsia="en-US"/>
        </w:rPr>
      </w:pPr>
      <w:r w:rsidRPr="00DA253A">
        <w:rPr>
          <w:lang w:eastAsia="en-US"/>
        </w:rPr>
        <w:t xml:space="preserve">The PFD full first alarm assignment for a structure fire calls for 11 personnel and apparatus from all three staffed fire stations. </w:t>
      </w:r>
      <w:r w:rsidRPr="007B24CE">
        <w:rPr>
          <w:lang w:eastAsia="en-US"/>
        </w:rPr>
        <w:fldChar w:fldCharType="begin"/>
      </w:r>
      <w:r w:rsidRPr="007B24CE">
        <w:rPr>
          <w:lang w:eastAsia="en-US"/>
        </w:rPr>
        <w:instrText xml:space="preserve"> REF _Ref454357332 \h </w:instrText>
      </w:r>
      <w:r w:rsidR="007B24CE" w:rsidRPr="007B24CE">
        <w:rPr>
          <w:lang w:eastAsia="en-US"/>
        </w:rPr>
        <w:instrText xml:space="preserve"> \* MERGEFORMAT </w:instrText>
      </w:r>
      <w:r w:rsidRPr="007B24CE">
        <w:rPr>
          <w:lang w:eastAsia="en-US"/>
        </w:rPr>
      </w:r>
      <w:r w:rsidRPr="007B24CE">
        <w:rPr>
          <w:lang w:eastAsia="en-US"/>
        </w:rPr>
        <w:fldChar w:fldCharType="separate"/>
      </w:r>
      <w:r w:rsidR="008209A2" w:rsidRPr="008209A2">
        <w:rPr>
          <w:rFonts w:asciiTheme="majorHAnsi" w:hAnsiTheme="majorHAnsi" w:cstheme="majorHAnsi"/>
          <w:bCs/>
        </w:rPr>
        <w:t xml:space="preserve">Figure </w:t>
      </w:r>
      <w:r w:rsidR="008209A2" w:rsidRPr="008209A2">
        <w:rPr>
          <w:rFonts w:asciiTheme="majorHAnsi" w:hAnsiTheme="majorHAnsi" w:cstheme="majorHAnsi"/>
          <w:bCs/>
          <w:noProof/>
        </w:rPr>
        <w:t>70</w:t>
      </w:r>
      <w:r w:rsidRPr="007B24CE">
        <w:rPr>
          <w:lang w:eastAsia="en-US"/>
        </w:rPr>
        <w:fldChar w:fldCharType="end"/>
      </w:r>
      <w:r w:rsidRPr="007B24CE">
        <w:rPr>
          <w:lang w:eastAsia="en-US"/>
        </w:rPr>
        <w:t xml:space="preserve"> </w:t>
      </w:r>
      <w:r w:rsidRPr="00DA253A">
        <w:rPr>
          <w:lang w:eastAsia="en-US"/>
        </w:rPr>
        <w:t xml:space="preserve">demonstrates that only a small portion of the core area of Pasco is within eight </w:t>
      </w:r>
      <w:r w:rsidR="004D79EC">
        <w:rPr>
          <w:lang w:eastAsia="en-US"/>
        </w:rPr>
        <w:t>minutes or less travel time</w:t>
      </w:r>
      <w:r w:rsidRPr="00DA253A">
        <w:rPr>
          <w:lang w:eastAsia="en-US"/>
        </w:rPr>
        <w:t xml:space="preserve"> of all three of the PFD stations. P</w:t>
      </w:r>
      <w:r w:rsidR="004035AD">
        <w:rPr>
          <w:lang w:eastAsia="en-US"/>
        </w:rPr>
        <w:t xml:space="preserve">asco City Council </w:t>
      </w:r>
      <w:r w:rsidRPr="00DA253A">
        <w:rPr>
          <w:lang w:eastAsia="en-US"/>
        </w:rPr>
        <w:t>has adopted a travel time goal of 12 minutes for the arrival of the full first alarm assignment to a fire suppression event (measured at the 90</w:t>
      </w:r>
      <w:r w:rsidRPr="00DA253A">
        <w:rPr>
          <w:vertAlign w:val="superscript"/>
          <w:lang w:eastAsia="en-US"/>
        </w:rPr>
        <w:t>th</w:t>
      </w:r>
      <w:r w:rsidRPr="00DA253A">
        <w:rPr>
          <w:lang w:eastAsia="en-US"/>
        </w:rPr>
        <w:t xml:space="preserve"> percentile).  </w:t>
      </w:r>
      <w:r w:rsidR="00606B4D" w:rsidRPr="00606B4D">
        <w:rPr>
          <w:lang w:eastAsia="en-US"/>
        </w:rPr>
        <w:t xml:space="preserve">The following figure demonstrates the portions of the PFD service area that are within 12 minutes or less travel time of all three staffed fire stations.   </w:t>
      </w:r>
    </w:p>
    <w:p w14:paraId="73AE861C" w14:textId="2EF4B4FE" w:rsidR="00DA253A" w:rsidRPr="00DA253A" w:rsidRDefault="00DA253A" w:rsidP="007B24CE">
      <w:pPr>
        <w:pStyle w:val="Caption"/>
      </w:pPr>
      <w:bookmarkStart w:id="244" w:name="_Toc464323713"/>
      <w:r w:rsidRPr="00DA253A">
        <w:t xml:space="preserve">Figure </w:t>
      </w:r>
      <w:r w:rsidR="00432AD4">
        <w:fldChar w:fldCharType="begin"/>
      </w:r>
      <w:r w:rsidR="00432AD4">
        <w:instrText xml:space="preserve"> SEQ Figure \* ARABIC </w:instrText>
      </w:r>
      <w:r w:rsidR="00432AD4">
        <w:fldChar w:fldCharType="separate"/>
      </w:r>
      <w:r w:rsidR="008209A2">
        <w:rPr>
          <w:noProof/>
        </w:rPr>
        <w:t>71</w:t>
      </w:r>
      <w:r w:rsidR="00432AD4">
        <w:rPr>
          <w:noProof/>
        </w:rPr>
        <w:fldChar w:fldCharType="end"/>
      </w:r>
      <w:r w:rsidR="007B24CE">
        <w:t>:</w:t>
      </w:r>
      <w:r w:rsidRPr="00DA253A">
        <w:t xml:space="preserve"> Full First Alarm, 12 Minutes Travel Time (PFD Travel Time Goal)</w:t>
      </w:r>
      <w:bookmarkEnd w:id="244"/>
    </w:p>
    <w:p w14:paraId="095BDB22" w14:textId="77777777" w:rsidR="00DA253A" w:rsidRPr="00DA253A" w:rsidRDefault="00DA253A" w:rsidP="00DA253A">
      <w:pPr>
        <w:jc w:val="center"/>
        <w:rPr>
          <w:lang w:eastAsia="en-US"/>
        </w:rPr>
      </w:pPr>
      <w:r w:rsidRPr="00DA253A">
        <w:rPr>
          <w:noProof/>
          <w:lang w:eastAsia="en-US"/>
        </w:rPr>
        <w:drawing>
          <wp:inline distT="0" distB="0" distL="0" distR="0" wp14:anchorId="74C522FD" wp14:editId="49DC40D1">
            <wp:extent cx="5943600" cy="4245428"/>
            <wp:effectExtent l="0" t="0" r="0" b="31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FD ERF 12 Minutes PFD Goal.jpg"/>
                    <pic:cNvPicPr/>
                  </pic:nvPicPr>
                  <pic:blipFill>
                    <a:blip r:embed="rId91">
                      <a:extLst>
                        <a:ext uri="{28A0092B-C50C-407E-A947-70E740481C1C}">
                          <a14:useLocalDpi xmlns:a14="http://schemas.microsoft.com/office/drawing/2010/main" val="0"/>
                        </a:ext>
                      </a:extLst>
                    </a:blip>
                    <a:stretch>
                      <a:fillRect/>
                    </a:stretch>
                  </pic:blipFill>
                  <pic:spPr>
                    <a:xfrm>
                      <a:off x="0" y="0"/>
                      <a:ext cx="5943600" cy="4245428"/>
                    </a:xfrm>
                    <a:prstGeom prst="rect">
                      <a:avLst/>
                    </a:prstGeom>
                  </pic:spPr>
                </pic:pic>
              </a:graphicData>
            </a:graphic>
          </wp:inline>
        </w:drawing>
      </w:r>
    </w:p>
    <w:p w14:paraId="673B0DAF" w14:textId="58C10EF7" w:rsidR="00606B4D" w:rsidRDefault="00DA253A" w:rsidP="00DA253A">
      <w:pPr>
        <w:rPr>
          <w:lang w:eastAsia="en-US"/>
        </w:rPr>
      </w:pPr>
      <w:r w:rsidRPr="00DA253A">
        <w:rPr>
          <w:lang w:eastAsia="en-US"/>
        </w:rPr>
        <w:t xml:space="preserve">At </w:t>
      </w:r>
      <w:r w:rsidR="007B24CE">
        <w:rPr>
          <w:lang w:eastAsia="en-US"/>
        </w:rPr>
        <w:t>12</w:t>
      </w:r>
      <w:r w:rsidRPr="00DA253A">
        <w:rPr>
          <w:lang w:eastAsia="en-US"/>
        </w:rPr>
        <w:t xml:space="preserve"> minutes </w:t>
      </w:r>
      <w:r w:rsidR="00606B4D">
        <w:rPr>
          <w:lang w:eastAsia="en-US"/>
        </w:rPr>
        <w:t xml:space="preserve">or less </w:t>
      </w:r>
      <w:r w:rsidRPr="00DA253A">
        <w:rPr>
          <w:lang w:eastAsia="en-US"/>
        </w:rPr>
        <w:t>travel time</w:t>
      </w:r>
      <w:r w:rsidR="00606B4D">
        <w:rPr>
          <w:lang w:eastAsia="en-US"/>
        </w:rPr>
        <w:t>,</w:t>
      </w:r>
      <w:r w:rsidRPr="00DA253A">
        <w:rPr>
          <w:lang w:eastAsia="en-US"/>
        </w:rPr>
        <w:t xml:space="preserve"> PFD is capable of assembling a full first alarm throughout the majority of the service area. Again, this figure models potential travel time assuming all apparatus and personnel are available. </w:t>
      </w:r>
      <w:r w:rsidR="00606B4D">
        <w:rPr>
          <w:lang w:eastAsia="en-US"/>
        </w:rPr>
        <w:t>I</w:t>
      </w:r>
      <w:r w:rsidR="00606B4D" w:rsidRPr="00606B4D">
        <w:rPr>
          <w:lang w:eastAsia="en-US"/>
        </w:rPr>
        <w:t>n 2015</w:t>
      </w:r>
      <w:r w:rsidR="00606B4D">
        <w:rPr>
          <w:lang w:eastAsia="en-US"/>
        </w:rPr>
        <w:t>,</w:t>
      </w:r>
      <w:r w:rsidR="00606B4D" w:rsidRPr="00606B4D">
        <w:rPr>
          <w:lang w:eastAsia="en-US"/>
        </w:rPr>
        <w:t xml:space="preserve"> PFD required over 22 minutes to meet the adopted standard for a full first alarm (11 personnel) for a fire suppression event</w:t>
      </w:r>
      <w:r w:rsidR="009A5371">
        <w:rPr>
          <w:lang w:eastAsia="en-US"/>
        </w:rPr>
        <w:t xml:space="preserve"> 90 percent of the time</w:t>
      </w:r>
      <w:r w:rsidR="00606B4D" w:rsidRPr="00606B4D">
        <w:rPr>
          <w:lang w:eastAsia="en-US"/>
        </w:rPr>
        <w:t>. Note that the PFD full first alarm assignment of 11 personnel does not meet industry best practice</w:t>
      </w:r>
      <w:r w:rsidR="00606B4D">
        <w:rPr>
          <w:rStyle w:val="FootnoteReference"/>
          <w:lang w:eastAsia="en-US"/>
        </w:rPr>
        <w:footnoteReference w:id="34"/>
      </w:r>
      <w:r w:rsidR="00606B4D" w:rsidRPr="00606B4D">
        <w:rPr>
          <w:lang w:eastAsia="en-US"/>
        </w:rPr>
        <w:t xml:space="preserve"> recommendations of 14</w:t>
      </w:r>
      <w:r w:rsidR="007B24CE">
        <w:rPr>
          <w:lang w:eastAsia="en-US"/>
        </w:rPr>
        <w:t xml:space="preserve"> to </w:t>
      </w:r>
      <w:r w:rsidR="00606B4D" w:rsidRPr="00606B4D">
        <w:rPr>
          <w:lang w:eastAsia="en-US"/>
        </w:rPr>
        <w:t xml:space="preserve">16 personnel for a moderate risk structure fire. </w:t>
      </w:r>
      <w:r w:rsidR="00606B4D">
        <w:rPr>
          <w:lang w:eastAsia="en-US"/>
        </w:rPr>
        <w:t xml:space="preserve"> </w:t>
      </w:r>
      <w:r w:rsidR="006D1F02" w:rsidRPr="006D1F02">
        <w:rPr>
          <w:lang w:eastAsia="en-US"/>
        </w:rPr>
        <w:t>Examination of the 2015 Performance Measures Report reveals that in 2015 PFD met the 12-minute travel time goal for a full first alarm for 50 percent of fires suppression events.</w:t>
      </w:r>
    </w:p>
    <w:p w14:paraId="0167F0E0" w14:textId="06E4D400" w:rsidR="00C35B4C" w:rsidRDefault="00C35B4C" w:rsidP="00DA253A">
      <w:pPr>
        <w:rPr>
          <w:lang w:eastAsia="en-US"/>
        </w:rPr>
      </w:pPr>
      <w:r>
        <w:rPr>
          <w:lang w:eastAsia="en-US"/>
        </w:rPr>
        <w:t xml:space="preserve">By increasing the staffing on existing engine companies and increasing the number of engine companies, PFD increases the effective response force for structure fires to within industry best practices and regional norms.  Increasing the staffing on engine companies reduces the reliance upon medic unit staffing being transferred to the engines, </w:t>
      </w:r>
      <w:r w:rsidR="00193270">
        <w:rPr>
          <w:lang w:eastAsia="en-US"/>
        </w:rPr>
        <w:t xml:space="preserve">which </w:t>
      </w:r>
      <w:r>
        <w:rPr>
          <w:lang w:eastAsia="en-US"/>
        </w:rPr>
        <w:t>leav</w:t>
      </w:r>
      <w:r w:rsidR="00193270">
        <w:rPr>
          <w:lang w:eastAsia="en-US"/>
        </w:rPr>
        <w:t>es</w:t>
      </w:r>
      <w:r>
        <w:rPr>
          <w:lang w:eastAsia="en-US"/>
        </w:rPr>
        <w:t xml:space="preserve"> the EMS response element vulnerable.</w:t>
      </w:r>
    </w:p>
    <w:p w14:paraId="4081D3F9" w14:textId="77777777" w:rsidR="00021755" w:rsidRDefault="00021755" w:rsidP="00021755">
      <w:pPr>
        <w:pStyle w:val="Heading3"/>
        <w:rPr>
          <w:lang w:eastAsia="en-US"/>
        </w:rPr>
      </w:pPr>
      <w:bookmarkStart w:id="245" w:name="_Toc464323605"/>
      <w:bookmarkStart w:id="246" w:name="_Toc452543161"/>
      <w:bookmarkStart w:id="247" w:name="_Toc190600880"/>
      <w:bookmarkEnd w:id="219"/>
      <w:bookmarkEnd w:id="220"/>
      <w:bookmarkEnd w:id="221"/>
      <w:r>
        <w:rPr>
          <w:lang w:eastAsia="en-US"/>
        </w:rPr>
        <w:t>Reliability Study</w:t>
      </w:r>
      <w:bookmarkEnd w:id="245"/>
    </w:p>
    <w:p w14:paraId="4FADD9B0" w14:textId="7236DC98" w:rsidR="00021755" w:rsidRDefault="00021755" w:rsidP="00021755">
      <w:pPr>
        <w:rPr>
          <w:lang w:eastAsia="en-US"/>
        </w:rPr>
      </w:pPr>
      <w:r w:rsidRPr="00720C14">
        <w:t xml:space="preserve">The workload of emergency response units can be a factor in response time performance. The busier a given unit, the less available it is for the next emergency. If a response unit is unavailable, then a unit from a more distant station (or mutual/automatic aid department) must respond, increasing overall response time. </w:t>
      </w:r>
      <w:r w:rsidRPr="00720C14">
        <w:rPr>
          <w:lang w:eastAsia="en-US"/>
        </w:rPr>
        <w:t>Although fire stations and response units may be distributed to provide quick response, that level of performance can only be obtained when the response unit is available in its primary service area.</w:t>
      </w:r>
    </w:p>
    <w:p w14:paraId="5B8513CC" w14:textId="35C1A189" w:rsidR="00021755" w:rsidRDefault="00021755" w:rsidP="00021755">
      <w:pPr>
        <w:rPr>
          <w:lang w:eastAsia="en-US"/>
        </w:rPr>
      </w:pPr>
      <w:r w:rsidRPr="00364BC1">
        <w:rPr>
          <w:lang w:eastAsia="en-US"/>
        </w:rPr>
        <w:t>Unit hour utilization (UHU) measures the amount of time that a unit is committed to an incident. The larger the number, the greater the unit’s utilization and the less available it is for assignment to subsequent calls for service.</w:t>
      </w:r>
      <w:r>
        <w:rPr>
          <w:lang w:eastAsia="en-US"/>
        </w:rPr>
        <w:t xml:space="preserve"> The following two figures display the total time PFD apparatus were committed to an incident in 2014 and 2015 and expresses this as a percentage of the total hours that year.</w:t>
      </w:r>
    </w:p>
    <w:p w14:paraId="1B55514D" w14:textId="226B4110" w:rsidR="00021755" w:rsidRDefault="00021755" w:rsidP="007B24CE">
      <w:pPr>
        <w:pStyle w:val="Caption"/>
      </w:pPr>
      <w:bookmarkStart w:id="248" w:name="_Toc464323714"/>
      <w:r>
        <w:t xml:space="preserve">Figure </w:t>
      </w:r>
      <w:r w:rsidR="00432AD4">
        <w:fldChar w:fldCharType="begin"/>
      </w:r>
      <w:r w:rsidR="00432AD4">
        <w:instrText xml:space="preserve"> SEQ Figure \* ARABIC </w:instrText>
      </w:r>
      <w:r w:rsidR="00432AD4">
        <w:fldChar w:fldCharType="separate"/>
      </w:r>
      <w:r w:rsidR="008209A2">
        <w:rPr>
          <w:noProof/>
        </w:rPr>
        <w:t>72</w:t>
      </w:r>
      <w:r w:rsidR="00432AD4">
        <w:rPr>
          <w:noProof/>
        </w:rPr>
        <w:fldChar w:fldCharType="end"/>
      </w:r>
      <w:r w:rsidR="007B24CE">
        <w:t xml:space="preserve">: </w:t>
      </w:r>
      <w:r>
        <w:t>2014 Unit Hour Utilization (UHU)</w:t>
      </w:r>
      <w:bookmarkEnd w:id="248"/>
    </w:p>
    <w:tbl>
      <w:tblPr>
        <w:tblW w:w="5465" w:type="dxa"/>
        <w:jc w:val="center"/>
        <w:tblLook w:val="04A0" w:firstRow="1" w:lastRow="0" w:firstColumn="1" w:lastColumn="0" w:noHBand="0" w:noVBand="1"/>
      </w:tblPr>
      <w:tblGrid>
        <w:gridCol w:w="1440"/>
        <w:gridCol w:w="1560"/>
        <w:gridCol w:w="1245"/>
        <w:gridCol w:w="1220"/>
      </w:tblGrid>
      <w:tr w:rsidR="00021755" w:rsidRPr="00021755" w14:paraId="2FAA33C6" w14:textId="77777777" w:rsidTr="007B24CE">
        <w:trPr>
          <w:trHeight w:val="522"/>
          <w:tblHeader/>
          <w:jc w:val="center"/>
        </w:trPr>
        <w:tc>
          <w:tcPr>
            <w:tcW w:w="1440" w:type="dxa"/>
            <w:tcBorders>
              <w:top w:val="nil"/>
              <w:left w:val="nil"/>
              <w:bottom w:val="single" w:sz="4" w:space="0" w:color="auto"/>
              <w:right w:val="nil"/>
            </w:tcBorders>
            <w:shd w:val="clear" w:color="auto" w:fill="1F497D" w:themeFill="text2"/>
            <w:noWrap/>
            <w:vAlign w:val="center"/>
            <w:hideMark/>
          </w:tcPr>
          <w:p w14:paraId="331CC8CC" w14:textId="77777777" w:rsidR="00021755" w:rsidRPr="00021755" w:rsidRDefault="00021755" w:rsidP="00632439">
            <w:pPr>
              <w:spacing w:after="0" w:line="240" w:lineRule="auto"/>
              <w:jc w:val="center"/>
              <w:rPr>
                <w:rFonts w:asciiTheme="majorHAnsi" w:eastAsia="Times New Roman" w:hAnsiTheme="majorHAnsi" w:cs="Times New Roman"/>
                <w:b/>
                <w:bCs/>
                <w:color w:val="FFFFFF" w:themeColor="background1"/>
                <w:sz w:val="20"/>
                <w:szCs w:val="20"/>
              </w:rPr>
            </w:pPr>
            <w:r w:rsidRPr="00021755">
              <w:rPr>
                <w:rFonts w:asciiTheme="majorHAnsi" w:eastAsia="Times New Roman" w:hAnsiTheme="majorHAnsi" w:cs="Times New Roman"/>
                <w:b/>
                <w:bCs/>
                <w:color w:val="FFFFFF" w:themeColor="background1"/>
                <w:sz w:val="20"/>
                <w:szCs w:val="20"/>
              </w:rPr>
              <w:t>Apparatus</w:t>
            </w:r>
          </w:p>
        </w:tc>
        <w:tc>
          <w:tcPr>
            <w:tcW w:w="1560" w:type="dxa"/>
            <w:tcBorders>
              <w:top w:val="nil"/>
              <w:left w:val="nil"/>
              <w:bottom w:val="single" w:sz="4" w:space="0" w:color="auto"/>
              <w:right w:val="nil"/>
            </w:tcBorders>
            <w:shd w:val="clear" w:color="auto" w:fill="1F497D" w:themeFill="text2"/>
            <w:vAlign w:val="center"/>
            <w:hideMark/>
          </w:tcPr>
          <w:p w14:paraId="724FFB12" w14:textId="77777777" w:rsidR="00021755" w:rsidRPr="00021755" w:rsidRDefault="00021755" w:rsidP="00632439">
            <w:pPr>
              <w:spacing w:after="0" w:line="240" w:lineRule="auto"/>
              <w:jc w:val="center"/>
              <w:rPr>
                <w:rFonts w:asciiTheme="majorHAnsi" w:eastAsia="Times New Roman" w:hAnsiTheme="majorHAnsi" w:cs="Times New Roman"/>
                <w:b/>
                <w:bCs/>
                <w:color w:val="FFFFFF" w:themeColor="background1"/>
                <w:sz w:val="20"/>
                <w:szCs w:val="20"/>
              </w:rPr>
            </w:pPr>
            <w:r w:rsidRPr="00021755">
              <w:rPr>
                <w:rFonts w:asciiTheme="majorHAnsi" w:eastAsia="Times New Roman" w:hAnsiTheme="majorHAnsi" w:cs="Times New Roman"/>
                <w:b/>
                <w:bCs/>
                <w:color w:val="FFFFFF" w:themeColor="background1"/>
                <w:sz w:val="20"/>
                <w:szCs w:val="20"/>
              </w:rPr>
              <w:t>Average Time Committed</w:t>
            </w:r>
          </w:p>
        </w:tc>
        <w:tc>
          <w:tcPr>
            <w:tcW w:w="1245" w:type="dxa"/>
            <w:tcBorders>
              <w:top w:val="nil"/>
              <w:left w:val="nil"/>
              <w:bottom w:val="single" w:sz="4" w:space="0" w:color="auto"/>
              <w:right w:val="nil"/>
            </w:tcBorders>
            <w:shd w:val="clear" w:color="auto" w:fill="1F497D" w:themeFill="text2"/>
            <w:vAlign w:val="center"/>
          </w:tcPr>
          <w:p w14:paraId="015FCDE4" w14:textId="77777777" w:rsidR="00021755" w:rsidRPr="00021755" w:rsidRDefault="00021755" w:rsidP="00632439">
            <w:pPr>
              <w:spacing w:after="0" w:line="240" w:lineRule="auto"/>
              <w:jc w:val="center"/>
              <w:rPr>
                <w:rFonts w:asciiTheme="majorHAnsi" w:eastAsia="Times New Roman" w:hAnsiTheme="majorHAnsi" w:cs="Times New Roman"/>
                <w:b/>
                <w:bCs/>
                <w:color w:val="FFFFFF" w:themeColor="background1"/>
                <w:sz w:val="20"/>
                <w:szCs w:val="20"/>
              </w:rPr>
            </w:pPr>
            <w:r w:rsidRPr="00021755">
              <w:rPr>
                <w:rFonts w:asciiTheme="majorHAnsi" w:eastAsia="Times New Roman" w:hAnsiTheme="majorHAnsi" w:cs="Times New Roman"/>
                <w:b/>
                <w:bCs/>
                <w:color w:val="FFFFFF" w:themeColor="background1"/>
                <w:sz w:val="20"/>
                <w:szCs w:val="20"/>
              </w:rPr>
              <w:t>Total Time Committed</w:t>
            </w:r>
          </w:p>
        </w:tc>
        <w:tc>
          <w:tcPr>
            <w:tcW w:w="1220" w:type="dxa"/>
            <w:tcBorders>
              <w:top w:val="nil"/>
              <w:left w:val="nil"/>
              <w:bottom w:val="single" w:sz="4" w:space="0" w:color="auto"/>
              <w:right w:val="nil"/>
            </w:tcBorders>
            <w:shd w:val="clear" w:color="auto" w:fill="1F497D" w:themeFill="text2"/>
            <w:noWrap/>
            <w:vAlign w:val="center"/>
            <w:hideMark/>
          </w:tcPr>
          <w:p w14:paraId="536A4A1E" w14:textId="77777777" w:rsidR="00021755" w:rsidRPr="00021755" w:rsidRDefault="00021755" w:rsidP="00632439">
            <w:pPr>
              <w:spacing w:after="0" w:line="240" w:lineRule="auto"/>
              <w:jc w:val="center"/>
              <w:rPr>
                <w:rFonts w:asciiTheme="majorHAnsi" w:eastAsia="Times New Roman" w:hAnsiTheme="majorHAnsi" w:cs="Times New Roman"/>
                <w:b/>
                <w:bCs/>
                <w:color w:val="FFFFFF" w:themeColor="background1"/>
                <w:sz w:val="20"/>
                <w:szCs w:val="20"/>
              </w:rPr>
            </w:pPr>
            <w:r w:rsidRPr="00021755">
              <w:rPr>
                <w:rFonts w:asciiTheme="majorHAnsi" w:eastAsia="Times New Roman" w:hAnsiTheme="majorHAnsi" w:cs="Times New Roman"/>
                <w:b/>
                <w:bCs/>
                <w:color w:val="FFFFFF" w:themeColor="background1"/>
                <w:sz w:val="20"/>
                <w:szCs w:val="20"/>
              </w:rPr>
              <w:t>UHU Rate</w:t>
            </w:r>
          </w:p>
        </w:tc>
      </w:tr>
      <w:tr w:rsidR="00021755" w:rsidRPr="00021755" w14:paraId="13878B23" w14:textId="77777777" w:rsidTr="00632439">
        <w:trPr>
          <w:trHeight w:val="286"/>
          <w:jc w:val="center"/>
        </w:trPr>
        <w:tc>
          <w:tcPr>
            <w:tcW w:w="1440" w:type="dxa"/>
            <w:tcBorders>
              <w:top w:val="single" w:sz="4" w:space="0" w:color="auto"/>
              <w:left w:val="nil"/>
              <w:right w:val="nil"/>
            </w:tcBorders>
            <w:shd w:val="clear" w:color="auto" w:fill="auto"/>
            <w:noWrap/>
            <w:vAlign w:val="center"/>
            <w:hideMark/>
          </w:tcPr>
          <w:p w14:paraId="2F90EDD3" w14:textId="77777777" w:rsidR="00021755" w:rsidRPr="00021755" w:rsidRDefault="00021755" w:rsidP="00632439">
            <w:pPr>
              <w:spacing w:after="0" w:line="240" w:lineRule="auto"/>
              <w:jc w:val="center"/>
              <w:rPr>
                <w:rFonts w:asciiTheme="majorHAnsi" w:eastAsia="Times New Roman" w:hAnsiTheme="majorHAnsi" w:cs="Times New Roman"/>
                <w:color w:val="000000"/>
                <w:sz w:val="20"/>
                <w:szCs w:val="20"/>
              </w:rPr>
            </w:pPr>
            <w:r w:rsidRPr="00021755">
              <w:rPr>
                <w:rFonts w:asciiTheme="majorHAnsi" w:eastAsia="Times New Roman" w:hAnsiTheme="majorHAnsi" w:cs="Times New Roman"/>
                <w:color w:val="000000"/>
                <w:sz w:val="20"/>
                <w:szCs w:val="20"/>
              </w:rPr>
              <w:t>AR281</w:t>
            </w:r>
          </w:p>
        </w:tc>
        <w:tc>
          <w:tcPr>
            <w:tcW w:w="1560" w:type="dxa"/>
            <w:tcBorders>
              <w:top w:val="single" w:sz="4" w:space="0" w:color="auto"/>
              <w:left w:val="nil"/>
              <w:right w:val="nil"/>
            </w:tcBorders>
            <w:shd w:val="clear" w:color="auto" w:fill="auto"/>
            <w:noWrap/>
            <w:vAlign w:val="center"/>
            <w:hideMark/>
          </w:tcPr>
          <w:p w14:paraId="660088A6" w14:textId="77777777" w:rsidR="00021755" w:rsidRPr="00021755" w:rsidRDefault="00021755" w:rsidP="00632439">
            <w:pPr>
              <w:spacing w:after="0" w:line="240" w:lineRule="auto"/>
              <w:jc w:val="center"/>
              <w:rPr>
                <w:rFonts w:asciiTheme="majorHAnsi" w:eastAsia="Times New Roman" w:hAnsiTheme="majorHAnsi" w:cs="Times New Roman"/>
                <w:color w:val="000000"/>
                <w:sz w:val="20"/>
                <w:szCs w:val="20"/>
              </w:rPr>
            </w:pPr>
            <w:r w:rsidRPr="00021755">
              <w:rPr>
                <w:rFonts w:asciiTheme="majorHAnsi" w:eastAsia="Times New Roman" w:hAnsiTheme="majorHAnsi" w:cs="Times New Roman"/>
                <w:color w:val="000000"/>
                <w:sz w:val="20"/>
                <w:szCs w:val="20"/>
              </w:rPr>
              <w:t>41:25</w:t>
            </w:r>
          </w:p>
        </w:tc>
        <w:tc>
          <w:tcPr>
            <w:tcW w:w="1245" w:type="dxa"/>
            <w:tcBorders>
              <w:top w:val="single" w:sz="4" w:space="0" w:color="auto"/>
              <w:left w:val="nil"/>
              <w:right w:val="nil"/>
            </w:tcBorders>
            <w:vAlign w:val="center"/>
          </w:tcPr>
          <w:p w14:paraId="3D872FB5" w14:textId="77777777" w:rsidR="00021755" w:rsidRPr="00021755" w:rsidRDefault="00021755" w:rsidP="00632439">
            <w:pPr>
              <w:spacing w:after="0" w:line="240" w:lineRule="auto"/>
              <w:jc w:val="center"/>
              <w:rPr>
                <w:rFonts w:asciiTheme="majorHAnsi" w:eastAsia="Times New Roman" w:hAnsiTheme="majorHAnsi" w:cs="Times New Roman"/>
                <w:color w:val="000000"/>
                <w:sz w:val="20"/>
                <w:szCs w:val="20"/>
              </w:rPr>
            </w:pPr>
            <w:r w:rsidRPr="00021755">
              <w:rPr>
                <w:rFonts w:asciiTheme="majorHAnsi" w:eastAsia="Times New Roman" w:hAnsiTheme="majorHAnsi" w:cs="Times New Roman"/>
                <w:color w:val="000000"/>
                <w:sz w:val="20"/>
                <w:szCs w:val="20"/>
              </w:rPr>
              <w:t>8:58:25</w:t>
            </w:r>
          </w:p>
        </w:tc>
        <w:tc>
          <w:tcPr>
            <w:tcW w:w="1220" w:type="dxa"/>
            <w:tcBorders>
              <w:top w:val="single" w:sz="4" w:space="0" w:color="auto"/>
              <w:left w:val="nil"/>
              <w:right w:val="nil"/>
            </w:tcBorders>
            <w:shd w:val="clear" w:color="auto" w:fill="auto"/>
            <w:noWrap/>
            <w:vAlign w:val="center"/>
            <w:hideMark/>
          </w:tcPr>
          <w:p w14:paraId="063DFFB6" w14:textId="77777777" w:rsidR="00021755" w:rsidRPr="00021755" w:rsidRDefault="00021755" w:rsidP="00632439">
            <w:pPr>
              <w:spacing w:after="0" w:line="240" w:lineRule="auto"/>
              <w:jc w:val="center"/>
              <w:rPr>
                <w:rFonts w:asciiTheme="majorHAnsi" w:eastAsia="Times New Roman" w:hAnsiTheme="majorHAnsi" w:cs="Times New Roman"/>
                <w:color w:val="000000"/>
                <w:sz w:val="20"/>
                <w:szCs w:val="20"/>
              </w:rPr>
            </w:pPr>
            <w:r w:rsidRPr="00021755">
              <w:rPr>
                <w:rFonts w:asciiTheme="majorHAnsi" w:eastAsia="Times New Roman" w:hAnsiTheme="majorHAnsi" w:cs="Times New Roman"/>
                <w:color w:val="000000"/>
                <w:sz w:val="20"/>
                <w:szCs w:val="20"/>
              </w:rPr>
              <w:t>0.10%</w:t>
            </w:r>
          </w:p>
        </w:tc>
      </w:tr>
      <w:tr w:rsidR="00021755" w:rsidRPr="00021755" w14:paraId="2B24A886" w14:textId="77777777" w:rsidTr="00632439">
        <w:trPr>
          <w:trHeight w:val="286"/>
          <w:jc w:val="center"/>
        </w:trPr>
        <w:tc>
          <w:tcPr>
            <w:tcW w:w="1440" w:type="dxa"/>
            <w:tcBorders>
              <w:top w:val="nil"/>
              <w:left w:val="nil"/>
              <w:bottom w:val="nil"/>
              <w:right w:val="nil"/>
            </w:tcBorders>
            <w:shd w:val="clear" w:color="auto" w:fill="D9D9D9" w:themeFill="background1" w:themeFillShade="D9"/>
            <w:noWrap/>
            <w:vAlign w:val="center"/>
            <w:hideMark/>
          </w:tcPr>
          <w:p w14:paraId="51F18306" w14:textId="77777777" w:rsidR="00021755" w:rsidRPr="00021755" w:rsidRDefault="00021755" w:rsidP="00632439">
            <w:pPr>
              <w:spacing w:after="0" w:line="240" w:lineRule="auto"/>
              <w:jc w:val="center"/>
              <w:rPr>
                <w:rFonts w:asciiTheme="majorHAnsi" w:eastAsia="Times New Roman" w:hAnsiTheme="majorHAnsi" w:cs="Times New Roman"/>
                <w:color w:val="000000"/>
                <w:sz w:val="20"/>
                <w:szCs w:val="20"/>
              </w:rPr>
            </w:pPr>
            <w:r w:rsidRPr="00021755">
              <w:rPr>
                <w:rFonts w:asciiTheme="majorHAnsi" w:eastAsia="Times New Roman" w:hAnsiTheme="majorHAnsi" w:cs="Times New Roman"/>
                <w:color w:val="000000"/>
                <w:sz w:val="20"/>
                <w:szCs w:val="20"/>
              </w:rPr>
              <w:t>AR282</w:t>
            </w:r>
          </w:p>
        </w:tc>
        <w:tc>
          <w:tcPr>
            <w:tcW w:w="1560" w:type="dxa"/>
            <w:tcBorders>
              <w:top w:val="nil"/>
              <w:left w:val="nil"/>
              <w:bottom w:val="nil"/>
              <w:right w:val="nil"/>
            </w:tcBorders>
            <w:shd w:val="clear" w:color="auto" w:fill="D9D9D9" w:themeFill="background1" w:themeFillShade="D9"/>
            <w:noWrap/>
            <w:vAlign w:val="center"/>
            <w:hideMark/>
          </w:tcPr>
          <w:p w14:paraId="393C57B2" w14:textId="77777777" w:rsidR="00021755" w:rsidRPr="00021755" w:rsidRDefault="00021755" w:rsidP="00632439">
            <w:pPr>
              <w:spacing w:after="0" w:line="240" w:lineRule="auto"/>
              <w:jc w:val="center"/>
              <w:rPr>
                <w:rFonts w:asciiTheme="majorHAnsi" w:eastAsia="Times New Roman" w:hAnsiTheme="majorHAnsi" w:cs="Times New Roman"/>
                <w:color w:val="000000"/>
                <w:sz w:val="20"/>
                <w:szCs w:val="20"/>
              </w:rPr>
            </w:pPr>
            <w:r w:rsidRPr="00021755">
              <w:rPr>
                <w:rFonts w:asciiTheme="majorHAnsi" w:eastAsia="Times New Roman" w:hAnsiTheme="majorHAnsi" w:cs="Times New Roman"/>
                <w:color w:val="000000"/>
                <w:sz w:val="20"/>
                <w:szCs w:val="20"/>
              </w:rPr>
              <w:t>32:45</w:t>
            </w:r>
          </w:p>
        </w:tc>
        <w:tc>
          <w:tcPr>
            <w:tcW w:w="1245" w:type="dxa"/>
            <w:tcBorders>
              <w:top w:val="nil"/>
              <w:left w:val="nil"/>
              <w:bottom w:val="nil"/>
              <w:right w:val="nil"/>
            </w:tcBorders>
            <w:shd w:val="clear" w:color="auto" w:fill="D9D9D9" w:themeFill="background1" w:themeFillShade="D9"/>
            <w:vAlign w:val="center"/>
          </w:tcPr>
          <w:p w14:paraId="5AFD0B53" w14:textId="77777777" w:rsidR="00021755" w:rsidRPr="00021755" w:rsidRDefault="00021755" w:rsidP="00632439">
            <w:pPr>
              <w:spacing w:after="0" w:line="240" w:lineRule="auto"/>
              <w:jc w:val="center"/>
              <w:rPr>
                <w:rFonts w:asciiTheme="majorHAnsi" w:eastAsia="Times New Roman" w:hAnsiTheme="majorHAnsi" w:cs="Times New Roman"/>
                <w:color w:val="000000"/>
                <w:sz w:val="20"/>
                <w:szCs w:val="20"/>
              </w:rPr>
            </w:pPr>
            <w:r w:rsidRPr="00021755">
              <w:rPr>
                <w:rFonts w:asciiTheme="majorHAnsi" w:eastAsia="Times New Roman" w:hAnsiTheme="majorHAnsi" w:cs="Times New Roman"/>
                <w:color w:val="000000"/>
                <w:sz w:val="20"/>
                <w:szCs w:val="20"/>
              </w:rPr>
              <w:t>3:16:29</w:t>
            </w:r>
          </w:p>
        </w:tc>
        <w:tc>
          <w:tcPr>
            <w:tcW w:w="1220" w:type="dxa"/>
            <w:tcBorders>
              <w:top w:val="nil"/>
              <w:left w:val="nil"/>
              <w:bottom w:val="nil"/>
              <w:right w:val="nil"/>
            </w:tcBorders>
            <w:shd w:val="clear" w:color="auto" w:fill="D9D9D9" w:themeFill="background1" w:themeFillShade="D9"/>
            <w:noWrap/>
            <w:vAlign w:val="center"/>
            <w:hideMark/>
          </w:tcPr>
          <w:p w14:paraId="38A849D1" w14:textId="77777777" w:rsidR="00021755" w:rsidRPr="00021755" w:rsidRDefault="00021755" w:rsidP="00632439">
            <w:pPr>
              <w:spacing w:after="0" w:line="240" w:lineRule="auto"/>
              <w:jc w:val="center"/>
              <w:rPr>
                <w:rFonts w:asciiTheme="majorHAnsi" w:eastAsia="Times New Roman" w:hAnsiTheme="majorHAnsi" w:cs="Times New Roman"/>
                <w:color w:val="000000"/>
                <w:sz w:val="20"/>
                <w:szCs w:val="20"/>
              </w:rPr>
            </w:pPr>
            <w:r w:rsidRPr="00021755">
              <w:rPr>
                <w:rFonts w:asciiTheme="majorHAnsi" w:eastAsia="Times New Roman" w:hAnsiTheme="majorHAnsi" w:cs="Times New Roman"/>
                <w:color w:val="000000"/>
                <w:sz w:val="20"/>
                <w:szCs w:val="20"/>
              </w:rPr>
              <w:t>0.04%</w:t>
            </w:r>
          </w:p>
        </w:tc>
      </w:tr>
      <w:tr w:rsidR="00021755" w:rsidRPr="00021755" w14:paraId="0D6ACAC1" w14:textId="77777777" w:rsidTr="00632439">
        <w:trPr>
          <w:trHeight w:val="286"/>
          <w:jc w:val="center"/>
        </w:trPr>
        <w:tc>
          <w:tcPr>
            <w:tcW w:w="1440" w:type="dxa"/>
            <w:tcBorders>
              <w:top w:val="nil"/>
              <w:left w:val="nil"/>
              <w:right w:val="nil"/>
            </w:tcBorders>
            <w:shd w:val="clear" w:color="auto" w:fill="auto"/>
            <w:noWrap/>
            <w:vAlign w:val="center"/>
            <w:hideMark/>
          </w:tcPr>
          <w:p w14:paraId="3861EF1A" w14:textId="77777777" w:rsidR="00021755" w:rsidRPr="00021755" w:rsidRDefault="00021755" w:rsidP="00632439">
            <w:pPr>
              <w:spacing w:after="0" w:line="240" w:lineRule="auto"/>
              <w:jc w:val="center"/>
              <w:rPr>
                <w:rFonts w:asciiTheme="majorHAnsi" w:eastAsia="Times New Roman" w:hAnsiTheme="majorHAnsi" w:cs="Times New Roman"/>
                <w:color w:val="000000"/>
                <w:sz w:val="20"/>
                <w:szCs w:val="20"/>
              </w:rPr>
            </w:pPr>
            <w:r w:rsidRPr="00021755">
              <w:rPr>
                <w:rFonts w:asciiTheme="majorHAnsi" w:eastAsia="Times New Roman" w:hAnsiTheme="majorHAnsi" w:cs="Times New Roman"/>
                <w:color w:val="000000"/>
                <w:sz w:val="20"/>
                <w:szCs w:val="20"/>
              </w:rPr>
              <w:t>BC281</w:t>
            </w:r>
          </w:p>
        </w:tc>
        <w:tc>
          <w:tcPr>
            <w:tcW w:w="1560" w:type="dxa"/>
            <w:tcBorders>
              <w:top w:val="nil"/>
              <w:left w:val="nil"/>
              <w:right w:val="nil"/>
            </w:tcBorders>
            <w:shd w:val="clear" w:color="auto" w:fill="auto"/>
            <w:noWrap/>
            <w:vAlign w:val="center"/>
            <w:hideMark/>
          </w:tcPr>
          <w:p w14:paraId="201E8ACB" w14:textId="77777777" w:rsidR="00021755" w:rsidRPr="00021755" w:rsidRDefault="00021755" w:rsidP="00632439">
            <w:pPr>
              <w:spacing w:after="0" w:line="240" w:lineRule="auto"/>
              <w:jc w:val="center"/>
              <w:rPr>
                <w:rFonts w:asciiTheme="majorHAnsi" w:eastAsia="Times New Roman" w:hAnsiTheme="majorHAnsi" w:cs="Times New Roman"/>
                <w:color w:val="000000"/>
                <w:sz w:val="20"/>
                <w:szCs w:val="20"/>
              </w:rPr>
            </w:pPr>
            <w:r w:rsidRPr="00021755">
              <w:rPr>
                <w:rFonts w:asciiTheme="majorHAnsi" w:eastAsia="Times New Roman" w:hAnsiTheme="majorHAnsi" w:cs="Times New Roman"/>
                <w:color w:val="000000"/>
                <w:sz w:val="20"/>
                <w:szCs w:val="20"/>
              </w:rPr>
              <w:t>23:39</w:t>
            </w:r>
          </w:p>
        </w:tc>
        <w:tc>
          <w:tcPr>
            <w:tcW w:w="1245" w:type="dxa"/>
            <w:tcBorders>
              <w:top w:val="nil"/>
              <w:left w:val="nil"/>
              <w:right w:val="nil"/>
            </w:tcBorders>
            <w:vAlign w:val="center"/>
          </w:tcPr>
          <w:p w14:paraId="4EBF5920" w14:textId="77777777" w:rsidR="00021755" w:rsidRPr="00021755" w:rsidRDefault="00021755" w:rsidP="00632439">
            <w:pPr>
              <w:spacing w:after="0" w:line="240" w:lineRule="auto"/>
              <w:jc w:val="center"/>
              <w:rPr>
                <w:rFonts w:asciiTheme="majorHAnsi" w:eastAsia="Times New Roman" w:hAnsiTheme="majorHAnsi" w:cs="Times New Roman"/>
                <w:color w:val="000000"/>
                <w:sz w:val="20"/>
                <w:szCs w:val="20"/>
              </w:rPr>
            </w:pPr>
            <w:r w:rsidRPr="00021755">
              <w:rPr>
                <w:rFonts w:asciiTheme="majorHAnsi" w:eastAsia="Times New Roman" w:hAnsiTheme="majorHAnsi" w:cs="Times New Roman"/>
                <w:color w:val="000000"/>
                <w:sz w:val="20"/>
                <w:szCs w:val="20"/>
              </w:rPr>
              <w:t>104:05:07</w:t>
            </w:r>
          </w:p>
        </w:tc>
        <w:tc>
          <w:tcPr>
            <w:tcW w:w="1220" w:type="dxa"/>
            <w:tcBorders>
              <w:top w:val="nil"/>
              <w:left w:val="nil"/>
              <w:right w:val="nil"/>
            </w:tcBorders>
            <w:shd w:val="clear" w:color="auto" w:fill="auto"/>
            <w:noWrap/>
            <w:vAlign w:val="center"/>
            <w:hideMark/>
          </w:tcPr>
          <w:p w14:paraId="1DCAF020" w14:textId="77777777" w:rsidR="00021755" w:rsidRPr="00021755" w:rsidRDefault="00021755" w:rsidP="00632439">
            <w:pPr>
              <w:spacing w:after="0" w:line="240" w:lineRule="auto"/>
              <w:jc w:val="center"/>
              <w:rPr>
                <w:rFonts w:asciiTheme="majorHAnsi" w:eastAsia="Times New Roman" w:hAnsiTheme="majorHAnsi" w:cs="Times New Roman"/>
                <w:color w:val="000000"/>
                <w:sz w:val="20"/>
                <w:szCs w:val="20"/>
              </w:rPr>
            </w:pPr>
            <w:r w:rsidRPr="00021755">
              <w:rPr>
                <w:rFonts w:asciiTheme="majorHAnsi" w:eastAsia="Times New Roman" w:hAnsiTheme="majorHAnsi" w:cs="Times New Roman"/>
                <w:color w:val="000000"/>
                <w:sz w:val="20"/>
                <w:szCs w:val="20"/>
              </w:rPr>
              <w:t>1.19%</w:t>
            </w:r>
          </w:p>
        </w:tc>
      </w:tr>
      <w:tr w:rsidR="00021755" w:rsidRPr="00021755" w14:paraId="1AC9988E" w14:textId="77777777" w:rsidTr="00632439">
        <w:trPr>
          <w:trHeight w:val="286"/>
          <w:jc w:val="center"/>
        </w:trPr>
        <w:tc>
          <w:tcPr>
            <w:tcW w:w="1440" w:type="dxa"/>
            <w:tcBorders>
              <w:top w:val="nil"/>
              <w:left w:val="nil"/>
              <w:bottom w:val="nil"/>
              <w:right w:val="nil"/>
            </w:tcBorders>
            <w:shd w:val="clear" w:color="auto" w:fill="D9D9D9" w:themeFill="background1" w:themeFillShade="D9"/>
            <w:noWrap/>
            <w:vAlign w:val="center"/>
            <w:hideMark/>
          </w:tcPr>
          <w:p w14:paraId="54F0FA65" w14:textId="77777777" w:rsidR="00021755" w:rsidRPr="00021755" w:rsidRDefault="00021755" w:rsidP="00632439">
            <w:pPr>
              <w:spacing w:after="0" w:line="240" w:lineRule="auto"/>
              <w:jc w:val="center"/>
              <w:rPr>
                <w:rFonts w:asciiTheme="majorHAnsi" w:eastAsia="Times New Roman" w:hAnsiTheme="majorHAnsi" w:cs="Times New Roman"/>
                <w:color w:val="000000"/>
                <w:sz w:val="20"/>
                <w:szCs w:val="20"/>
              </w:rPr>
            </w:pPr>
            <w:r w:rsidRPr="00021755">
              <w:rPr>
                <w:rFonts w:asciiTheme="majorHAnsi" w:eastAsia="Times New Roman" w:hAnsiTheme="majorHAnsi" w:cs="Times New Roman"/>
                <w:color w:val="000000"/>
                <w:sz w:val="20"/>
                <w:szCs w:val="20"/>
              </w:rPr>
              <w:t>E2811</w:t>
            </w:r>
          </w:p>
        </w:tc>
        <w:tc>
          <w:tcPr>
            <w:tcW w:w="1560" w:type="dxa"/>
            <w:tcBorders>
              <w:top w:val="nil"/>
              <w:left w:val="nil"/>
              <w:bottom w:val="nil"/>
              <w:right w:val="nil"/>
            </w:tcBorders>
            <w:shd w:val="clear" w:color="auto" w:fill="D9D9D9" w:themeFill="background1" w:themeFillShade="D9"/>
            <w:noWrap/>
            <w:vAlign w:val="center"/>
            <w:hideMark/>
          </w:tcPr>
          <w:p w14:paraId="3BC2DBF1" w14:textId="77777777" w:rsidR="00021755" w:rsidRPr="00021755" w:rsidRDefault="00021755" w:rsidP="00632439">
            <w:pPr>
              <w:spacing w:after="0" w:line="240" w:lineRule="auto"/>
              <w:jc w:val="center"/>
              <w:rPr>
                <w:rFonts w:asciiTheme="majorHAnsi" w:eastAsia="Times New Roman" w:hAnsiTheme="majorHAnsi" w:cs="Times New Roman"/>
                <w:color w:val="000000"/>
                <w:sz w:val="20"/>
                <w:szCs w:val="20"/>
              </w:rPr>
            </w:pPr>
            <w:r w:rsidRPr="00021755">
              <w:rPr>
                <w:rFonts w:asciiTheme="majorHAnsi" w:eastAsia="Times New Roman" w:hAnsiTheme="majorHAnsi" w:cs="Times New Roman"/>
                <w:color w:val="000000"/>
                <w:sz w:val="20"/>
                <w:szCs w:val="20"/>
              </w:rPr>
              <w:t>18:23</w:t>
            </w:r>
          </w:p>
        </w:tc>
        <w:tc>
          <w:tcPr>
            <w:tcW w:w="1245" w:type="dxa"/>
            <w:tcBorders>
              <w:top w:val="nil"/>
              <w:left w:val="nil"/>
              <w:bottom w:val="nil"/>
              <w:right w:val="nil"/>
            </w:tcBorders>
            <w:shd w:val="clear" w:color="auto" w:fill="D9D9D9" w:themeFill="background1" w:themeFillShade="D9"/>
            <w:vAlign w:val="center"/>
          </w:tcPr>
          <w:p w14:paraId="3D7C91EE" w14:textId="77777777" w:rsidR="00021755" w:rsidRPr="00021755" w:rsidRDefault="00021755" w:rsidP="00632439">
            <w:pPr>
              <w:spacing w:after="0" w:line="240" w:lineRule="auto"/>
              <w:jc w:val="center"/>
              <w:rPr>
                <w:rFonts w:asciiTheme="majorHAnsi" w:eastAsia="Times New Roman" w:hAnsiTheme="majorHAnsi" w:cs="Times New Roman"/>
                <w:color w:val="000000"/>
                <w:sz w:val="20"/>
                <w:szCs w:val="20"/>
              </w:rPr>
            </w:pPr>
            <w:r w:rsidRPr="00021755">
              <w:rPr>
                <w:rFonts w:asciiTheme="majorHAnsi" w:eastAsia="Times New Roman" w:hAnsiTheme="majorHAnsi" w:cs="Times New Roman"/>
                <w:color w:val="000000"/>
                <w:sz w:val="20"/>
                <w:szCs w:val="20"/>
              </w:rPr>
              <w:t>448:38:23</w:t>
            </w:r>
          </w:p>
        </w:tc>
        <w:tc>
          <w:tcPr>
            <w:tcW w:w="1220" w:type="dxa"/>
            <w:tcBorders>
              <w:top w:val="nil"/>
              <w:left w:val="nil"/>
              <w:bottom w:val="nil"/>
              <w:right w:val="nil"/>
            </w:tcBorders>
            <w:shd w:val="clear" w:color="auto" w:fill="D9D9D9" w:themeFill="background1" w:themeFillShade="D9"/>
            <w:noWrap/>
            <w:vAlign w:val="center"/>
            <w:hideMark/>
          </w:tcPr>
          <w:p w14:paraId="6EF72815" w14:textId="77777777" w:rsidR="00021755" w:rsidRPr="00021755" w:rsidRDefault="00021755" w:rsidP="00632439">
            <w:pPr>
              <w:spacing w:after="0" w:line="240" w:lineRule="auto"/>
              <w:jc w:val="center"/>
              <w:rPr>
                <w:rFonts w:asciiTheme="majorHAnsi" w:eastAsia="Times New Roman" w:hAnsiTheme="majorHAnsi" w:cs="Times New Roman"/>
                <w:color w:val="000000"/>
                <w:sz w:val="20"/>
                <w:szCs w:val="20"/>
              </w:rPr>
            </w:pPr>
            <w:r w:rsidRPr="00021755">
              <w:rPr>
                <w:rFonts w:asciiTheme="majorHAnsi" w:eastAsia="Times New Roman" w:hAnsiTheme="majorHAnsi" w:cs="Times New Roman"/>
                <w:color w:val="000000"/>
                <w:sz w:val="20"/>
                <w:szCs w:val="20"/>
              </w:rPr>
              <w:t>5.12%</w:t>
            </w:r>
          </w:p>
        </w:tc>
      </w:tr>
      <w:tr w:rsidR="00021755" w:rsidRPr="00021755" w14:paraId="36AEED23" w14:textId="77777777" w:rsidTr="00632439">
        <w:trPr>
          <w:trHeight w:val="286"/>
          <w:jc w:val="center"/>
        </w:trPr>
        <w:tc>
          <w:tcPr>
            <w:tcW w:w="1440" w:type="dxa"/>
            <w:tcBorders>
              <w:top w:val="nil"/>
              <w:left w:val="nil"/>
              <w:right w:val="nil"/>
            </w:tcBorders>
            <w:shd w:val="clear" w:color="auto" w:fill="auto"/>
            <w:noWrap/>
            <w:vAlign w:val="center"/>
            <w:hideMark/>
          </w:tcPr>
          <w:p w14:paraId="42EE3ADB" w14:textId="77777777" w:rsidR="00021755" w:rsidRPr="00021755" w:rsidRDefault="00021755" w:rsidP="00632439">
            <w:pPr>
              <w:spacing w:after="0" w:line="240" w:lineRule="auto"/>
              <w:jc w:val="center"/>
              <w:rPr>
                <w:rFonts w:asciiTheme="majorHAnsi" w:eastAsia="Times New Roman" w:hAnsiTheme="majorHAnsi" w:cs="Times New Roman"/>
                <w:color w:val="000000"/>
                <w:sz w:val="20"/>
                <w:szCs w:val="20"/>
              </w:rPr>
            </w:pPr>
            <w:r w:rsidRPr="00021755">
              <w:rPr>
                <w:rFonts w:asciiTheme="majorHAnsi" w:eastAsia="Times New Roman" w:hAnsiTheme="majorHAnsi" w:cs="Times New Roman"/>
                <w:color w:val="000000"/>
                <w:sz w:val="20"/>
                <w:szCs w:val="20"/>
              </w:rPr>
              <w:t>E2813</w:t>
            </w:r>
          </w:p>
        </w:tc>
        <w:tc>
          <w:tcPr>
            <w:tcW w:w="1560" w:type="dxa"/>
            <w:tcBorders>
              <w:top w:val="nil"/>
              <w:left w:val="nil"/>
              <w:right w:val="nil"/>
            </w:tcBorders>
            <w:shd w:val="clear" w:color="auto" w:fill="auto"/>
            <w:noWrap/>
            <w:vAlign w:val="center"/>
            <w:hideMark/>
          </w:tcPr>
          <w:p w14:paraId="4854B109" w14:textId="77777777" w:rsidR="00021755" w:rsidRPr="00021755" w:rsidRDefault="00021755" w:rsidP="00632439">
            <w:pPr>
              <w:spacing w:after="0" w:line="240" w:lineRule="auto"/>
              <w:jc w:val="center"/>
              <w:rPr>
                <w:rFonts w:asciiTheme="majorHAnsi" w:eastAsia="Times New Roman" w:hAnsiTheme="majorHAnsi" w:cs="Times New Roman"/>
                <w:color w:val="000000"/>
                <w:sz w:val="20"/>
                <w:szCs w:val="20"/>
              </w:rPr>
            </w:pPr>
            <w:r w:rsidRPr="00021755">
              <w:rPr>
                <w:rFonts w:asciiTheme="majorHAnsi" w:eastAsia="Times New Roman" w:hAnsiTheme="majorHAnsi" w:cs="Times New Roman"/>
                <w:color w:val="000000"/>
                <w:sz w:val="20"/>
                <w:szCs w:val="20"/>
              </w:rPr>
              <w:t>21:38</w:t>
            </w:r>
          </w:p>
        </w:tc>
        <w:tc>
          <w:tcPr>
            <w:tcW w:w="1245" w:type="dxa"/>
            <w:tcBorders>
              <w:top w:val="nil"/>
              <w:left w:val="nil"/>
              <w:right w:val="nil"/>
            </w:tcBorders>
            <w:vAlign w:val="center"/>
          </w:tcPr>
          <w:p w14:paraId="74187910" w14:textId="77777777" w:rsidR="00021755" w:rsidRPr="00021755" w:rsidRDefault="00021755" w:rsidP="00632439">
            <w:pPr>
              <w:spacing w:after="0" w:line="240" w:lineRule="auto"/>
              <w:jc w:val="center"/>
              <w:rPr>
                <w:rFonts w:asciiTheme="majorHAnsi" w:eastAsia="Times New Roman" w:hAnsiTheme="majorHAnsi" w:cs="Times New Roman"/>
                <w:color w:val="000000"/>
                <w:sz w:val="20"/>
                <w:szCs w:val="20"/>
              </w:rPr>
            </w:pPr>
            <w:r w:rsidRPr="00021755">
              <w:rPr>
                <w:rFonts w:asciiTheme="majorHAnsi" w:eastAsia="Times New Roman" w:hAnsiTheme="majorHAnsi" w:cs="Times New Roman"/>
                <w:color w:val="000000"/>
                <w:sz w:val="20"/>
                <w:szCs w:val="20"/>
              </w:rPr>
              <w:t>500:13:30</w:t>
            </w:r>
          </w:p>
        </w:tc>
        <w:tc>
          <w:tcPr>
            <w:tcW w:w="1220" w:type="dxa"/>
            <w:tcBorders>
              <w:top w:val="nil"/>
              <w:left w:val="nil"/>
              <w:right w:val="nil"/>
            </w:tcBorders>
            <w:shd w:val="clear" w:color="auto" w:fill="auto"/>
            <w:noWrap/>
            <w:vAlign w:val="center"/>
            <w:hideMark/>
          </w:tcPr>
          <w:p w14:paraId="69E95000" w14:textId="77777777" w:rsidR="00021755" w:rsidRPr="00021755" w:rsidRDefault="00021755" w:rsidP="00632439">
            <w:pPr>
              <w:spacing w:after="0" w:line="240" w:lineRule="auto"/>
              <w:jc w:val="center"/>
              <w:rPr>
                <w:rFonts w:asciiTheme="majorHAnsi" w:eastAsia="Times New Roman" w:hAnsiTheme="majorHAnsi" w:cs="Times New Roman"/>
                <w:color w:val="000000"/>
                <w:sz w:val="20"/>
                <w:szCs w:val="20"/>
              </w:rPr>
            </w:pPr>
            <w:r w:rsidRPr="00021755">
              <w:rPr>
                <w:rFonts w:asciiTheme="majorHAnsi" w:eastAsia="Times New Roman" w:hAnsiTheme="majorHAnsi" w:cs="Times New Roman"/>
                <w:color w:val="000000"/>
                <w:sz w:val="20"/>
                <w:szCs w:val="20"/>
              </w:rPr>
              <w:t>5.71%</w:t>
            </w:r>
          </w:p>
        </w:tc>
      </w:tr>
      <w:tr w:rsidR="00021755" w:rsidRPr="00021755" w14:paraId="58003ED2" w14:textId="77777777" w:rsidTr="00632439">
        <w:trPr>
          <w:trHeight w:val="286"/>
          <w:jc w:val="center"/>
        </w:trPr>
        <w:tc>
          <w:tcPr>
            <w:tcW w:w="1440" w:type="dxa"/>
            <w:tcBorders>
              <w:top w:val="nil"/>
              <w:left w:val="nil"/>
              <w:bottom w:val="nil"/>
              <w:right w:val="nil"/>
            </w:tcBorders>
            <w:shd w:val="clear" w:color="auto" w:fill="D9D9D9" w:themeFill="background1" w:themeFillShade="D9"/>
            <w:noWrap/>
            <w:vAlign w:val="center"/>
            <w:hideMark/>
          </w:tcPr>
          <w:p w14:paraId="6FCC2916" w14:textId="77777777" w:rsidR="00021755" w:rsidRPr="00021755" w:rsidRDefault="00021755" w:rsidP="00632439">
            <w:pPr>
              <w:spacing w:after="0" w:line="240" w:lineRule="auto"/>
              <w:jc w:val="center"/>
              <w:rPr>
                <w:rFonts w:asciiTheme="majorHAnsi" w:eastAsia="Times New Roman" w:hAnsiTheme="majorHAnsi" w:cs="Times New Roman"/>
                <w:color w:val="000000"/>
                <w:sz w:val="20"/>
                <w:szCs w:val="20"/>
              </w:rPr>
            </w:pPr>
            <w:r w:rsidRPr="00021755">
              <w:rPr>
                <w:rFonts w:asciiTheme="majorHAnsi" w:eastAsia="Times New Roman" w:hAnsiTheme="majorHAnsi" w:cs="Times New Roman"/>
                <w:color w:val="000000"/>
                <w:sz w:val="20"/>
                <w:szCs w:val="20"/>
              </w:rPr>
              <w:t>E2819</w:t>
            </w:r>
          </w:p>
        </w:tc>
        <w:tc>
          <w:tcPr>
            <w:tcW w:w="1560" w:type="dxa"/>
            <w:tcBorders>
              <w:top w:val="nil"/>
              <w:left w:val="nil"/>
              <w:bottom w:val="nil"/>
              <w:right w:val="nil"/>
            </w:tcBorders>
            <w:shd w:val="clear" w:color="auto" w:fill="D9D9D9" w:themeFill="background1" w:themeFillShade="D9"/>
            <w:noWrap/>
            <w:vAlign w:val="center"/>
            <w:hideMark/>
          </w:tcPr>
          <w:p w14:paraId="065114E0" w14:textId="77777777" w:rsidR="00021755" w:rsidRPr="00021755" w:rsidRDefault="00021755" w:rsidP="00632439">
            <w:pPr>
              <w:spacing w:after="0" w:line="240" w:lineRule="auto"/>
              <w:jc w:val="center"/>
              <w:rPr>
                <w:rFonts w:asciiTheme="majorHAnsi" w:eastAsia="Times New Roman" w:hAnsiTheme="majorHAnsi" w:cs="Times New Roman"/>
                <w:color w:val="000000"/>
                <w:sz w:val="20"/>
                <w:szCs w:val="20"/>
              </w:rPr>
            </w:pPr>
            <w:r w:rsidRPr="00021755">
              <w:rPr>
                <w:rFonts w:asciiTheme="majorHAnsi" w:eastAsia="Times New Roman" w:hAnsiTheme="majorHAnsi" w:cs="Times New Roman"/>
                <w:color w:val="000000"/>
                <w:sz w:val="20"/>
                <w:szCs w:val="20"/>
              </w:rPr>
              <w:t>19:48</w:t>
            </w:r>
          </w:p>
        </w:tc>
        <w:tc>
          <w:tcPr>
            <w:tcW w:w="1245" w:type="dxa"/>
            <w:tcBorders>
              <w:top w:val="nil"/>
              <w:left w:val="nil"/>
              <w:bottom w:val="nil"/>
              <w:right w:val="nil"/>
            </w:tcBorders>
            <w:shd w:val="clear" w:color="auto" w:fill="D9D9D9" w:themeFill="background1" w:themeFillShade="D9"/>
            <w:vAlign w:val="center"/>
          </w:tcPr>
          <w:p w14:paraId="6F9A8DCB" w14:textId="77777777" w:rsidR="00021755" w:rsidRPr="00021755" w:rsidRDefault="00021755" w:rsidP="00632439">
            <w:pPr>
              <w:spacing w:after="0" w:line="240" w:lineRule="auto"/>
              <w:jc w:val="center"/>
              <w:rPr>
                <w:rFonts w:asciiTheme="majorHAnsi" w:eastAsia="Times New Roman" w:hAnsiTheme="majorHAnsi" w:cs="Times New Roman"/>
                <w:color w:val="000000"/>
                <w:sz w:val="20"/>
                <w:szCs w:val="20"/>
              </w:rPr>
            </w:pPr>
            <w:r w:rsidRPr="00021755">
              <w:rPr>
                <w:rFonts w:asciiTheme="majorHAnsi" w:eastAsia="Times New Roman" w:hAnsiTheme="majorHAnsi" w:cs="Times New Roman"/>
                <w:color w:val="000000"/>
                <w:sz w:val="20"/>
                <w:szCs w:val="20"/>
              </w:rPr>
              <w:t>214:50:32</w:t>
            </w:r>
          </w:p>
        </w:tc>
        <w:tc>
          <w:tcPr>
            <w:tcW w:w="1220" w:type="dxa"/>
            <w:tcBorders>
              <w:top w:val="nil"/>
              <w:left w:val="nil"/>
              <w:bottom w:val="nil"/>
              <w:right w:val="nil"/>
            </w:tcBorders>
            <w:shd w:val="clear" w:color="auto" w:fill="D9D9D9" w:themeFill="background1" w:themeFillShade="D9"/>
            <w:noWrap/>
            <w:vAlign w:val="center"/>
            <w:hideMark/>
          </w:tcPr>
          <w:p w14:paraId="173E9C56" w14:textId="77777777" w:rsidR="00021755" w:rsidRPr="00021755" w:rsidRDefault="00021755" w:rsidP="00632439">
            <w:pPr>
              <w:spacing w:after="0" w:line="240" w:lineRule="auto"/>
              <w:jc w:val="center"/>
              <w:rPr>
                <w:rFonts w:asciiTheme="majorHAnsi" w:eastAsia="Times New Roman" w:hAnsiTheme="majorHAnsi" w:cs="Times New Roman"/>
                <w:color w:val="000000"/>
                <w:sz w:val="20"/>
                <w:szCs w:val="20"/>
              </w:rPr>
            </w:pPr>
            <w:r w:rsidRPr="00021755">
              <w:rPr>
                <w:rFonts w:asciiTheme="majorHAnsi" w:eastAsia="Times New Roman" w:hAnsiTheme="majorHAnsi" w:cs="Times New Roman"/>
                <w:color w:val="000000"/>
                <w:sz w:val="20"/>
                <w:szCs w:val="20"/>
              </w:rPr>
              <w:t>2.45%</w:t>
            </w:r>
          </w:p>
        </w:tc>
      </w:tr>
      <w:tr w:rsidR="00021755" w:rsidRPr="00021755" w14:paraId="62E34236" w14:textId="77777777" w:rsidTr="00632439">
        <w:trPr>
          <w:trHeight w:val="286"/>
          <w:jc w:val="center"/>
        </w:trPr>
        <w:tc>
          <w:tcPr>
            <w:tcW w:w="1440" w:type="dxa"/>
            <w:tcBorders>
              <w:top w:val="nil"/>
              <w:left w:val="nil"/>
              <w:right w:val="nil"/>
            </w:tcBorders>
            <w:shd w:val="clear" w:color="auto" w:fill="auto"/>
            <w:noWrap/>
            <w:vAlign w:val="center"/>
            <w:hideMark/>
          </w:tcPr>
          <w:p w14:paraId="1C76E53E" w14:textId="77777777" w:rsidR="00021755" w:rsidRPr="00021755" w:rsidRDefault="00021755" w:rsidP="00632439">
            <w:pPr>
              <w:spacing w:after="0" w:line="240" w:lineRule="auto"/>
              <w:jc w:val="center"/>
              <w:rPr>
                <w:rFonts w:asciiTheme="majorHAnsi" w:eastAsia="Times New Roman" w:hAnsiTheme="majorHAnsi" w:cs="Times New Roman"/>
                <w:color w:val="000000"/>
                <w:sz w:val="20"/>
                <w:szCs w:val="20"/>
              </w:rPr>
            </w:pPr>
            <w:r w:rsidRPr="00021755">
              <w:rPr>
                <w:rFonts w:asciiTheme="majorHAnsi" w:eastAsia="Times New Roman" w:hAnsiTheme="majorHAnsi" w:cs="Times New Roman"/>
                <w:color w:val="000000"/>
                <w:sz w:val="20"/>
                <w:szCs w:val="20"/>
              </w:rPr>
              <w:t>E2861</w:t>
            </w:r>
          </w:p>
        </w:tc>
        <w:tc>
          <w:tcPr>
            <w:tcW w:w="1560" w:type="dxa"/>
            <w:tcBorders>
              <w:top w:val="nil"/>
              <w:left w:val="nil"/>
              <w:right w:val="nil"/>
            </w:tcBorders>
            <w:shd w:val="clear" w:color="auto" w:fill="auto"/>
            <w:noWrap/>
            <w:vAlign w:val="center"/>
            <w:hideMark/>
          </w:tcPr>
          <w:p w14:paraId="18454508" w14:textId="77777777" w:rsidR="00021755" w:rsidRPr="00021755" w:rsidRDefault="00021755" w:rsidP="00632439">
            <w:pPr>
              <w:spacing w:after="0" w:line="240" w:lineRule="auto"/>
              <w:jc w:val="center"/>
              <w:rPr>
                <w:rFonts w:asciiTheme="majorHAnsi" w:eastAsia="Times New Roman" w:hAnsiTheme="majorHAnsi" w:cs="Times New Roman"/>
                <w:color w:val="000000"/>
                <w:sz w:val="20"/>
                <w:szCs w:val="20"/>
              </w:rPr>
            </w:pPr>
            <w:r w:rsidRPr="00021755">
              <w:rPr>
                <w:rFonts w:asciiTheme="majorHAnsi" w:eastAsia="Times New Roman" w:hAnsiTheme="majorHAnsi" w:cs="Times New Roman"/>
                <w:color w:val="000000"/>
                <w:sz w:val="20"/>
                <w:szCs w:val="20"/>
              </w:rPr>
              <w:t>33:47</w:t>
            </w:r>
          </w:p>
        </w:tc>
        <w:tc>
          <w:tcPr>
            <w:tcW w:w="1245" w:type="dxa"/>
            <w:tcBorders>
              <w:top w:val="nil"/>
              <w:left w:val="nil"/>
              <w:right w:val="nil"/>
            </w:tcBorders>
            <w:vAlign w:val="center"/>
          </w:tcPr>
          <w:p w14:paraId="3475FEA7" w14:textId="77777777" w:rsidR="00021755" w:rsidRPr="00021755" w:rsidRDefault="00021755" w:rsidP="00632439">
            <w:pPr>
              <w:spacing w:after="0" w:line="240" w:lineRule="auto"/>
              <w:jc w:val="center"/>
              <w:rPr>
                <w:rFonts w:asciiTheme="majorHAnsi" w:eastAsia="Times New Roman" w:hAnsiTheme="majorHAnsi" w:cs="Times New Roman"/>
                <w:color w:val="000000"/>
                <w:sz w:val="20"/>
                <w:szCs w:val="20"/>
              </w:rPr>
            </w:pPr>
            <w:r w:rsidRPr="00021755">
              <w:rPr>
                <w:rFonts w:asciiTheme="majorHAnsi" w:eastAsia="Times New Roman" w:hAnsiTheme="majorHAnsi" w:cs="Times New Roman"/>
                <w:color w:val="000000"/>
                <w:sz w:val="20"/>
                <w:szCs w:val="20"/>
              </w:rPr>
              <w:t>19:42:15</w:t>
            </w:r>
          </w:p>
        </w:tc>
        <w:tc>
          <w:tcPr>
            <w:tcW w:w="1220" w:type="dxa"/>
            <w:tcBorders>
              <w:top w:val="nil"/>
              <w:left w:val="nil"/>
              <w:right w:val="nil"/>
            </w:tcBorders>
            <w:shd w:val="clear" w:color="auto" w:fill="auto"/>
            <w:noWrap/>
            <w:vAlign w:val="center"/>
            <w:hideMark/>
          </w:tcPr>
          <w:p w14:paraId="2DB70FBB" w14:textId="77777777" w:rsidR="00021755" w:rsidRPr="00021755" w:rsidRDefault="00021755" w:rsidP="00632439">
            <w:pPr>
              <w:spacing w:after="0" w:line="240" w:lineRule="auto"/>
              <w:jc w:val="center"/>
              <w:rPr>
                <w:rFonts w:asciiTheme="majorHAnsi" w:eastAsia="Times New Roman" w:hAnsiTheme="majorHAnsi" w:cs="Times New Roman"/>
                <w:color w:val="000000"/>
                <w:sz w:val="20"/>
                <w:szCs w:val="20"/>
              </w:rPr>
            </w:pPr>
            <w:r w:rsidRPr="00021755">
              <w:rPr>
                <w:rFonts w:asciiTheme="majorHAnsi" w:eastAsia="Times New Roman" w:hAnsiTheme="majorHAnsi" w:cs="Times New Roman"/>
                <w:color w:val="000000"/>
                <w:sz w:val="20"/>
                <w:szCs w:val="20"/>
              </w:rPr>
              <w:t>0.22%</w:t>
            </w:r>
          </w:p>
        </w:tc>
      </w:tr>
      <w:tr w:rsidR="00021755" w:rsidRPr="00021755" w14:paraId="62E53BFC" w14:textId="77777777" w:rsidTr="00632439">
        <w:trPr>
          <w:trHeight w:val="286"/>
          <w:jc w:val="center"/>
        </w:trPr>
        <w:tc>
          <w:tcPr>
            <w:tcW w:w="1440" w:type="dxa"/>
            <w:tcBorders>
              <w:top w:val="nil"/>
              <w:left w:val="nil"/>
              <w:bottom w:val="nil"/>
              <w:right w:val="nil"/>
            </w:tcBorders>
            <w:shd w:val="clear" w:color="auto" w:fill="D9D9D9" w:themeFill="background1" w:themeFillShade="D9"/>
            <w:noWrap/>
            <w:vAlign w:val="center"/>
            <w:hideMark/>
          </w:tcPr>
          <w:p w14:paraId="4370042F" w14:textId="77777777" w:rsidR="00021755" w:rsidRPr="00021755" w:rsidRDefault="00021755" w:rsidP="00632439">
            <w:pPr>
              <w:spacing w:after="0" w:line="240" w:lineRule="auto"/>
              <w:jc w:val="center"/>
              <w:rPr>
                <w:rFonts w:asciiTheme="majorHAnsi" w:eastAsia="Times New Roman" w:hAnsiTheme="majorHAnsi" w:cs="Times New Roman"/>
                <w:color w:val="000000"/>
                <w:sz w:val="20"/>
                <w:szCs w:val="20"/>
              </w:rPr>
            </w:pPr>
            <w:r w:rsidRPr="00021755">
              <w:rPr>
                <w:rFonts w:asciiTheme="majorHAnsi" w:eastAsia="Times New Roman" w:hAnsiTheme="majorHAnsi" w:cs="Times New Roman"/>
                <w:color w:val="000000"/>
                <w:sz w:val="20"/>
                <w:szCs w:val="20"/>
              </w:rPr>
              <w:t>E2863</w:t>
            </w:r>
          </w:p>
        </w:tc>
        <w:tc>
          <w:tcPr>
            <w:tcW w:w="1560" w:type="dxa"/>
            <w:tcBorders>
              <w:top w:val="nil"/>
              <w:left w:val="nil"/>
              <w:bottom w:val="nil"/>
              <w:right w:val="nil"/>
            </w:tcBorders>
            <w:shd w:val="clear" w:color="auto" w:fill="D9D9D9" w:themeFill="background1" w:themeFillShade="D9"/>
            <w:noWrap/>
            <w:vAlign w:val="center"/>
            <w:hideMark/>
          </w:tcPr>
          <w:p w14:paraId="3B5D4E80" w14:textId="77777777" w:rsidR="00021755" w:rsidRPr="00021755" w:rsidRDefault="00021755" w:rsidP="00632439">
            <w:pPr>
              <w:spacing w:after="0" w:line="240" w:lineRule="auto"/>
              <w:jc w:val="center"/>
              <w:rPr>
                <w:rFonts w:asciiTheme="majorHAnsi" w:eastAsia="Times New Roman" w:hAnsiTheme="majorHAnsi" w:cs="Times New Roman"/>
                <w:color w:val="000000"/>
                <w:sz w:val="20"/>
                <w:szCs w:val="20"/>
              </w:rPr>
            </w:pPr>
            <w:r w:rsidRPr="00021755">
              <w:rPr>
                <w:rFonts w:asciiTheme="majorHAnsi" w:eastAsia="Times New Roman" w:hAnsiTheme="majorHAnsi" w:cs="Times New Roman"/>
                <w:color w:val="000000"/>
                <w:sz w:val="20"/>
                <w:szCs w:val="20"/>
              </w:rPr>
              <w:t>35:37</w:t>
            </w:r>
          </w:p>
        </w:tc>
        <w:tc>
          <w:tcPr>
            <w:tcW w:w="1245" w:type="dxa"/>
            <w:tcBorders>
              <w:top w:val="nil"/>
              <w:left w:val="nil"/>
              <w:bottom w:val="nil"/>
              <w:right w:val="nil"/>
            </w:tcBorders>
            <w:shd w:val="clear" w:color="auto" w:fill="D9D9D9" w:themeFill="background1" w:themeFillShade="D9"/>
            <w:vAlign w:val="center"/>
          </w:tcPr>
          <w:p w14:paraId="05994CA9" w14:textId="77777777" w:rsidR="00021755" w:rsidRPr="00021755" w:rsidRDefault="00021755" w:rsidP="00632439">
            <w:pPr>
              <w:spacing w:after="0" w:line="240" w:lineRule="auto"/>
              <w:jc w:val="center"/>
              <w:rPr>
                <w:rFonts w:asciiTheme="majorHAnsi" w:eastAsia="Times New Roman" w:hAnsiTheme="majorHAnsi" w:cs="Times New Roman"/>
                <w:color w:val="000000"/>
                <w:sz w:val="20"/>
                <w:szCs w:val="20"/>
              </w:rPr>
            </w:pPr>
            <w:r w:rsidRPr="00021755">
              <w:rPr>
                <w:rFonts w:asciiTheme="majorHAnsi" w:eastAsia="Times New Roman" w:hAnsiTheme="majorHAnsi" w:cs="Times New Roman"/>
                <w:color w:val="000000"/>
                <w:sz w:val="20"/>
                <w:szCs w:val="20"/>
              </w:rPr>
              <w:t>13:39:07</w:t>
            </w:r>
          </w:p>
        </w:tc>
        <w:tc>
          <w:tcPr>
            <w:tcW w:w="1220" w:type="dxa"/>
            <w:tcBorders>
              <w:top w:val="nil"/>
              <w:left w:val="nil"/>
              <w:bottom w:val="nil"/>
              <w:right w:val="nil"/>
            </w:tcBorders>
            <w:shd w:val="clear" w:color="auto" w:fill="D9D9D9" w:themeFill="background1" w:themeFillShade="D9"/>
            <w:noWrap/>
            <w:vAlign w:val="center"/>
            <w:hideMark/>
          </w:tcPr>
          <w:p w14:paraId="651E9FCC" w14:textId="77777777" w:rsidR="00021755" w:rsidRPr="00021755" w:rsidRDefault="00021755" w:rsidP="00632439">
            <w:pPr>
              <w:spacing w:after="0" w:line="240" w:lineRule="auto"/>
              <w:jc w:val="center"/>
              <w:rPr>
                <w:rFonts w:asciiTheme="majorHAnsi" w:eastAsia="Times New Roman" w:hAnsiTheme="majorHAnsi" w:cs="Times New Roman"/>
                <w:color w:val="000000"/>
                <w:sz w:val="20"/>
                <w:szCs w:val="20"/>
              </w:rPr>
            </w:pPr>
            <w:r w:rsidRPr="00021755">
              <w:rPr>
                <w:rFonts w:asciiTheme="majorHAnsi" w:eastAsia="Times New Roman" w:hAnsiTheme="majorHAnsi" w:cs="Times New Roman"/>
                <w:color w:val="000000"/>
                <w:sz w:val="20"/>
                <w:szCs w:val="20"/>
              </w:rPr>
              <w:t>0.16%</w:t>
            </w:r>
          </w:p>
        </w:tc>
      </w:tr>
      <w:tr w:rsidR="00021755" w:rsidRPr="00021755" w14:paraId="0BAE59B2" w14:textId="77777777" w:rsidTr="00632439">
        <w:trPr>
          <w:trHeight w:val="286"/>
          <w:jc w:val="center"/>
        </w:trPr>
        <w:tc>
          <w:tcPr>
            <w:tcW w:w="1440" w:type="dxa"/>
            <w:tcBorders>
              <w:top w:val="nil"/>
              <w:left w:val="nil"/>
              <w:right w:val="nil"/>
            </w:tcBorders>
            <w:shd w:val="clear" w:color="auto" w:fill="auto"/>
            <w:noWrap/>
            <w:vAlign w:val="center"/>
            <w:hideMark/>
          </w:tcPr>
          <w:p w14:paraId="0F3B1B73" w14:textId="77777777" w:rsidR="00021755" w:rsidRPr="00021755" w:rsidRDefault="00021755" w:rsidP="00632439">
            <w:pPr>
              <w:spacing w:after="0" w:line="240" w:lineRule="auto"/>
              <w:jc w:val="center"/>
              <w:rPr>
                <w:rFonts w:asciiTheme="majorHAnsi" w:eastAsia="Times New Roman" w:hAnsiTheme="majorHAnsi" w:cs="Times New Roman"/>
                <w:color w:val="000000"/>
                <w:sz w:val="20"/>
                <w:szCs w:val="20"/>
              </w:rPr>
            </w:pPr>
            <w:r w:rsidRPr="00021755">
              <w:rPr>
                <w:rFonts w:asciiTheme="majorHAnsi" w:eastAsia="Times New Roman" w:hAnsiTheme="majorHAnsi" w:cs="Times New Roman"/>
                <w:color w:val="000000"/>
                <w:sz w:val="20"/>
                <w:szCs w:val="20"/>
              </w:rPr>
              <w:t>L2811</w:t>
            </w:r>
          </w:p>
        </w:tc>
        <w:tc>
          <w:tcPr>
            <w:tcW w:w="1560" w:type="dxa"/>
            <w:tcBorders>
              <w:top w:val="nil"/>
              <w:left w:val="nil"/>
              <w:right w:val="nil"/>
            </w:tcBorders>
            <w:shd w:val="clear" w:color="auto" w:fill="auto"/>
            <w:noWrap/>
            <w:vAlign w:val="center"/>
            <w:hideMark/>
          </w:tcPr>
          <w:p w14:paraId="6998C9A4" w14:textId="77777777" w:rsidR="00021755" w:rsidRPr="00021755" w:rsidRDefault="00021755" w:rsidP="00632439">
            <w:pPr>
              <w:spacing w:after="0" w:line="240" w:lineRule="auto"/>
              <w:jc w:val="center"/>
              <w:rPr>
                <w:rFonts w:asciiTheme="majorHAnsi" w:eastAsia="Times New Roman" w:hAnsiTheme="majorHAnsi" w:cs="Times New Roman"/>
                <w:color w:val="000000"/>
                <w:sz w:val="20"/>
                <w:szCs w:val="20"/>
              </w:rPr>
            </w:pPr>
            <w:r w:rsidRPr="00021755">
              <w:rPr>
                <w:rFonts w:asciiTheme="majorHAnsi" w:eastAsia="Times New Roman" w:hAnsiTheme="majorHAnsi" w:cs="Times New Roman"/>
                <w:color w:val="000000"/>
                <w:sz w:val="20"/>
                <w:szCs w:val="20"/>
              </w:rPr>
              <w:t>18:54</w:t>
            </w:r>
          </w:p>
        </w:tc>
        <w:tc>
          <w:tcPr>
            <w:tcW w:w="1245" w:type="dxa"/>
            <w:tcBorders>
              <w:top w:val="nil"/>
              <w:left w:val="nil"/>
              <w:right w:val="nil"/>
            </w:tcBorders>
            <w:vAlign w:val="center"/>
          </w:tcPr>
          <w:p w14:paraId="257C81A1" w14:textId="77777777" w:rsidR="00021755" w:rsidRPr="00021755" w:rsidRDefault="00021755" w:rsidP="00632439">
            <w:pPr>
              <w:spacing w:after="0" w:line="240" w:lineRule="auto"/>
              <w:jc w:val="center"/>
              <w:rPr>
                <w:rFonts w:asciiTheme="majorHAnsi" w:eastAsia="Times New Roman" w:hAnsiTheme="majorHAnsi" w:cs="Times New Roman"/>
                <w:color w:val="000000"/>
                <w:sz w:val="20"/>
                <w:szCs w:val="20"/>
              </w:rPr>
            </w:pPr>
            <w:r w:rsidRPr="00021755">
              <w:rPr>
                <w:rFonts w:asciiTheme="majorHAnsi" w:eastAsia="Times New Roman" w:hAnsiTheme="majorHAnsi" w:cs="Times New Roman"/>
                <w:color w:val="000000"/>
                <w:sz w:val="20"/>
                <w:szCs w:val="20"/>
              </w:rPr>
              <w:t>308:11:03</w:t>
            </w:r>
          </w:p>
        </w:tc>
        <w:tc>
          <w:tcPr>
            <w:tcW w:w="1220" w:type="dxa"/>
            <w:tcBorders>
              <w:top w:val="nil"/>
              <w:left w:val="nil"/>
              <w:right w:val="nil"/>
            </w:tcBorders>
            <w:shd w:val="clear" w:color="auto" w:fill="auto"/>
            <w:noWrap/>
            <w:vAlign w:val="center"/>
            <w:hideMark/>
          </w:tcPr>
          <w:p w14:paraId="3485CA4A" w14:textId="77777777" w:rsidR="00021755" w:rsidRPr="00021755" w:rsidRDefault="00021755" w:rsidP="00632439">
            <w:pPr>
              <w:spacing w:after="0" w:line="240" w:lineRule="auto"/>
              <w:jc w:val="center"/>
              <w:rPr>
                <w:rFonts w:asciiTheme="majorHAnsi" w:eastAsia="Times New Roman" w:hAnsiTheme="majorHAnsi" w:cs="Times New Roman"/>
                <w:color w:val="000000"/>
                <w:sz w:val="20"/>
                <w:szCs w:val="20"/>
              </w:rPr>
            </w:pPr>
            <w:r w:rsidRPr="00021755">
              <w:rPr>
                <w:rFonts w:asciiTheme="majorHAnsi" w:eastAsia="Times New Roman" w:hAnsiTheme="majorHAnsi" w:cs="Times New Roman"/>
                <w:color w:val="000000"/>
                <w:sz w:val="20"/>
                <w:szCs w:val="20"/>
              </w:rPr>
              <w:t>3.52%</w:t>
            </w:r>
          </w:p>
        </w:tc>
      </w:tr>
      <w:tr w:rsidR="00021755" w:rsidRPr="00021755" w14:paraId="3262B493" w14:textId="77777777" w:rsidTr="00632439">
        <w:trPr>
          <w:trHeight w:val="286"/>
          <w:jc w:val="center"/>
        </w:trPr>
        <w:tc>
          <w:tcPr>
            <w:tcW w:w="1440" w:type="dxa"/>
            <w:tcBorders>
              <w:top w:val="nil"/>
              <w:left w:val="nil"/>
              <w:bottom w:val="nil"/>
              <w:right w:val="nil"/>
            </w:tcBorders>
            <w:shd w:val="clear" w:color="auto" w:fill="D9D9D9" w:themeFill="background1" w:themeFillShade="D9"/>
            <w:noWrap/>
            <w:vAlign w:val="center"/>
            <w:hideMark/>
          </w:tcPr>
          <w:p w14:paraId="3AB3A8DA" w14:textId="77777777" w:rsidR="00021755" w:rsidRPr="00021755" w:rsidRDefault="00021755" w:rsidP="00632439">
            <w:pPr>
              <w:spacing w:after="0" w:line="240" w:lineRule="auto"/>
              <w:jc w:val="center"/>
              <w:rPr>
                <w:rFonts w:asciiTheme="majorHAnsi" w:eastAsia="Times New Roman" w:hAnsiTheme="majorHAnsi" w:cs="Times New Roman"/>
                <w:color w:val="000000"/>
                <w:sz w:val="20"/>
                <w:szCs w:val="20"/>
              </w:rPr>
            </w:pPr>
            <w:r w:rsidRPr="00021755">
              <w:rPr>
                <w:rFonts w:asciiTheme="majorHAnsi" w:eastAsia="Times New Roman" w:hAnsiTheme="majorHAnsi" w:cs="Times New Roman"/>
                <w:color w:val="000000"/>
                <w:sz w:val="20"/>
                <w:szCs w:val="20"/>
              </w:rPr>
              <w:t>M2821</w:t>
            </w:r>
          </w:p>
        </w:tc>
        <w:tc>
          <w:tcPr>
            <w:tcW w:w="1560" w:type="dxa"/>
            <w:tcBorders>
              <w:top w:val="nil"/>
              <w:left w:val="nil"/>
              <w:bottom w:val="nil"/>
              <w:right w:val="nil"/>
            </w:tcBorders>
            <w:shd w:val="clear" w:color="auto" w:fill="D9D9D9" w:themeFill="background1" w:themeFillShade="D9"/>
            <w:noWrap/>
            <w:vAlign w:val="center"/>
            <w:hideMark/>
          </w:tcPr>
          <w:p w14:paraId="19618CF6" w14:textId="77777777" w:rsidR="00021755" w:rsidRPr="00021755" w:rsidRDefault="00021755" w:rsidP="00632439">
            <w:pPr>
              <w:spacing w:after="0" w:line="240" w:lineRule="auto"/>
              <w:jc w:val="center"/>
              <w:rPr>
                <w:rFonts w:asciiTheme="majorHAnsi" w:eastAsia="Times New Roman" w:hAnsiTheme="majorHAnsi" w:cs="Times New Roman"/>
                <w:color w:val="000000"/>
                <w:sz w:val="20"/>
                <w:szCs w:val="20"/>
              </w:rPr>
            </w:pPr>
            <w:r w:rsidRPr="00021755">
              <w:rPr>
                <w:rFonts w:asciiTheme="majorHAnsi" w:eastAsia="Times New Roman" w:hAnsiTheme="majorHAnsi" w:cs="Times New Roman"/>
                <w:color w:val="000000"/>
                <w:sz w:val="20"/>
                <w:szCs w:val="20"/>
              </w:rPr>
              <w:t>31:46</w:t>
            </w:r>
          </w:p>
        </w:tc>
        <w:tc>
          <w:tcPr>
            <w:tcW w:w="1245" w:type="dxa"/>
            <w:tcBorders>
              <w:top w:val="nil"/>
              <w:left w:val="nil"/>
              <w:bottom w:val="nil"/>
              <w:right w:val="nil"/>
            </w:tcBorders>
            <w:shd w:val="clear" w:color="auto" w:fill="D9D9D9" w:themeFill="background1" w:themeFillShade="D9"/>
            <w:vAlign w:val="center"/>
          </w:tcPr>
          <w:p w14:paraId="4E698412" w14:textId="77777777" w:rsidR="00021755" w:rsidRPr="00021755" w:rsidRDefault="00021755" w:rsidP="00632439">
            <w:pPr>
              <w:spacing w:after="0" w:line="240" w:lineRule="auto"/>
              <w:jc w:val="center"/>
              <w:rPr>
                <w:rFonts w:asciiTheme="majorHAnsi" w:eastAsia="Times New Roman" w:hAnsiTheme="majorHAnsi" w:cs="Times New Roman"/>
                <w:color w:val="000000"/>
                <w:sz w:val="20"/>
                <w:szCs w:val="20"/>
              </w:rPr>
            </w:pPr>
            <w:r w:rsidRPr="00021755">
              <w:rPr>
                <w:rFonts w:asciiTheme="majorHAnsi" w:eastAsia="Times New Roman" w:hAnsiTheme="majorHAnsi" w:cs="Times New Roman"/>
                <w:color w:val="000000"/>
                <w:sz w:val="20"/>
                <w:szCs w:val="20"/>
              </w:rPr>
              <w:t>905:15:21</w:t>
            </w:r>
          </w:p>
        </w:tc>
        <w:tc>
          <w:tcPr>
            <w:tcW w:w="1220" w:type="dxa"/>
            <w:tcBorders>
              <w:top w:val="nil"/>
              <w:left w:val="nil"/>
              <w:bottom w:val="nil"/>
              <w:right w:val="nil"/>
            </w:tcBorders>
            <w:shd w:val="clear" w:color="auto" w:fill="D9D9D9" w:themeFill="background1" w:themeFillShade="D9"/>
            <w:noWrap/>
            <w:vAlign w:val="center"/>
            <w:hideMark/>
          </w:tcPr>
          <w:p w14:paraId="40FC840D" w14:textId="77777777" w:rsidR="00021755" w:rsidRPr="00021755" w:rsidRDefault="00021755" w:rsidP="00632439">
            <w:pPr>
              <w:spacing w:after="0" w:line="240" w:lineRule="auto"/>
              <w:jc w:val="center"/>
              <w:rPr>
                <w:rFonts w:asciiTheme="majorHAnsi" w:eastAsia="Times New Roman" w:hAnsiTheme="majorHAnsi" w:cs="Times New Roman"/>
                <w:color w:val="000000"/>
                <w:sz w:val="20"/>
                <w:szCs w:val="20"/>
              </w:rPr>
            </w:pPr>
            <w:r w:rsidRPr="00021755">
              <w:rPr>
                <w:rFonts w:asciiTheme="majorHAnsi" w:eastAsia="Times New Roman" w:hAnsiTheme="majorHAnsi" w:cs="Times New Roman"/>
                <w:color w:val="000000"/>
                <w:sz w:val="20"/>
                <w:szCs w:val="20"/>
              </w:rPr>
              <w:t>10.33%</w:t>
            </w:r>
          </w:p>
        </w:tc>
      </w:tr>
      <w:tr w:rsidR="00021755" w:rsidRPr="00021755" w14:paraId="3A28294A" w14:textId="77777777" w:rsidTr="00632439">
        <w:trPr>
          <w:trHeight w:val="286"/>
          <w:jc w:val="center"/>
        </w:trPr>
        <w:tc>
          <w:tcPr>
            <w:tcW w:w="1440" w:type="dxa"/>
            <w:tcBorders>
              <w:top w:val="nil"/>
              <w:left w:val="nil"/>
              <w:right w:val="nil"/>
            </w:tcBorders>
            <w:shd w:val="clear" w:color="auto" w:fill="auto"/>
            <w:noWrap/>
            <w:vAlign w:val="center"/>
            <w:hideMark/>
          </w:tcPr>
          <w:p w14:paraId="0FB63AAE" w14:textId="77777777" w:rsidR="00021755" w:rsidRPr="00021755" w:rsidRDefault="00021755" w:rsidP="00632439">
            <w:pPr>
              <w:spacing w:after="0" w:line="240" w:lineRule="auto"/>
              <w:jc w:val="center"/>
              <w:rPr>
                <w:rFonts w:asciiTheme="majorHAnsi" w:eastAsia="Times New Roman" w:hAnsiTheme="majorHAnsi" w:cs="Times New Roman"/>
                <w:color w:val="000000"/>
                <w:sz w:val="20"/>
                <w:szCs w:val="20"/>
              </w:rPr>
            </w:pPr>
            <w:r w:rsidRPr="00021755">
              <w:rPr>
                <w:rFonts w:asciiTheme="majorHAnsi" w:eastAsia="Times New Roman" w:hAnsiTheme="majorHAnsi" w:cs="Times New Roman"/>
                <w:color w:val="000000"/>
                <w:sz w:val="20"/>
                <w:szCs w:val="20"/>
              </w:rPr>
              <w:t>M2822</w:t>
            </w:r>
          </w:p>
        </w:tc>
        <w:tc>
          <w:tcPr>
            <w:tcW w:w="1560" w:type="dxa"/>
            <w:tcBorders>
              <w:top w:val="nil"/>
              <w:left w:val="nil"/>
              <w:right w:val="nil"/>
            </w:tcBorders>
            <w:shd w:val="clear" w:color="auto" w:fill="auto"/>
            <w:noWrap/>
            <w:vAlign w:val="center"/>
            <w:hideMark/>
          </w:tcPr>
          <w:p w14:paraId="5CF5DF6E" w14:textId="77777777" w:rsidR="00021755" w:rsidRPr="00021755" w:rsidRDefault="00021755" w:rsidP="00632439">
            <w:pPr>
              <w:spacing w:after="0" w:line="240" w:lineRule="auto"/>
              <w:jc w:val="center"/>
              <w:rPr>
                <w:rFonts w:asciiTheme="majorHAnsi" w:eastAsia="Times New Roman" w:hAnsiTheme="majorHAnsi" w:cs="Times New Roman"/>
                <w:color w:val="000000"/>
                <w:sz w:val="20"/>
                <w:szCs w:val="20"/>
              </w:rPr>
            </w:pPr>
            <w:r w:rsidRPr="00021755">
              <w:rPr>
                <w:rFonts w:asciiTheme="majorHAnsi" w:eastAsia="Times New Roman" w:hAnsiTheme="majorHAnsi" w:cs="Times New Roman"/>
                <w:color w:val="000000"/>
                <w:sz w:val="20"/>
                <w:szCs w:val="20"/>
              </w:rPr>
              <w:t>31:42</w:t>
            </w:r>
          </w:p>
        </w:tc>
        <w:tc>
          <w:tcPr>
            <w:tcW w:w="1245" w:type="dxa"/>
            <w:tcBorders>
              <w:top w:val="nil"/>
              <w:left w:val="nil"/>
              <w:right w:val="nil"/>
            </w:tcBorders>
            <w:vAlign w:val="center"/>
          </w:tcPr>
          <w:p w14:paraId="5F895DF8" w14:textId="77777777" w:rsidR="00021755" w:rsidRPr="00021755" w:rsidRDefault="00021755" w:rsidP="00632439">
            <w:pPr>
              <w:spacing w:after="0" w:line="240" w:lineRule="auto"/>
              <w:jc w:val="center"/>
              <w:rPr>
                <w:rFonts w:asciiTheme="majorHAnsi" w:eastAsia="Times New Roman" w:hAnsiTheme="majorHAnsi" w:cs="Times New Roman"/>
                <w:color w:val="000000"/>
                <w:sz w:val="20"/>
                <w:szCs w:val="20"/>
              </w:rPr>
            </w:pPr>
            <w:r w:rsidRPr="00021755">
              <w:rPr>
                <w:rFonts w:asciiTheme="majorHAnsi" w:eastAsia="Times New Roman" w:hAnsiTheme="majorHAnsi" w:cs="Times New Roman"/>
                <w:color w:val="000000"/>
                <w:sz w:val="20"/>
                <w:szCs w:val="20"/>
              </w:rPr>
              <w:t>970:40:56</w:t>
            </w:r>
          </w:p>
        </w:tc>
        <w:tc>
          <w:tcPr>
            <w:tcW w:w="1220" w:type="dxa"/>
            <w:tcBorders>
              <w:top w:val="nil"/>
              <w:left w:val="nil"/>
              <w:right w:val="nil"/>
            </w:tcBorders>
            <w:shd w:val="clear" w:color="auto" w:fill="auto"/>
            <w:noWrap/>
            <w:vAlign w:val="center"/>
            <w:hideMark/>
          </w:tcPr>
          <w:p w14:paraId="33E6D939" w14:textId="77777777" w:rsidR="00021755" w:rsidRPr="00021755" w:rsidRDefault="00021755" w:rsidP="00632439">
            <w:pPr>
              <w:spacing w:after="0" w:line="240" w:lineRule="auto"/>
              <w:jc w:val="center"/>
              <w:rPr>
                <w:rFonts w:asciiTheme="majorHAnsi" w:eastAsia="Times New Roman" w:hAnsiTheme="majorHAnsi" w:cs="Times New Roman"/>
                <w:color w:val="000000"/>
                <w:sz w:val="20"/>
                <w:szCs w:val="20"/>
              </w:rPr>
            </w:pPr>
            <w:r w:rsidRPr="00021755">
              <w:rPr>
                <w:rFonts w:asciiTheme="majorHAnsi" w:eastAsia="Times New Roman" w:hAnsiTheme="majorHAnsi" w:cs="Times New Roman"/>
                <w:color w:val="000000"/>
                <w:sz w:val="20"/>
                <w:szCs w:val="20"/>
              </w:rPr>
              <w:t>11.08%</w:t>
            </w:r>
          </w:p>
        </w:tc>
      </w:tr>
      <w:tr w:rsidR="00021755" w:rsidRPr="00021755" w14:paraId="095554EC" w14:textId="77777777" w:rsidTr="00632439">
        <w:trPr>
          <w:trHeight w:val="286"/>
          <w:jc w:val="center"/>
        </w:trPr>
        <w:tc>
          <w:tcPr>
            <w:tcW w:w="1440" w:type="dxa"/>
            <w:tcBorders>
              <w:top w:val="nil"/>
              <w:left w:val="nil"/>
              <w:bottom w:val="nil"/>
              <w:right w:val="nil"/>
            </w:tcBorders>
            <w:shd w:val="clear" w:color="auto" w:fill="D9D9D9" w:themeFill="background1" w:themeFillShade="D9"/>
            <w:noWrap/>
            <w:vAlign w:val="center"/>
            <w:hideMark/>
          </w:tcPr>
          <w:p w14:paraId="31C4BD99" w14:textId="77777777" w:rsidR="00021755" w:rsidRPr="00021755" w:rsidRDefault="00021755" w:rsidP="00632439">
            <w:pPr>
              <w:spacing w:after="0" w:line="240" w:lineRule="auto"/>
              <w:jc w:val="center"/>
              <w:rPr>
                <w:rFonts w:asciiTheme="majorHAnsi" w:eastAsia="Times New Roman" w:hAnsiTheme="majorHAnsi" w:cs="Times New Roman"/>
                <w:color w:val="000000"/>
                <w:sz w:val="20"/>
                <w:szCs w:val="20"/>
              </w:rPr>
            </w:pPr>
            <w:r w:rsidRPr="00021755">
              <w:rPr>
                <w:rFonts w:asciiTheme="majorHAnsi" w:eastAsia="Times New Roman" w:hAnsiTheme="majorHAnsi" w:cs="Times New Roman"/>
                <w:color w:val="000000"/>
                <w:sz w:val="20"/>
                <w:szCs w:val="20"/>
              </w:rPr>
              <w:t>M2823</w:t>
            </w:r>
          </w:p>
        </w:tc>
        <w:tc>
          <w:tcPr>
            <w:tcW w:w="1560" w:type="dxa"/>
            <w:tcBorders>
              <w:top w:val="nil"/>
              <w:left w:val="nil"/>
              <w:bottom w:val="nil"/>
              <w:right w:val="nil"/>
            </w:tcBorders>
            <w:shd w:val="clear" w:color="auto" w:fill="D9D9D9" w:themeFill="background1" w:themeFillShade="D9"/>
            <w:noWrap/>
            <w:vAlign w:val="center"/>
            <w:hideMark/>
          </w:tcPr>
          <w:p w14:paraId="63AA5585" w14:textId="77777777" w:rsidR="00021755" w:rsidRPr="00021755" w:rsidRDefault="00021755" w:rsidP="00632439">
            <w:pPr>
              <w:spacing w:after="0" w:line="240" w:lineRule="auto"/>
              <w:jc w:val="center"/>
              <w:rPr>
                <w:rFonts w:asciiTheme="majorHAnsi" w:eastAsia="Times New Roman" w:hAnsiTheme="majorHAnsi" w:cs="Times New Roman"/>
                <w:color w:val="000000"/>
                <w:sz w:val="20"/>
                <w:szCs w:val="20"/>
              </w:rPr>
            </w:pPr>
            <w:r w:rsidRPr="00021755">
              <w:rPr>
                <w:rFonts w:asciiTheme="majorHAnsi" w:eastAsia="Times New Roman" w:hAnsiTheme="majorHAnsi" w:cs="Times New Roman"/>
                <w:color w:val="000000"/>
                <w:sz w:val="20"/>
                <w:szCs w:val="20"/>
              </w:rPr>
              <w:t>36:30</w:t>
            </w:r>
          </w:p>
        </w:tc>
        <w:tc>
          <w:tcPr>
            <w:tcW w:w="1245" w:type="dxa"/>
            <w:tcBorders>
              <w:top w:val="nil"/>
              <w:left w:val="nil"/>
              <w:bottom w:val="nil"/>
              <w:right w:val="nil"/>
            </w:tcBorders>
            <w:shd w:val="clear" w:color="auto" w:fill="D9D9D9" w:themeFill="background1" w:themeFillShade="D9"/>
            <w:vAlign w:val="center"/>
          </w:tcPr>
          <w:p w14:paraId="189FBF56" w14:textId="77777777" w:rsidR="00021755" w:rsidRPr="00021755" w:rsidRDefault="00021755" w:rsidP="00632439">
            <w:pPr>
              <w:spacing w:after="0" w:line="240" w:lineRule="auto"/>
              <w:jc w:val="center"/>
              <w:rPr>
                <w:rFonts w:asciiTheme="majorHAnsi" w:eastAsia="Times New Roman" w:hAnsiTheme="majorHAnsi" w:cs="Times New Roman"/>
                <w:color w:val="000000"/>
                <w:sz w:val="20"/>
                <w:szCs w:val="20"/>
              </w:rPr>
            </w:pPr>
            <w:r w:rsidRPr="00021755">
              <w:rPr>
                <w:rFonts w:asciiTheme="majorHAnsi" w:eastAsia="Times New Roman" w:hAnsiTheme="majorHAnsi" w:cs="Times New Roman"/>
                <w:color w:val="000000"/>
                <w:sz w:val="20"/>
                <w:szCs w:val="20"/>
              </w:rPr>
              <w:t>798:49:30</w:t>
            </w:r>
          </w:p>
        </w:tc>
        <w:tc>
          <w:tcPr>
            <w:tcW w:w="1220" w:type="dxa"/>
            <w:tcBorders>
              <w:top w:val="nil"/>
              <w:left w:val="nil"/>
              <w:bottom w:val="nil"/>
              <w:right w:val="nil"/>
            </w:tcBorders>
            <w:shd w:val="clear" w:color="auto" w:fill="D9D9D9" w:themeFill="background1" w:themeFillShade="D9"/>
            <w:noWrap/>
            <w:vAlign w:val="center"/>
            <w:hideMark/>
          </w:tcPr>
          <w:p w14:paraId="437C0EEC" w14:textId="77777777" w:rsidR="00021755" w:rsidRPr="00021755" w:rsidRDefault="00021755" w:rsidP="00632439">
            <w:pPr>
              <w:spacing w:after="0" w:line="240" w:lineRule="auto"/>
              <w:jc w:val="center"/>
              <w:rPr>
                <w:rFonts w:asciiTheme="majorHAnsi" w:eastAsia="Times New Roman" w:hAnsiTheme="majorHAnsi" w:cs="Times New Roman"/>
                <w:color w:val="000000"/>
                <w:sz w:val="20"/>
                <w:szCs w:val="20"/>
              </w:rPr>
            </w:pPr>
            <w:r w:rsidRPr="00021755">
              <w:rPr>
                <w:rFonts w:asciiTheme="majorHAnsi" w:eastAsia="Times New Roman" w:hAnsiTheme="majorHAnsi" w:cs="Times New Roman"/>
                <w:color w:val="000000"/>
                <w:sz w:val="20"/>
                <w:szCs w:val="20"/>
              </w:rPr>
              <w:t>9.12%</w:t>
            </w:r>
          </w:p>
        </w:tc>
      </w:tr>
      <w:tr w:rsidR="00021755" w:rsidRPr="00021755" w14:paraId="6A5C56EC" w14:textId="77777777" w:rsidTr="00632439">
        <w:trPr>
          <w:trHeight w:val="286"/>
          <w:jc w:val="center"/>
        </w:trPr>
        <w:tc>
          <w:tcPr>
            <w:tcW w:w="1440" w:type="dxa"/>
            <w:tcBorders>
              <w:top w:val="nil"/>
              <w:left w:val="nil"/>
              <w:right w:val="nil"/>
            </w:tcBorders>
            <w:shd w:val="clear" w:color="auto" w:fill="auto"/>
            <w:noWrap/>
            <w:vAlign w:val="center"/>
            <w:hideMark/>
          </w:tcPr>
          <w:p w14:paraId="29A78567" w14:textId="77777777" w:rsidR="00021755" w:rsidRPr="00021755" w:rsidRDefault="00021755" w:rsidP="00632439">
            <w:pPr>
              <w:spacing w:after="0" w:line="240" w:lineRule="auto"/>
              <w:jc w:val="center"/>
              <w:rPr>
                <w:rFonts w:asciiTheme="majorHAnsi" w:eastAsia="Times New Roman" w:hAnsiTheme="majorHAnsi" w:cs="Times New Roman"/>
                <w:color w:val="000000"/>
                <w:sz w:val="20"/>
                <w:szCs w:val="20"/>
              </w:rPr>
            </w:pPr>
            <w:r w:rsidRPr="00021755">
              <w:rPr>
                <w:rFonts w:asciiTheme="majorHAnsi" w:eastAsia="Times New Roman" w:hAnsiTheme="majorHAnsi" w:cs="Times New Roman"/>
                <w:color w:val="000000"/>
                <w:sz w:val="20"/>
                <w:szCs w:val="20"/>
              </w:rPr>
              <w:t>M2824</w:t>
            </w:r>
          </w:p>
        </w:tc>
        <w:tc>
          <w:tcPr>
            <w:tcW w:w="1560" w:type="dxa"/>
            <w:tcBorders>
              <w:top w:val="nil"/>
              <w:left w:val="nil"/>
              <w:right w:val="nil"/>
            </w:tcBorders>
            <w:shd w:val="clear" w:color="auto" w:fill="auto"/>
            <w:noWrap/>
            <w:vAlign w:val="center"/>
            <w:hideMark/>
          </w:tcPr>
          <w:p w14:paraId="1AB58594" w14:textId="77777777" w:rsidR="00021755" w:rsidRPr="00021755" w:rsidRDefault="00021755" w:rsidP="00632439">
            <w:pPr>
              <w:spacing w:after="0" w:line="240" w:lineRule="auto"/>
              <w:jc w:val="center"/>
              <w:rPr>
                <w:rFonts w:asciiTheme="majorHAnsi" w:eastAsia="Times New Roman" w:hAnsiTheme="majorHAnsi" w:cs="Times New Roman"/>
                <w:color w:val="000000"/>
                <w:sz w:val="20"/>
                <w:szCs w:val="20"/>
              </w:rPr>
            </w:pPr>
            <w:r w:rsidRPr="00021755">
              <w:rPr>
                <w:rFonts w:asciiTheme="majorHAnsi" w:eastAsia="Times New Roman" w:hAnsiTheme="majorHAnsi" w:cs="Times New Roman"/>
                <w:color w:val="000000"/>
                <w:sz w:val="20"/>
                <w:szCs w:val="20"/>
              </w:rPr>
              <w:t>35:59</w:t>
            </w:r>
          </w:p>
        </w:tc>
        <w:tc>
          <w:tcPr>
            <w:tcW w:w="1245" w:type="dxa"/>
            <w:tcBorders>
              <w:top w:val="nil"/>
              <w:left w:val="nil"/>
              <w:right w:val="nil"/>
            </w:tcBorders>
            <w:vAlign w:val="center"/>
          </w:tcPr>
          <w:p w14:paraId="40D24B58" w14:textId="77777777" w:rsidR="00021755" w:rsidRPr="00021755" w:rsidRDefault="00021755" w:rsidP="00632439">
            <w:pPr>
              <w:spacing w:after="0" w:line="240" w:lineRule="auto"/>
              <w:jc w:val="center"/>
              <w:rPr>
                <w:rFonts w:asciiTheme="majorHAnsi" w:eastAsia="Times New Roman" w:hAnsiTheme="majorHAnsi" w:cs="Times New Roman"/>
                <w:color w:val="000000"/>
                <w:sz w:val="20"/>
                <w:szCs w:val="20"/>
              </w:rPr>
            </w:pPr>
            <w:r w:rsidRPr="00021755">
              <w:rPr>
                <w:rFonts w:asciiTheme="majorHAnsi" w:eastAsia="Times New Roman" w:hAnsiTheme="majorHAnsi" w:cs="Times New Roman"/>
                <w:color w:val="000000"/>
                <w:sz w:val="20"/>
                <w:szCs w:val="20"/>
              </w:rPr>
              <w:t>250:40:36</w:t>
            </w:r>
          </w:p>
        </w:tc>
        <w:tc>
          <w:tcPr>
            <w:tcW w:w="1220" w:type="dxa"/>
            <w:tcBorders>
              <w:top w:val="nil"/>
              <w:left w:val="nil"/>
              <w:right w:val="nil"/>
            </w:tcBorders>
            <w:shd w:val="clear" w:color="auto" w:fill="auto"/>
            <w:noWrap/>
            <w:vAlign w:val="center"/>
            <w:hideMark/>
          </w:tcPr>
          <w:p w14:paraId="5EA13ADF" w14:textId="77777777" w:rsidR="00021755" w:rsidRPr="00021755" w:rsidRDefault="00021755" w:rsidP="00632439">
            <w:pPr>
              <w:spacing w:after="0" w:line="240" w:lineRule="auto"/>
              <w:jc w:val="center"/>
              <w:rPr>
                <w:rFonts w:asciiTheme="majorHAnsi" w:eastAsia="Times New Roman" w:hAnsiTheme="majorHAnsi" w:cs="Times New Roman"/>
                <w:color w:val="000000"/>
                <w:sz w:val="20"/>
                <w:szCs w:val="20"/>
              </w:rPr>
            </w:pPr>
            <w:r w:rsidRPr="00021755">
              <w:rPr>
                <w:rFonts w:asciiTheme="majorHAnsi" w:eastAsia="Times New Roman" w:hAnsiTheme="majorHAnsi" w:cs="Times New Roman"/>
                <w:color w:val="000000"/>
                <w:sz w:val="20"/>
                <w:szCs w:val="20"/>
              </w:rPr>
              <w:t>2.86%</w:t>
            </w:r>
          </w:p>
        </w:tc>
      </w:tr>
      <w:tr w:rsidR="00021755" w:rsidRPr="00021755" w14:paraId="2BBF96FA" w14:textId="77777777" w:rsidTr="00632439">
        <w:trPr>
          <w:trHeight w:val="286"/>
          <w:jc w:val="center"/>
        </w:trPr>
        <w:tc>
          <w:tcPr>
            <w:tcW w:w="1440" w:type="dxa"/>
            <w:tcBorders>
              <w:top w:val="nil"/>
              <w:left w:val="nil"/>
              <w:bottom w:val="nil"/>
              <w:right w:val="nil"/>
            </w:tcBorders>
            <w:shd w:val="clear" w:color="auto" w:fill="D9D9D9" w:themeFill="background1" w:themeFillShade="D9"/>
            <w:noWrap/>
            <w:vAlign w:val="center"/>
            <w:hideMark/>
          </w:tcPr>
          <w:p w14:paraId="737F9ABC" w14:textId="77777777" w:rsidR="00021755" w:rsidRPr="00021755" w:rsidRDefault="00021755" w:rsidP="00632439">
            <w:pPr>
              <w:spacing w:after="0" w:line="240" w:lineRule="auto"/>
              <w:jc w:val="center"/>
              <w:rPr>
                <w:rFonts w:asciiTheme="majorHAnsi" w:eastAsia="Times New Roman" w:hAnsiTheme="majorHAnsi" w:cs="Times New Roman"/>
                <w:color w:val="000000"/>
                <w:sz w:val="20"/>
                <w:szCs w:val="20"/>
              </w:rPr>
            </w:pPr>
            <w:r w:rsidRPr="00021755">
              <w:rPr>
                <w:rFonts w:asciiTheme="majorHAnsi" w:eastAsia="Times New Roman" w:hAnsiTheme="majorHAnsi" w:cs="Times New Roman"/>
                <w:color w:val="000000"/>
                <w:sz w:val="20"/>
                <w:szCs w:val="20"/>
              </w:rPr>
              <w:t>MO281</w:t>
            </w:r>
          </w:p>
        </w:tc>
        <w:tc>
          <w:tcPr>
            <w:tcW w:w="1560" w:type="dxa"/>
            <w:tcBorders>
              <w:top w:val="nil"/>
              <w:left w:val="nil"/>
              <w:bottom w:val="nil"/>
              <w:right w:val="nil"/>
            </w:tcBorders>
            <w:shd w:val="clear" w:color="auto" w:fill="D9D9D9" w:themeFill="background1" w:themeFillShade="D9"/>
            <w:noWrap/>
            <w:vAlign w:val="center"/>
            <w:hideMark/>
          </w:tcPr>
          <w:p w14:paraId="016019EF" w14:textId="77777777" w:rsidR="00021755" w:rsidRPr="00021755" w:rsidRDefault="00021755" w:rsidP="00632439">
            <w:pPr>
              <w:spacing w:after="0" w:line="240" w:lineRule="auto"/>
              <w:jc w:val="center"/>
              <w:rPr>
                <w:rFonts w:asciiTheme="majorHAnsi" w:eastAsia="Times New Roman" w:hAnsiTheme="majorHAnsi" w:cs="Times New Roman"/>
                <w:color w:val="000000"/>
                <w:sz w:val="20"/>
                <w:szCs w:val="20"/>
              </w:rPr>
            </w:pPr>
            <w:r w:rsidRPr="00021755">
              <w:rPr>
                <w:rFonts w:asciiTheme="majorHAnsi" w:eastAsia="Times New Roman" w:hAnsiTheme="majorHAnsi" w:cs="Times New Roman"/>
                <w:color w:val="000000"/>
                <w:sz w:val="20"/>
                <w:szCs w:val="20"/>
              </w:rPr>
              <w:t>25:45</w:t>
            </w:r>
          </w:p>
        </w:tc>
        <w:tc>
          <w:tcPr>
            <w:tcW w:w="1245" w:type="dxa"/>
            <w:tcBorders>
              <w:top w:val="nil"/>
              <w:left w:val="nil"/>
              <w:bottom w:val="nil"/>
              <w:right w:val="nil"/>
            </w:tcBorders>
            <w:shd w:val="clear" w:color="auto" w:fill="D9D9D9" w:themeFill="background1" w:themeFillShade="D9"/>
            <w:vAlign w:val="center"/>
          </w:tcPr>
          <w:p w14:paraId="5ECF8E36" w14:textId="77777777" w:rsidR="00021755" w:rsidRPr="00021755" w:rsidRDefault="00021755" w:rsidP="00632439">
            <w:pPr>
              <w:spacing w:after="0" w:line="240" w:lineRule="auto"/>
              <w:jc w:val="center"/>
              <w:rPr>
                <w:rFonts w:asciiTheme="majorHAnsi" w:eastAsia="Times New Roman" w:hAnsiTheme="majorHAnsi" w:cs="Times New Roman"/>
                <w:color w:val="000000"/>
                <w:sz w:val="20"/>
                <w:szCs w:val="20"/>
              </w:rPr>
            </w:pPr>
            <w:r w:rsidRPr="00021755">
              <w:rPr>
                <w:rFonts w:asciiTheme="majorHAnsi" w:eastAsia="Times New Roman" w:hAnsiTheme="majorHAnsi" w:cs="Times New Roman"/>
                <w:color w:val="000000"/>
                <w:sz w:val="20"/>
                <w:szCs w:val="20"/>
              </w:rPr>
              <w:t>55:48:09</w:t>
            </w:r>
          </w:p>
        </w:tc>
        <w:tc>
          <w:tcPr>
            <w:tcW w:w="1220" w:type="dxa"/>
            <w:tcBorders>
              <w:top w:val="nil"/>
              <w:left w:val="nil"/>
              <w:bottom w:val="nil"/>
              <w:right w:val="nil"/>
            </w:tcBorders>
            <w:shd w:val="clear" w:color="auto" w:fill="D9D9D9" w:themeFill="background1" w:themeFillShade="D9"/>
            <w:noWrap/>
            <w:vAlign w:val="center"/>
            <w:hideMark/>
          </w:tcPr>
          <w:p w14:paraId="5B8F83C9" w14:textId="77777777" w:rsidR="00021755" w:rsidRPr="00021755" w:rsidRDefault="00021755" w:rsidP="00632439">
            <w:pPr>
              <w:spacing w:after="0" w:line="240" w:lineRule="auto"/>
              <w:jc w:val="center"/>
              <w:rPr>
                <w:rFonts w:asciiTheme="majorHAnsi" w:eastAsia="Times New Roman" w:hAnsiTheme="majorHAnsi" w:cs="Times New Roman"/>
                <w:color w:val="000000"/>
                <w:sz w:val="20"/>
                <w:szCs w:val="20"/>
              </w:rPr>
            </w:pPr>
            <w:r w:rsidRPr="00021755">
              <w:rPr>
                <w:rFonts w:asciiTheme="majorHAnsi" w:eastAsia="Times New Roman" w:hAnsiTheme="majorHAnsi" w:cs="Times New Roman"/>
                <w:color w:val="000000"/>
                <w:sz w:val="20"/>
                <w:szCs w:val="20"/>
              </w:rPr>
              <w:t>0.64%</w:t>
            </w:r>
          </w:p>
        </w:tc>
      </w:tr>
      <w:tr w:rsidR="00021755" w:rsidRPr="00021755" w14:paraId="0CD487F1" w14:textId="77777777" w:rsidTr="00632439">
        <w:trPr>
          <w:trHeight w:val="286"/>
          <w:jc w:val="center"/>
        </w:trPr>
        <w:tc>
          <w:tcPr>
            <w:tcW w:w="1440" w:type="dxa"/>
            <w:tcBorders>
              <w:top w:val="nil"/>
              <w:left w:val="nil"/>
              <w:right w:val="nil"/>
            </w:tcBorders>
            <w:shd w:val="clear" w:color="auto" w:fill="auto"/>
            <w:noWrap/>
            <w:vAlign w:val="center"/>
            <w:hideMark/>
          </w:tcPr>
          <w:p w14:paraId="700FD04E" w14:textId="77777777" w:rsidR="00021755" w:rsidRPr="00021755" w:rsidRDefault="00021755" w:rsidP="00632439">
            <w:pPr>
              <w:spacing w:after="0" w:line="240" w:lineRule="auto"/>
              <w:jc w:val="center"/>
              <w:rPr>
                <w:rFonts w:asciiTheme="majorHAnsi" w:eastAsia="Times New Roman" w:hAnsiTheme="majorHAnsi" w:cs="Times New Roman"/>
                <w:color w:val="000000"/>
                <w:sz w:val="20"/>
                <w:szCs w:val="20"/>
              </w:rPr>
            </w:pPr>
            <w:r w:rsidRPr="00021755">
              <w:rPr>
                <w:rFonts w:asciiTheme="majorHAnsi" w:eastAsia="Times New Roman" w:hAnsiTheme="majorHAnsi" w:cs="Times New Roman"/>
                <w:color w:val="000000"/>
                <w:sz w:val="20"/>
                <w:szCs w:val="20"/>
              </w:rPr>
              <w:t>R2841</w:t>
            </w:r>
          </w:p>
        </w:tc>
        <w:tc>
          <w:tcPr>
            <w:tcW w:w="1560" w:type="dxa"/>
            <w:tcBorders>
              <w:top w:val="nil"/>
              <w:left w:val="nil"/>
              <w:right w:val="nil"/>
            </w:tcBorders>
            <w:shd w:val="clear" w:color="auto" w:fill="auto"/>
            <w:noWrap/>
            <w:vAlign w:val="center"/>
            <w:hideMark/>
          </w:tcPr>
          <w:p w14:paraId="29B73839" w14:textId="77777777" w:rsidR="00021755" w:rsidRPr="00021755" w:rsidRDefault="00021755" w:rsidP="00632439">
            <w:pPr>
              <w:spacing w:after="0" w:line="240" w:lineRule="auto"/>
              <w:jc w:val="center"/>
              <w:rPr>
                <w:rFonts w:asciiTheme="majorHAnsi" w:eastAsia="Times New Roman" w:hAnsiTheme="majorHAnsi" w:cs="Times New Roman"/>
                <w:color w:val="000000"/>
                <w:sz w:val="20"/>
                <w:szCs w:val="20"/>
              </w:rPr>
            </w:pPr>
            <w:r w:rsidRPr="00021755">
              <w:rPr>
                <w:rFonts w:asciiTheme="majorHAnsi" w:eastAsia="Times New Roman" w:hAnsiTheme="majorHAnsi" w:cs="Times New Roman"/>
                <w:color w:val="000000"/>
                <w:sz w:val="20"/>
                <w:szCs w:val="20"/>
              </w:rPr>
              <w:t>25:32</w:t>
            </w:r>
          </w:p>
        </w:tc>
        <w:tc>
          <w:tcPr>
            <w:tcW w:w="1245" w:type="dxa"/>
            <w:tcBorders>
              <w:top w:val="nil"/>
              <w:left w:val="nil"/>
              <w:right w:val="nil"/>
            </w:tcBorders>
            <w:vAlign w:val="center"/>
          </w:tcPr>
          <w:p w14:paraId="74F4AE28" w14:textId="77777777" w:rsidR="00021755" w:rsidRPr="00021755" w:rsidRDefault="00021755" w:rsidP="00632439">
            <w:pPr>
              <w:spacing w:after="0" w:line="240" w:lineRule="auto"/>
              <w:jc w:val="center"/>
              <w:rPr>
                <w:rFonts w:asciiTheme="majorHAnsi" w:eastAsia="Times New Roman" w:hAnsiTheme="majorHAnsi" w:cs="Times New Roman"/>
                <w:color w:val="000000"/>
                <w:sz w:val="20"/>
                <w:szCs w:val="20"/>
              </w:rPr>
            </w:pPr>
            <w:r w:rsidRPr="00021755">
              <w:rPr>
                <w:rFonts w:asciiTheme="majorHAnsi" w:eastAsia="Times New Roman" w:hAnsiTheme="majorHAnsi" w:cs="Times New Roman"/>
                <w:color w:val="000000"/>
                <w:sz w:val="20"/>
                <w:szCs w:val="20"/>
              </w:rPr>
              <w:t>4:40:57</w:t>
            </w:r>
          </w:p>
        </w:tc>
        <w:tc>
          <w:tcPr>
            <w:tcW w:w="1220" w:type="dxa"/>
            <w:tcBorders>
              <w:top w:val="nil"/>
              <w:left w:val="nil"/>
              <w:right w:val="nil"/>
            </w:tcBorders>
            <w:shd w:val="clear" w:color="auto" w:fill="auto"/>
            <w:noWrap/>
            <w:vAlign w:val="center"/>
            <w:hideMark/>
          </w:tcPr>
          <w:p w14:paraId="69CA315C" w14:textId="77777777" w:rsidR="00021755" w:rsidRPr="00021755" w:rsidRDefault="00021755" w:rsidP="00632439">
            <w:pPr>
              <w:spacing w:after="0" w:line="240" w:lineRule="auto"/>
              <w:jc w:val="center"/>
              <w:rPr>
                <w:rFonts w:asciiTheme="majorHAnsi" w:eastAsia="Times New Roman" w:hAnsiTheme="majorHAnsi" w:cs="Times New Roman"/>
                <w:color w:val="000000"/>
                <w:sz w:val="20"/>
                <w:szCs w:val="20"/>
              </w:rPr>
            </w:pPr>
            <w:r w:rsidRPr="00021755">
              <w:rPr>
                <w:rFonts w:asciiTheme="majorHAnsi" w:eastAsia="Times New Roman" w:hAnsiTheme="majorHAnsi" w:cs="Times New Roman"/>
                <w:color w:val="000000"/>
                <w:sz w:val="20"/>
                <w:szCs w:val="20"/>
              </w:rPr>
              <w:t>0.05%</w:t>
            </w:r>
          </w:p>
        </w:tc>
      </w:tr>
      <w:tr w:rsidR="00021755" w:rsidRPr="00021755" w14:paraId="6F3DAD77" w14:textId="77777777" w:rsidTr="00632439">
        <w:trPr>
          <w:trHeight w:val="286"/>
          <w:jc w:val="center"/>
        </w:trPr>
        <w:tc>
          <w:tcPr>
            <w:tcW w:w="1440" w:type="dxa"/>
            <w:tcBorders>
              <w:top w:val="nil"/>
              <w:left w:val="nil"/>
              <w:bottom w:val="nil"/>
              <w:right w:val="nil"/>
            </w:tcBorders>
            <w:shd w:val="clear" w:color="auto" w:fill="D9D9D9" w:themeFill="background1" w:themeFillShade="D9"/>
            <w:noWrap/>
            <w:vAlign w:val="center"/>
            <w:hideMark/>
          </w:tcPr>
          <w:p w14:paraId="506FE325" w14:textId="77777777" w:rsidR="00021755" w:rsidRPr="00021755" w:rsidRDefault="00021755" w:rsidP="00632439">
            <w:pPr>
              <w:spacing w:after="0" w:line="240" w:lineRule="auto"/>
              <w:jc w:val="center"/>
              <w:rPr>
                <w:rFonts w:asciiTheme="majorHAnsi" w:eastAsia="Times New Roman" w:hAnsiTheme="majorHAnsi" w:cs="Times New Roman"/>
                <w:color w:val="000000"/>
                <w:sz w:val="20"/>
                <w:szCs w:val="20"/>
              </w:rPr>
            </w:pPr>
            <w:r w:rsidRPr="00021755">
              <w:rPr>
                <w:rFonts w:asciiTheme="majorHAnsi" w:eastAsia="Times New Roman" w:hAnsiTheme="majorHAnsi" w:cs="Times New Roman"/>
                <w:color w:val="000000"/>
                <w:sz w:val="20"/>
                <w:szCs w:val="20"/>
              </w:rPr>
              <w:t>TO281</w:t>
            </w:r>
          </w:p>
        </w:tc>
        <w:tc>
          <w:tcPr>
            <w:tcW w:w="1560" w:type="dxa"/>
            <w:tcBorders>
              <w:top w:val="nil"/>
              <w:left w:val="nil"/>
              <w:bottom w:val="nil"/>
              <w:right w:val="nil"/>
            </w:tcBorders>
            <w:shd w:val="clear" w:color="auto" w:fill="D9D9D9" w:themeFill="background1" w:themeFillShade="D9"/>
            <w:noWrap/>
            <w:vAlign w:val="center"/>
            <w:hideMark/>
          </w:tcPr>
          <w:p w14:paraId="6F69DDED" w14:textId="77777777" w:rsidR="00021755" w:rsidRPr="00021755" w:rsidRDefault="00021755" w:rsidP="00632439">
            <w:pPr>
              <w:spacing w:after="0" w:line="240" w:lineRule="auto"/>
              <w:jc w:val="center"/>
              <w:rPr>
                <w:rFonts w:asciiTheme="majorHAnsi" w:eastAsia="Times New Roman" w:hAnsiTheme="majorHAnsi" w:cs="Times New Roman"/>
                <w:color w:val="000000"/>
                <w:sz w:val="20"/>
                <w:szCs w:val="20"/>
              </w:rPr>
            </w:pPr>
            <w:r w:rsidRPr="00021755">
              <w:rPr>
                <w:rFonts w:asciiTheme="majorHAnsi" w:eastAsia="Times New Roman" w:hAnsiTheme="majorHAnsi" w:cs="Times New Roman"/>
                <w:color w:val="000000"/>
                <w:sz w:val="20"/>
                <w:szCs w:val="20"/>
              </w:rPr>
              <w:t>1:10:28</w:t>
            </w:r>
          </w:p>
        </w:tc>
        <w:tc>
          <w:tcPr>
            <w:tcW w:w="1245" w:type="dxa"/>
            <w:tcBorders>
              <w:top w:val="nil"/>
              <w:left w:val="nil"/>
              <w:bottom w:val="nil"/>
              <w:right w:val="nil"/>
            </w:tcBorders>
            <w:shd w:val="clear" w:color="auto" w:fill="D9D9D9" w:themeFill="background1" w:themeFillShade="D9"/>
            <w:vAlign w:val="center"/>
          </w:tcPr>
          <w:p w14:paraId="4B73C4FC" w14:textId="77777777" w:rsidR="00021755" w:rsidRPr="00021755" w:rsidRDefault="00021755" w:rsidP="00632439">
            <w:pPr>
              <w:spacing w:after="0" w:line="240" w:lineRule="auto"/>
              <w:jc w:val="center"/>
              <w:rPr>
                <w:rFonts w:asciiTheme="majorHAnsi" w:eastAsia="Times New Roman" w:hAnsiTheme="majorHAnsi" w:cs="Times New Roman"/>
                <w:color w:val="000000"/>
                <w:sz w:val="20"/>
                <w:szCs w:val="20"/>
              </w:rPr>
            </w:pPr>
            <w:r w:rsidRPr="00021755">
              <w:rPr>
                <w:rFonts w:asciiTheme="majorHAnsi" w:eastAsia="Times New Roman" w:hAnsiTheme="majorHAnsi" w:cs="Times New Roman"/>
                <w:color w:val="000000"/>
                <w:sz w:val="20"/>
                <w:szCs w:val="20"/>
              </w:rPr>
              <w:t>46:58:47</w:t>
            </w:r>
          </w:p>
        </w:tc>
        <w:tc>
          <w:tcPr>
            <w:tcW w:w="1220" w:type="dxa"/>
            <w:tcBorders>
              <w:top w:val="nil"/>
              <w:left w:val="nil"/>
              <w:bottom w:val="nil"/>
              <w:right w:val="nil"/>
            </w:tcBorders>
            <w:shd w:val="clear" w:color="auto" w:fill="D9D9D9" w:themeFill="background1" w:themeFillShade="D9"/>
            <w:noWrap/>
            <w:vAlign w:val="center"/>
            <w:hideMark/>
          </w:tcPr>
          <w:p w14:paraId="3358C300" w14:textId="77777777" w:rsidR="00021755" w:rsidRPr="00021755" w:rsidRDefault="00021755" w:rsidP="00632439">
            <w:pPr>
              <w:spacing w:after="0" w:line="240" w:lineRule="auto"/>
              <w:jc w:val="center"/>
              <w:rPr>
                <w:rFonts w:asciiTheme="majorHAnsi" w:eastAsia="Times New Roman" w:hAnsiTheme="majorHAnsi" w:cs="Times New Roman"/>
                <w:color w:val="000000"/>
                <w:sz w:val="20"/>
                <w:szCs w:val="20"/>
              </w:rPr>
            </w:pPr>
            <w:r w:rsidRPr="00021755">
              <w:rPr>
                <w:rFonts w:asciiTheme="majorHAnsi" w:eastAsia="Times New Roman" w:hAnsiTheme="majorHAnsi" w:cs="Times New Roman"/>
                <w:color w:val="000000"/>
                <w:sz w:val="20"/>
                <w:szCs w:val="20"/>
              </w:rPr>
              <w:t>0.54%</w:t>
            </w:r>
          </w:p>
        </w:tc>
      </w:tr>
    </w:tbl>
    <w:p w14:paraId="2C349F99" w14:textId="77777777" w:rsidR="00021755" w:rsidRDefault="00021755" w:rsidP="007B24CE">
      <w:pPr>
        <w:spacing w:after="120"/>
        <w:jc w:val="center"/>
        <w:rPr>
          <w:lang w:eastAsia="en-US"/>
        </w:rPr>
      </w:pPr>
    </w:p>
    <w:p w14:paraId="79DB83AD" w14:textId="76D2FC4C" w:rsidR="00021755" w:rsidRDefault="00021755" w:rsidP="007B24CE">
      <w:pPr>
        <w:pStyle w:val="Caption"/>
      </w:pPr>
      <w:bookmarkStart w:id="249" w:name="_Toc464323715"/>
      <w:r>
        <w:t xml:space="preserve">Figure </w:t>
      </w:r>
      <w:r w:rsidR="00432AD4">
        <w:fldChar w:fldCharType="begin"/>
      </w:r>
      <w:r w:rsidR="00432AD4">
        <w:instrText xml:space="preserve"> SEQ Figure \* ARABIC </w:instrText>
      </w:r>
      <w:r w:rsidR="00432AD4">
        <w:fldChar w:fldCharType="separate"/>
      </w:r>
      <w:r w:rsidR="008209A2">
        <w:rPr>
          <w:noProof/>
        </w:rPr>
        <w:t>73</w:t>
      </w:r>
      <w:r w:rsidR="00432AD4">
        <w:rPr>
          <w:noProof/>
        </w:rPr>
        <w:fldChar w:fldCharType="end"/>
      </w:r>
      <w:r w:rsidR="007B24CE">
        <w:t xml:space="preserve">: </w:t>
      </w:r>
      <w:r>
        <w:t>2015 Unit Hour Utilization (UHU)</w:t>
      </w:r>
      <w:bookmarkEnd w:id="249"/>
    </w:p>
    <w:tbl>
      <w:tblPr>
        <w:tblW w:w="5411" w:type="dxa"/>
        <w:jc w:val="center"/>
        <w:tblLook w:val="04A0" w:firstRow="1" w:lastRow="0" w:firstColumn="1" w:lastColumn="0" w:noHBand="0" w:noVBand="1"/>
      </w:tblPr>
      <w:tblGrid>
        <w:gridCol w:w="1520"/>
        <w:gridCol w:w="1640"/>
        <w:gridCol w:w="1151"/>
        <w:gridCol w:w="1100"/>
      </w:tblGrid>
      <w:tr w:rsidR="00021755" w:rsidRPr="008E0B01" w14:paraId="62FD4F4C" w14:textId="77777777" w:rsidTr="007B24CE">
        <w:trPr>
          <w:trHeight w:val="549"/>
          <w:tblHeader/>
          <w:jc w:val="center"/>
        </w:trPr>
        <w:tc>
          <w:tcPr>
            <w:tcW w:w="1520" w:type="dxa"/>
            <w:tcBorders>
              <w:top w:val="nil"/>
              <w:left w:val="nil"/>
              <w:bottom w:val="nil"/>
              <w:right w:val="nil"/>
            </w:tcBorders>
            <w:shd w:val="clear" w:color="auto" w:fill="1F497D" w:themeFill="text2"/>
            <w:noWrap/>
            <w:vAlign w:val="center"/>
            <w:hideMark/>
          </w:tcPr>
          <w:p w14:paraId="75576E8B" w14:textId="77777777" w:rsidR="00021755" w:rsidRPr="008E0B01" w:rsidRDefault="00021755" w:rsidP="00632439">
            <w:pPr>
              <w:spacing w:after="0" w:line="240" w:lineRule="auto"/>
              <w:jc w:val="center"/>
              <w:rPr>
                <w:rFonts w:eastAsia="Times New Roman" w:cs="Times New Roman"/>
                <w:b/>
                <w:bCs/>
                <w:color w:val="FFFFFF" w:themeColor="background1"/>
                <w:sz w:val="20"/>
                <w:szCs w:val="20"/>
              </w:rPr>
            </w:pPr>
            <w:r w:rsidRPr="008E0B01">
              <w:rPr>
                <w:rFonts w:eastAsia="Times New Roman" w:cs="Times New Roman"/>
                <w:b/>
                <w:bCs/>
                <w:color w:val="FFFFFF" w:themeColor="background1"/>
                <w:sz w:val="20"/>
                <w:szCs w:val="20"/>
              </w:rPr>
              <w:t>Apparatus</w:t>
            </w:r>
          </w:p>
        </w:tc>
        <w:tc>
          <w:tcPr>
            <w:tcW w:w="1640" w:type="dxa"/>
            <w:tcBorders>
              <w:top w:val="nil"/>
              <w:left w:val="nil"/>
              <w:bottom w:val="nil"/>
              <w:right w:val="nil"/>
            </w:tcBorders>
            <w:shd w:val="clear" w:color="auto" w:fill="1F497D" w:themeFill="text2"/>
            <w:vAlign w:val="center"/>
            <w:hideMark/>
          </w:tcPr>
          <w:p w14:paraId="3638BD83" w14:textId="77777777" w:rsidR="00021755" w:rsidRPr="008E0B01" w:rsidRDefault="00021755" w:rsidP="00632439">
            <w:pPr>
              <w:spacing w:after="0" w:line="240" w:lineRule="auto"/>
              <w:jc w:val="center"/>
              <w:rPr>
                <w:rFonts w:eastAsia="Times New Roman" w:cs="Times New Roman"/>
                <w:b/>
                <w:bCs/>
                <w:color w:val="FFFFFF" w:themeColor="background1"/>
                <w:sz w:val="20"/>
                <w:szCs w:val="20"/>
              </w:rPr>
            </w:pPr>
            <w:r w:rsidRPr="008E0B01">
              <w:rPr>
                <w:rFonts w:eastAsia="Times New Roman" w:cs="Times New Roman"/>
                <w:b/>
                <w:bCs/>
                <w:color w:val="FFFFFF" w:themeColor="background1"/>
                <w:sz w:val="20"/>
                <w:szCs w:val="20"/>
              </w:rPr>
              <w:t>Average Time Committed</w:t>
            </w:r>
          </w:p>
        </w:tc>
        <w:tc>
          <w:tcPr>
            <w:tcW w:w="1151" w:type="dxa"/>
            <w:tcBorders>
              <w:top w:val="nil"/>
              <w:left w:val="nil"/>
              <w:bottom w:val="nil"/>
              <w:right w:val="nil"/>
            </w:tcBorders>
            <w:shd w:val="clear" w:color="auto" w:fill="1F497D" w:themeFill="text2"/>
            <w:vAlign w:val="center"/>
          </w:tcPr>
          <w:p w14:paraId="39CB1D89" w14:textId="77777777" w:rsidR="00021755" w:rsidRPr="008E0B01" w:rsidRDefault="00021755" w:rsidP="00632439">
            <w:pPr>
              <w:spacing w:after="0" w:line="240" w:lineRule="auto"/>
              <w:jc w:val="center"/>
              <w:rPr>
                <w:rFonts w:eastAsia="Times New Roman" w:cs="Times New Roman"/>
                <w:b/>
                <w:bCs/>
                <w:color w:val="FFFFFF" w:themeColor="background1"/>
                <w:sz w:val="20"/>
                <w:szCs w:val="20"/>
              </w:rPr>
            </w:pPr>
            <w:r w:rsidRPr="008E0B01">
              <w:rPr>
                <w:rFonts w:eastAsia="Times New Roman" w:cs="Times New Roman"/>
                <w:b/>
                <w:bCs/>
                <w:color w:val="FFFFFF" w:themeColor="background1"/>
                <w:sz w:val="20"/>
                <w:szCs w:val="20"/>
              </w:rPr>
              <w:t>Total Time Committed</w:t>
            </w:r>
          </w:p>
        </w:tc>
        <w:tc>
          <w:tcPr>
            <w:tcW w:w="1100" w:type="dxa"/>
            <w:tcBorders>
              <w:top w:val="nil"/>
              <w:left w:val="nil"/>
              <w:bottom w:val="nil"/>
              <w:right w:val="nil"/>
            </w:tcBorders>
            <w:shd w:val="clear" w:color="auto" w:fill="1F497D" w:themeFill="text2"/>
            <w:noWrap/>
            <w:vAlign w:val="center"/>
            <w:hideMark/>
          </w:tcPr>
          <w:p w14:paraId="4038ED88" w14:textId="77777777" w:rsidR="00021755" w:rsidRPr="008E0B01" w:rsidRDefault="00021755" w:rsidP="00632439">
            <w:pPr>
              <w:spacing w:after="0" w:line="240" w:lineRule="auto"/>
              <w:jc w:val="center"/>
              <w:rPr>
                <w:rFonts w:eastAsia="Times New Roman" w:cs="Times New Roman"/>
                <w:b/>
                <w:bCs/>
                <w:color w:val="FFFFFF" w:themeColor="background1"/>
                <w:sz w:val="20"/>
                <w:szCs w:val="20"/>
              </w:rPr>
            </w:pPr>
            <w:r w:rsidRPr="008E0B01">
              <w:rPr>
                <w:rFonts w:eastAsia="Times New Roman" w:cs="Times New Roman"/>
                <w:b/>
                <w:bCs/>
                <w:color w:val="FFFFFF" w:themeColor="background1"/>
                <w:sz w:val="20"/>
                <w:szCs w:val="20"/>
              </w:rPr>
              <w:t>UHU Rate</w:t>
            </w:r>
          </w:p>
        </w:tc>
      </w:tr>
      <w:tr w:rsidR="00021755" w:rsidRPr="008E0B01" w14:paraId="2335F781" w14:textId="77777777" w:rsidTr="00632439">
        <w:trPr>
          <w:trHeight w:val="286"/>
          <w:jc w:val="center"/>
        </w:trPr>
        <w:tc>
          <w:tcPr>
            <w:tcW w:w="1520" w:type="dxa"/>
            <w:tcBorders>
              <w:top w:val="nil"/>
              <w:left w:val="nil"/>
              <w:right w:val="nil"/>
            </w:tcBorders>
            <w:shd w:val="clear" w:color="auto" w:fill="auto"/>
            <w:noWrap/>
            <w:vAlign w:val="center"/>
            <w:hideMark/>
          </w:tcPr>
          <w:p w14:paraId="2AD80F18" w14:textId="77777777" w:rsidR="00021755" w:rsidRPr="008E0B01" w:rsidRDefault="00021755" w:rsidP="00632439">
            <w:pPr>
              <w:spacing w:after="0" w:line="240" w:lineRule="auto"/>
              <w:jc w:val="center"/>
              <w:rPr>
                <w:rFonts w:eastAsia="Times New Roman" w:cs="Times New Roman"/>
                <w:color w:val="000000"/>
                <w:sz w:val="20"/>
                <w:szCs w:val="20"/>
              </w:rPr>
            </w:pPr>
            <w:r w:rsidRPr="008E0B01">
              <w:rPr>
                <w:rFonts w:eastAsia="Times New Roman" w:cs="Times New Roman"/>
                <w:color w:val="000000"/>
                <w:sz w:val="20"/>
                <w:szCs w:val="20"/>
              </w:rPr>
              <w:t>AR281</w:t>
            </w:r>
          </w:p>
        </w:tc>
        <w:tc>
          <w:tcPr>
            <w:tcW w:w="1640" w:type="dxa"/>
            <w:tcBorders>
              <w:top w:val="nil"/>
              <w:left w:val="nil"/>
              <w:right w:val="nil"/>
            </w:tcBorders>
            <w:shd w:val="clear" w:color="auto" w:fill="auto"/>
            <w:noWrap/>
            <w:vAlign w:val="center"/>
            <w:hideMark/>
          </w:tcPr>
          <w:p w14:paraId="3DC7E88E" w14:textId="77777777" w:rsidR="00021755" w:rsidRPr="008E0B01" w:rsidRDefault="00021755" w:rsidP="00632439">
            <w:pPr>
              <w:spacing w:after="0" w:line="240" w:lineRule="auto"/>
              <w:jc w:val="center"/>
              <w:rPr>
                <w:rFonts w:eastAsia="Times New Roman" w:cs="Times New Roman"/>
                <w:color w:val="000000"/>
                <w:sz w:val="20"/>
                <w:szCs w:val="20"/>
              </w:rPr>
            </w:pPr>
            <w:r w:rsidRPr="008E0B01">
              <w:rPr>
                <w:rFonts w:eastAsia="Times New Roman" w:cs="Times New Roman"/>
                <w:color w:val="000000"/>
                <w:sz w:val="20"/>
                <w:szCs w:val="20"/>
              </w:rPr>
              <w:t>31:26</w:t>
            </w:r>
          </w:p>
        </w:tc>
        <w:tc>
          <w:tcPr>
            <w:tcW w:w="1151" w:type="dxa"/>
            <w:tcBorders>
              <w:top w:val="nil"/>
              <w:left w:val="nil"/>
              <w:right w:val="nil"/>
            </w:tcBorders>
            <w:vAlign w:val="center"/>
          </w:tcPr>
          <w:p w14:paraId="39316B73" w14:textId="77777777" w:rsidR="00021755" w:rsidRPr="008E0B01" w:rsidRDefault="00021755" w:rsidP="00632439">
            <w:pPr>
              <w:spacing w:after="0" w:line="240" w:lineRule="auto"/>
              <w:jc w:val="center"/>
              <w:rPr>
                <w:rFonts w:eastAsia="Times New Roman" w:cs="Times New Roman"/>
                <w:color w:val="000000"/>
                <w:sz w:val="20"/>
                <w:szCs w:val="20"/>
              </w:rPr>
            </w:pPr>
            <w:r w:rsidRPr="008E0B01">
              <w:rPr>
                <w:rFonts w:eastAsia="Times New Roman" w:cs="Times New Roman"/>
                <w:color w:val="000000"/>
                <w:sz w:val="20"/>
                <w:szCs w:val="20"/>
              </w:rPr>
              <w:t>7:51:28</w:t>
            </w:r>
          </w:p>
        </w:tc>
        <w:tc>
          <w:tcPr>
            <w:tcW w:w="1100" w:type="dxa"/>
            <w:tcBorders>
              <w:top w:val="nil"/>
              <w:left w:val="nil"/>
              <w:right w:val="nil"/>
            </w:tcBorders>
            <w:shd w:val="clear" w:color="auto" w:fill="auto"/>
            <w:noWrap/>
            <w:vAlign w:val="center"/>
            <w:hideMark/>
          </w:tcPr>
          <w:p w14:paraId="37F3E8C7" w14:textId="77777777" w:rsidR="00021755" w:rsidRPr="008E0B01" w:rsidRDefault="00021755" w:rsidP="00632439">
            <w:pPr>
              <w:spacing w:after="0" w:line="240" w:lineRule="auto"/>
              <w:jc w:val="center"/>
              <w:rPr>
                <w:rFonts w:eastAsia="Times New Roman" w:cs="Times New Roman"/>
                <w:color w:val="000000"/>
                <w:sz w:val="20"/>
                <w:szCs w:val="20"/>
              </w:rPr>
            </w:pPr>
            <w:r w:rsidRPr="008E0B01">
              <w:rPr>
                <w:rFonts w:eastAsia="Times New Roman" w:cs="Times New Roman"/>
                <w:color w:val="000000"/>
                <w:sz w:val="20"/>
                <w:szCs w:val="20"/>
              </w:rPr>
              <w:t>0.09%</w:t>
            </w:r>
          </w:p>
        </w:tc>
      </w:tr>
      <w:tr w:rsidR="00021755" w:rsidRPr="008E0B01" w14:paraId="60ADCA46" w14:textId="77777777" w:rsidTr="00632439">
        <w:trPr>
          <w:trHeight w:val="286"/>
          <w:jc w:val="center"/>
        </w:trPr>
        <w:tc>
          <w:tcPr>
            <w:tcW w:w="1520" w:type="dxa"/>
            <w:tcBorders>
              <w:top w:val="nil"/>
              <w:left w:val="nil"/>
              <w:bottom w:val="nil"/>
              <w:right w:val="nil"/>
            </w:tcBorders>
            <w:shd w:val="clear" w:color="auto" w:fill="D9D9D9" w:themeFill="background1" w:themeFillShade="D9"/>
            <w:noWrap/>
            <w:vAlign w:val="center"/>
            <w:hideMark/>
          </w:tcPr>
          <w:p w14:paraId="6864E834" w14:textId="77777777" w:rsidR="00021755" w:rsidRPr="008E0B01" w:rsidRDefault="00021755" w:rsidP="00632439">
            <w:pPr>
              <w:spacing w:after="0" w:line="240" w:lineRule="auto"/>
              <w:jc w:val="center"/>
              <w:rPr>
                <w:rFonts w:eastAsia="Times New Roman" w:cs="Times New Roman"/>
                <w:color w:val="000000"/>
                <w:sz w:val="20"/>
                <w:szCs w:val="20"/>
              </w:rPr>
            </w:pPr>
            <w:r w:rsidRPr="008E0B01">
              <w:rPr>
                <w:rFonts w:eastAsia="Times New Roman" w:cs="Times New Roman"/>
                <w:color w:val="000000"/>
                <w:sz w:val="20"/>
                <w:szCs w:val="20"/>
              </w:rPr>
              <w:t>AR282</w:t>
            </w:r>
          </w:p>
        </w:tc>
        <w:tc>
          <w:tcPr>
            <w:tcW w:w="1640" w:type="dxa"/>
            <w:tcBorders>
              <w:top w:val="nil"/>
              <w:left w:val="nil"/>
              <w:bottom w:val="nil"/>
              <w:right w:val="nil"/>
            </w:tcBorders>
            <w:shd w:val="clear" w:color="auto" w:fill="D9D9D9" w:themeFill="background1" w:themeFillShade="D9"/>
            <w:noWrap/>
            <w:vAlign w:val="center"/>
            <w:hideMark/>
          </w:tcPr>
          <w:p w14:paraId="022CF2A7" w14:textId="77777777" w:rsidR="00021755" w:rsidRPr="008E0B01" w:rsidRDefault="00021755" w:rsidP="00632439">
            <w:pPr>
              <w:spacing w:after="0" w:line="240" w:lineRule="auto"/>
              <w:jc w:val="center"/>
              <w:rPr>
                <w:rFonts w:eastAsia="Times New Roman" w:cs="Times New Roman"/>
                <w:color w:val="000000"/>
                <w:sz w:val="20"/>
                <w:szCs w:val="20"/>
              </w:rPr>
            </w:pPr>
            <w:r w:rsidRPr="008E0B01">
              <w:rPr>
                <w:rFonts w:eastAsia="Times New Roman" w:cs="Times New Roman"/>
                <w:color w:val="000000"/>
                <w:sz w:val="20"/>
                <w:szCs w:val="20"/>
              </w:rPr>
              <w:t>51:04</w:t>
            </w:r>
          </w:p>
        </w:tc>
        <w:tc>
          <w:tcPr>
            <w:tcW w:w="1151" w:type="dxa"/>
            <w:tcBorders>
              <w:top w:val="nil"/>
              <w:left w:val="nil"/>
              <w:bottom w:val="nil"/>
              <w:right w:val="nil"/>
            </w:tcBorders>
            <w:shd w:val="clear" w:color="auto" w:fill="D9D9D9" w:themeFill="background1" w:themeFillShade="D9"/>
            <w:vAlign w:val="center"/>
          </w:tcPr>
          <w:p w14:paraId="1165A964" w14:textId="77777777" w:rsidR="00021755" w:rsidRPr="008E0B01" w:rsidRDefault="00021755" w:rsidP="00632439">
            <w:pPr>
              <w:spacing w:after="0" w:line="240" w:lineRule="auto"/>
              <w:jc w:val="center"/>
              <w:rPr>
                <w:rFonts w:eastAsia="Times New Roman" w:cs="Times New Roman"/>
                <w:color w:val="000000"/>
                <w:sz w:val="20"/>
                <w:szCs w:val="20"/>
              </w:rPr>
            </w:pPr>
            <w:r w:rsidRPr="008E0B01">
              <w:rPr>
                <w:rFonts w:eastAsia="Times New Roman" w:cs="Times New Roman"/>
                <w:color w:val="000000"/>
                <w:sz w:val="20"/>
                <w:szCs w:val="20"/>
              </w:rPr>
              <w:t>3:24:17</w:t>
            </w:r>
          </w:p>
        </w:tc>
        <w:tc>
          <w:tcPr>
            <w:tcW w:w="1100" w:type="dxa"/>
            <w:tcBorders>
              <w:top w:val="nil"/>
              <w:left w:val="nil"/>
              <w:bottom w:val="nil"/>
              <w:right w:val="nil"/>
            </w:tcBorders>
            <w:shd w:val="clear" w:color="auto" w:fill="D9D9D9" w:themeFill="background1" w:themeFillShade="D9"/>
            <w:noWrap/>
            <w:vAlign w:val="center"/>
            <w:hideMark/>
          </w:tcPr>
          <w:p w14:paraId="04202811" w14:textId="77777777" w:rsidR="00021755" w:rsidRPr="008E0B01" w:rsidRDefault="00021755" w:rsidP="00632439">
            <w:pPr>
              <w:spacing w:after="0" w:line="240" w:lineRule="auto"/>
              <w:jc w:val="center"/>
              <w:rPr>
                <w:rFonts w:eastAsia="Times New Roman" w:cs="Times New Roman"/>
                <w:color w:val="000000"/>
                <w:sz w:val="20"/>
                <w:szCs w:val="20"/>
              </w:rPr>
            </w:pPr>
            <w:r w:rsidRPr="008E0B01">
              <w:rPr>
                <w:rFonts w:eastAsia="Times New Roman" w:cs="Times New Roman"/>
                <w:color w:val="000000"/>
                <w:sz w:val="20"/>
                <w:szCs w:val="20"/>
              </w:rPr>
              <w:t>0.04%</w:t>
            </w:r>
          </w:p>
        </w:tc>
      </w:tr>
      <w:tr w:rsidR="00021755" w:rsidRPr="008E0B01" w14:paraId="7D599455" w14:textId="77777777" w:rsidTr="00632439">
        <w:trPr>
          <w:trHeight w:val="286"/>
          <w:jc w:val="center"/>
        </w:trPr>
        <w:tc>
          <w:tcPr>
            <w:tcW w:w="1520" w:type="dxa"/>
            <w:tcBorders>
              <w:top w:val="nil"/>
              <w:left w:val="nil"/>
              <w:right w:val="nil"/>
            </w:tcBorders>
            <w:shd w:val="clear" w:color="auto" w:fill="auto"/>
            <w:noWrap/>
            <w:vAlign w:val="center"/>
            <w:hideMark/>
          </w:tcPr>
          <w:p w14:paraId="0635BED1" w14:textId="77777777" w:rsidR="00021755" w:rsidRPr="008E0B01" w:rsidRDefault="00021755" w:rsidP="00632439">
            <w:pPr>
              <w:spacing w:after="0" w:line="240" w:lineRule="auto"/>
              <w:jc w:val="center"/>
              <w:rPr>
                <w:rFonts w:eastAsia="Times New Roman" w:cs="Times New Roman"/>
                <w:color w:val="000000"/>
                <w:sz w:val="20"/>
                <w:szCs w:val="20"/>
              </w:rPr>
            </w:pPr>
            <w:r w:rsidRPr="008E0B01">
              <w:rPr>
                <w:rFonts w:eastAsia="Times New Roman" w:cs="Times New Roman"/>
                <w:color w:val="000000"/>
                <w:sz w:val="20"/>
                <w:szCs w:val="20"/>
              </w:rPr>
              <w:t>BC281</w:t>
            </w:r>
          </w:p>
        </w:tc>
        <w:tc>
          <w:tcPr>
            <w:tcW w:w="1640" w:type="dxa"/>
            <w:tcBorders>
              <w:top w:val="nil"/>
              <w:left w:val="nil"/>
              <w:right w:val="nil"/>
            </w:tcBorders>
            <w:shd w:val="clear" w:color="auto" w:fill="auto"/>
            <w:noWrap/>
            <w:vAlign w:val="center"/>
            <w:hideMark/>
          </w:tcPr>
          <w:p w14:paraId="56E6142B" w14:textId="77777777" w:rsidR="00021755" w:rsidRPr="008E0B01" w:rsidRDefault="00021755" w:rsidP="00632439">
            <w:pPr>
              <w:spacing w:after="0" w:line="240" w:lineRule="auto"/>
              <w:jc w:val="center"/>
              <w:rPr>
                <w:rFonts w:eastAsia="Times New Roman" w:cs="Times New Roman"/>
                <w:color w:val="000000"/>
                <w:sz w:val="20"/>
                <w:szCs w:val="20"/>
              </w:rPr>
            </w:pPr>
            <w:r w:rsidRPr="008E0B01">
              <w:rPr>
                <w:rFonts w:eastAsia="Times New Roman" w:cs="Times New Roman"/>
                <w:color w:val="000000"/>
                <w:sz w:val="20"/>
                <w:szCs w:val="20"/>
              </w:rPr>
              <w:t>21:21</w:t>
            </w:r>
          </w:p>
        </w:tc>
        <w:tc>
          <w:tcPr>
            <w:tcW w:w="1151" w:type="dxa"/>
            <w:tcBorders>
              <w:top w:val="nil"/>
              <w:left w:val="nil"/>
              <w:right w:val="nil"/>
            </w:tcBorders>
            <w:vAlign w:val="center"/>
          </w:tcPr>
          <w:p w14:paraId="53A090F5" w14:textId="77777777" w:rsidR="00021755" w:rsidRPr="008E0B01" w:rsidRDefault="00021755" w:rsidP="00632439">
            <w:pPr>
              <w:spacing w:after="0" w:line="240" w:lineRule="auto"/>
              <w:jc w:val="center"/>
              <w:rPr>
                <w:rFonts w:eastAsia="Times New Roman" w:cs="Times New Roman"/>
                <w:color w:val="000000"/>
                <w:sz w:val="20"/>
                <w:szCs w:val="20"/>
              </w:rPr>
            </w:pPr>
            <w:r w:rsidRPr="008E0B01">
              <w:rPr>
                <w:rFonts w:eastAsia="Times New Roman" w:cs="Times New Roman"/>
                <w:color w:val="000000"/>
                <w:sz w:val="20"/>
                <w:szCs w:val="20"/>
              </w:rPr>
              <w:t>310:31:22</w:t>
            </w:r>
          </w:p>
        </w:tc>
        <w:tc>
          <w:tcPr>
            <w:tcW w:w="1100" w:type="dxa"/>
            <w:tcBorders>
              <w:top w:val="nil"/>
              <w:left w:val="nil"/>
              <w:right w:val="nil"/>
            </w:tcBorders>
            <w:shd w:val="clear" w:color="auto" w:fill="auto"/>
            <w:noWrap/>
            <w:vAlign w:val="center"/>
            <w:hideMark/>
          </w:tcPr>
          <w:p w14:paraId="51E5F0F4" w14:textId="77777777" w:rsidR="00021755" w:rsidRPr="008E0B01" w:rsidRDefault="00021755" w:rsidP="00632439">
            <w:pPr>
              <w:spacing w:after="0" w:line="240" w:lineRule="auto"/>
              <w:jc w:val="center"/>
              <w:rPr>
                <w:rFonts w:eastAsia="Times New Roman" w:cs="Times New Roman"/>
                <w:color w:val="000000"/>
                <w:sz w:val="20"/>
                <w:szCs w:val="20"/>
              </w:rPr>
            </w:pPr>
            <w:r w:rsidRPr="008E0B01">
              <w:rPr>
                <w:rFonts w:eastAsia="Times New Roman" w:cs="Times New Roman"/>
                <w:color w:val="000000"/>
                <w:sz w:val="20"/>
                <w:szCs w:val="20"/>
              </w:rPr>
              <w:t>3.54%</w:t>
            </w:r>
          </w:p>
        </w:tc>
      </w:tr>
      <w:tr w:rsidR="00021755" w:rsidRPr="008E0B01" w14:paraId="2EE14871" w14:textId="77777777" w:rsidTr="00632439">
        <w:trPr>
          <w:trHeight w:val="286"/>
          <w:jc w:val="center"/>
        </w:trPr>
        <w:tc>
          <w:tcPr>
            <w:tcW w:w="1520" w:type="dxa"/>
            <w:tcBorders>
              <w:top w:val="nil"/>
              <w:left w:val="nil"/>
              <w:bottom w:val="nil"/>
              <w:right w:val="nil"/>
            </w:tcBorders>
            <w:shd w:val="clear" w:color="auto" w:fill="D9D9D9" w:themeFill="background1" w:themeFillShade="D9"/>
            <w:noWrap/>
            <w:vAlign w:val="center"/>
            <w:hideMark/>
          </w:tcPr>
          <w:p w14:paraId="709C7CF5" w14:textId="77777777" w:rsidR="00021755" w:rsidRPr="008E0B01" w:rsidRDefault="00021755" w:rsidP="00632439">
            <w:pPr>
              <w:spacing w:after="0" w:line="240" w:lineRule="auto"/>
              <w:jc w:val="center"/>
              <w:rPr>
                <w:rFonts w:eastAsia="Times New Roman" w:cs="Times New Roman"/>
                <w:color w:val="000000"/>
                <w:sz w:val="20"/>
                <w:szCs w:val="20"/>
              </w:rPr>
            </w:pPr>
            <w:r w:rsidRPr="008E0B01">
              <w:rPr>
                <w:rFonts w:eastAsia="Times New Roman" w:cs="Times New Roman"/>
                <w:color w:val="000000"/>
                <w:sz w:val="20"/>
                <w:szCs w:val="20"/>
              </w:rPr>
              <w:t>E2811</w:t>
            </w:r>
          </w:p>
        </w:tc>
        <w:tc>
          <w:tcPr>
            <w:tcW w:w="1640" w:type="dxa"/>
            <w:tcBorders>
              <w:top w:val="nil"/>
              <w:left w:val="nil"/>
              <w:bottom w:val="nil"/>
              <w:right w:val="nil"/>
            </w:tcBorders>
            <w:shd w:val="clear" w:color="auto" w:fill="D9D9D9" w:themeFill="background1" w:themeFillShade="D9"/>
            <w:noWrap/>
            <w:vAlign w:val="center"/>
            <w:hideMark/>
          </w:tcPr>
          <w:p w14:paraId="3E72BB6A" w14:textId="77777777" w:rsidR="00021755" w:rsidRPr="008E0B01" w:rsidRDefault="00021755" w:rsidP="00632439">
            <w:pPr>
              <w:spacing w:after="0" w:line="240" w:lineRule="auto"/>
              <w:jc w:val="center"/>
              <w:rPr>
                <w:rFonts w:eastAsia="Times New Roman" w:cs="Times New Roman"/>
                <w:color w:val="000000"/>
                <w:sz w:val="20"/>
                <w:szCs w:val="20"/>
              </w:rPr>
            </w:pPr>
            <w:r w:rsidRPr="008E0B01">
              <w:rPr>
                <w:rFonts w:eastAsia="Times New Roman" w:cs="Times New Roman"/>
                <w:color w:val="000000"/>
                <w:sz w:val="20"/>
                <w:szCs w:val="20"/>
              </w:rPr>
              <w:t>18:01</w:t>
            </w:r>
          </w:p>
        </w:tc>
        <w:tc>
          <w:tcPr>
            <w:tcW w:w="1151" w:type="dxa"/>
            <w:tcBorders>
              <w:top w:val="nil"/>
              <w:left w:val="nil"/>
              <w:bottom w:val="nil"/>
              <w:right w:val="nil"/>
            </w:tcBorders>
            <w:shd w:val="clear" w:color="auto" w:fill="D9D9D9" w:themeFill="background1" w:themeFillShade="D9"/>
            <w:vAlign w:val="center"/>
          </w:tcPr>
          <w:p w14:paraId="528CA773" w14:textId="77777777" w:rsidR="00021755" w:rsidRPr="008E0B01" w:rsidRDefault="00021755" w:rsidP="00632439">
            <w:pPr>
              <w:spacing w:after="0" w:line="240" w:lineRule="auto"/>
              <w:jc w:val="center"/>
              <w:rPr>
                <w:rFonts w:eastAsia="Times New Roman" w:cs="Times New Roman"/>
                <w:color w:val="000000"/>
                <w:sz w:val="20"/>
                <w:szCs w:val="20"/>
              </w:rPr>
            </w:pPr>
            <w:r w:rsidRPr="008E0B01">
              <w:rPr>
                <w:rFonts w:eastAsia="Times New Roman" w:cs="Times New Roman"/>
                <w:color w:val="000000"/>
                <w:sz w:val="20"/>
                <w:szCs w:val="20"/>
              </w:rPr>
              <w:t>501:59:15</w:t>
            </w:r>
          </w:p>
        </w:tc>
        <w:tc>
          <w:tcPr>
            <w:tcW w:w="1100" w:type="dxa"/>
            <w:tcBorders>
              <w:top w:val="nil"/>
              <w:left w:val="nil"/>
              <w:bottom w:val="nil"/>
              <w:right w:val="nil"/>
            </w:tcBorders>
            <w:shd w:val="clear" w:color="auto" w:fill="D9D9D9" w:themeFill="background1" w:themeFillShade="D9"/>
            <w:noWrap/>
            <w:vAlign w:val="center"/>
            <w:hideMark/>
          </w:tcPr>
          <w:p w14:paraId="7900CDBA" w14:textId="77777777" w:rsidR="00021755" w:rsidRPr="008E0B01" w:rsidRDefault="00021755" w:rsidP="00632439">
            <w:pPr>
              <w:spacing w:after="0" w:line="240" w:lineRule="auto"/>
              <w:jc w:val="center"/>
              <w:rPr>
                <w:rFonts w:eastAsia="Times New Roman" w:cs="Times New Roman"/>
                <w:color w:val="000000"/>
                <w:sz w:val="20"/>
                <w:szCs w:val="20"/>
              </w:rPr>
            </w:pPr>
            <w:r w:rsidRPr="008E0B01">
              <w:rPr>
                <w:rFonts w:eastAsia="Times New Roman" w:cs="Times New Roman"/>
                <w:color w:val="000000"/>
                <w:sz w:val="20"/>
                <w:szCs w:val="20"/>
              </w:rPr>
              <w:t>5.73%</w:t>
            </w:r>
          </w:p>
        </w:tc>
      </w:tr>
      <w:tr w:rsidR="00021755" w:rsidRPr="008E0B01" w14:paraId="3D4C6A13" w14:textId="77777777" w:rsidTr="00632439">
        <w:trPr>
          <w:trHeight w:val="286"/>
          <w:jc w:val="center"/>
        </w:trPr>
        <w:tc>
          <w:tcPr>
            <w:tcW w:w="1520" w:type="dxa"/>
            <w:tcBorders>
              <w:top w:val="nil"/>
              <w:left w:val="nil"/>
              <w:right w:val="nil"/>
            </w:tcBorders>
            <w:shd w:val="clear" w:color="auto" w:fill="auto"/>
            <w:noWrap/>
            <w:vAlign w:val="center"/>
            <w:hideMark/>
          </w:tcPr>
          <w:p w14:paraId="13A4D1DF" w14:textId="77777777" w:rsidR="00021755" w:rsidRPr="008E0B01" w:rsidRDefault="00021755" w:rsidP="00632439">
            <w:pPr>
              <w:spacing w:after="0" w:line="240" w:lineRule="auto"/>
              <w:jc w:val="center"/>
              <w:rPr>
                <w:rFonts w:eastAsia="Times New Roman" w:cs="Times New Roman"/>
                <w:color w:val="000000"/>
                <w:sz w:val="20"/>
                <w:szCs w:val="20"/>
              </w:rPr>
            </w:pPr>
            <w:r w:rsidRPr="008E0B01">
              <w:rPr>
                <w:rFonts w:eastAsia="Times New Roman" w:cs="Times New Roman"/>
                <w:color w:val="000000"/>
                <w:sz w:val="20"/>
                <w:szCs w:val="20"/>
              </w:rPr>
              <w:t>E2813</w:t>
            </w:r>
          </w:p>
        </w:tc>
        <w:tc>
          <w:tcPr>
            <w:tcW w:w="1640" w:type="dxa"/>
            <w:tcBorders>
              <w:top w:val="nil"/>
              <w:left w:val="nil"/>
              <w:right w:val="nil"/>
            </w:tcBorders>
            <w:shd w:val="clear" w:color="auto" w:fill="auto"/>
            <w:noWrap/>
            <w:vAlign w:val="center"/>
            <w:hideMark/>
          </w:tcPr>
          <w:p w14:paraId="3514220B" w14:textId="77777777" w:rsidR="00021755" w:rsidRPr="008E0B01" w:rsidRDefault="00021755" w:rsidP="00632439">
            <w:pPr>
              <w:spacing w:after="0" w:line="240" w:lineRule="auto"/>
              <w:jc w:val="center"/>
              <w:rPr>
                <w:rFonts w:eastAsia="Times New Roman" w:cs="Times New Roman"/>
                <w:color w:val="000000"/>
                <w:sz w:val="20"/>
                <w:szCs w:val="20"/>
              </w:rPr>
            </w:pPr>
            <w:r w:rsidRPr="008E0B01">
              <w:rPr>
                <w:rFonts w:eastAsia="Times New Roman" w:cs="Times New Roman"/>
                <w:color w:val="000000"/>
                <w:sz w:val="20"/>
                <w:szCs w:val="20"/>
              </w:rPr>
              <w:t>19:51</w:t>
            </w:r>
          </w:p>
        </w:tc>
        <w:tc>
          <w:tcPr>
            <w:tcW w:w="1151" w:type="dxa"/>
            <w:tcBorders>
              <w:top w:val="nil"/>
              <w:left w:val="nil"/>
              <w:right w:val="nil"/>
            </w:tcBorders>
            <w:vAlign w:val="center"/>
          </w:tcPr>
          <w:p w14:paraId="606AC527" w14:textId="77777777" w:rsidR="00021755" w:rsidRPr="008E0B01" w:rsidRDefault="00021755" w:rsidP="00632439">
            <w:pPr>
              <w:spacing w:after="0" w:line="240" w:lineRule="auto"/>
              <w:jc w:val="center"/>
              <w:rPr>
                <w:rFonts w:eastAsia="Times New Roman" w:cs="Times New Roman"/>
                <w:color w:val="000000"/>
                <w:sz w:val="20"/>
                <w:szCs w:val="20"/>
              </w:rPr>
            </w:pPr>
            <w:r w:rsidRPr="008E0B01">
              <w:rPr>
                <w:rFonts w:eastAsia="Times New Roman" w:cs="Times New Roman"/>
                <w:color w:val="000000"/>
                <w:sz w:val="20"/>
                <w:szCs w:val="20"/>
              </w:rPr>
              <w:t>497:22:23</w:t>
            </w:r>
          </w:p>
        </w:tc>
        <w:tc>
          <w:tcPr>
            <w:tcW w:w="1100" w:type="dxa"/>
            <w:tcBorders>
              <w:top w:val="nil"/>
              <w:left w:val="nil"/>
              <w:right w:val="nil"/>
            </w:tcBorders>
            <w:shd w:val="clear" w:color="auto" w:fill="auto"/>
            <w:noWrap/>
            <w:vAlign w:val="center"/>
            <w:hideMark/>
          </w:tcPr>
          <w:p w14:paraId="7B1A5C1B" w14:textId="77777777" w:rsidR="00021755" w:rsidRPr="008E0B01" w:rsidRDefault="00021755" w:rsidP="00632439">
            <w:pPr>
              <w:spacing w:after="0" w:line="240" w:lineRule="auto"/>
              <w:jc w:val="center"/>
              <w:rPr>
                <w:rFonts w:eastAsia="Times New Roman" w:cs="Times New Roman"/>
                <w:color w:val="000000"/>
                <w:sz w:val="20"/>
                <w:szCs w:val="20"/>
              </w:rPr>
            </w:pPr>
            <w:r w:rsidRPr="008E0B01">
              <w:rPr>
                <w:rFonts w:eastAsia="Times New Roman" w:cs="Times New Roman"/>
                <w:color w:val="000000"/>
                <w:sz w:val="20"/>
                <w:szCs w:val="20"/>
              </w:rPr>
              <w:t>5.68%</w:t>
            </w:r>
          </w:p>
        </w:tc>
      </w:tr>
      <w:tr w:rsidR="00021755" w:rsidRPr="008E0B01" w14:paraId="06A77E8F" w14:textId="77777777" w:rsidTr="00632439">
        <w:trPr>
          <w:trHeight w:val="286"/>
          <w:jc w:val="center"/>
        </w:trPr>
        <w:tc>
          <w:tcPr>
            <w:tcW w:w="1520" w:type="dxa"/>
            <w:tcBorders>
              <w:top w:val="nil"/>
              <w:left w:val="nil"/>
              <w:bottom w:val="nil"/>
              <w:right w:val="nil"/>
            </w:tcBorders>
            <w:shd w:val="clear" w:color="auto" w:fill="D9D9D9" w:themeFill="background1" w:themeFillShade="D9"/>
            <w:noWrap/>
            <w:vAlign w:val="center"/>
            <w:hideMark/>
          </w:tcPr>
          <w:p w14:paraId="378E34E4" w14:textId="77777777" w:rsidR="00021755" w:rsidRPr="008E0B01" w:rsidRDefault="00021755" w:rsidP="00632439">
            <w:pPr>
              <w:spacing w:after="0" w:line="240" w:lineRule="auto"/>
              <w:jc w:val="center"/>
              <w:rPr>
                <w:rFonts w:eastAsia="Times New Roman" w:cs="Times New Roman"/>
                <w:color w:val="000000"/>
                <w:sz w:val="20"/>
                <w:szCs w:val="20"/>
              </w:rPr>
            </w:pPr>
            <w:r w:rsidRPr="008E0B01">
              <w:rPr>
                <w:rFonts w:eastAsia="Times New Roman" w:cs="Times New Roman"/>
                <w:color w:val="000000"/>
                <w:sz w:val="20"/>
                <w:szCs w:val="20"/>
              </w:rPr>
              <w:t>E2819</w:t>
            </w:r>
          </w:p>
        </w:tc>
        <w:tc>
          <w:tcPr>
            <w:tcW w:w="1640" w:type="dxa"/>
            <w:tcBorders>
              <w:top w:val="nil"/>
              <w:left w:val="nil"/>
              <w:bottom w:val="nil"/>
              <w:right w:val="nil"/>
            </w:tcBorders>
            <w:shd w:val="clear" w:color="auto" w:fill="D9D9D9" w:themeFill="background1" w:themeFillShade="D9"/>
            <w:noWrap/>
            <w:vAlign w:val="center"/>
            <w:hideMark/>
          </w:tcPr>
          <w:p w14:paraId="658FEE6F" w14:textId="77777777" w:rsidR="00021755" w:rsidRPr="008E0B01" w:rsidRDefault="00021755" w:rsidP="00632439">
            <w:pPr>
              <w:spacing w:after="0" w:line="240" w:lineRule="auto"/>
              <w:jc w:val="center"/>
              <w:rPr>
                <w:rFonts w:eastAsia="Times New Roman" w:cs="Times New Roman"/>
                <w:color w:val="000000"/>
                <w:sz w:val="20"/>
                <w:szCs w:val="20"/>
              </w:rPr>
            </w:pPr>
            <w:r w:rsidRPr="008E0B01">
              <w:rPr>
                <w:rFonts w:eastAsia="Times New Roman" w:cs="Times New Roman"/>
                <w:color w:val="000000"/>
                <w:sz w:val="20"/>
                <w:szCs w:val="20"/>
              </w:rPr>
              <w:t>21:08</w:t>
            </w:r>
          </w:p>
        </w:tc>
        <w:tc>
          <w:tcPr>
            <w:tcW w:w="1151" w:type="dxa"/>
            <w:tcBorders>
              <w:top w:val="nil"/>
              <w:left w:val="nil"/>
              <w:bottom w:val="nil"/>
              <w:right w:val="nil"/>
            </w:tcBorders>
            <w:shd w:val="clear" w:color="auto" w:fill="D9D9D9" w:themeFill="background1" w:themeFillShade="D9"/>
            <w:vAlign w:val="center"/>
          </w:tcPr>
          <w:p w14:paraId="5DBB0FD5" w14:textId="77777777" w:rsidR="00021755" w:rsidRPr="008E0B01" w:rsidRDefault="00021755" w:rsidP="00632439">
            <w:pPr>
              <w:spacing w:after="0" w:line="240" w:lineRule="auto"/>
              <w:jc w:val="center"/>
              <w:rPr>
                <w:rFonts w:eastAsia="Times New Roman" w:cs="Times New Roman"/>
                <w:color w:val="000000"/>
                <w:sz w:val="20"/>
                <w:szCs w:val="20"/>
              </w:rPr>
            </w:pPr>
            <w:r w:rsidRPr="008E0B01">
              <w:rPr>
                <w:rFonts w:eastAsia="Times New Roman" w:cs="Times New Roman"/>
                <w:color w:val="000000"/>
                <w:sz w:val="20"/>
                <w:szCs w:val="20"/>
              </w:rPr>
              <w:t>59:52:02</w:t>
            </w:r>
          </w:p>
        </w:tc>
        <w:tc>
          <w:tcPr>
            <w:tcW w:w="1100" w:type="dxa"/>
            <w:tcBorders>
              <w:top w:val="nil"/>
              <w:left w:val="nil"/>
              <w:bottom w:val="nil"/>
              <w:right w:val="nil"/>
            </w:tcBorders>
            <w:shd w:val="clear" w:color="auto" w:fill="D9D9D9" w:themeFill="background1" w:themeFillShade="D9"/>
            <w:noWrap/>
            <w:vAlign w:val="center"/>
            <w:hideMark/>
          </w:tcPr>
          <w:p w14:paraId="6C5B53B7" w14:textId="77777777" w:rsidR="00021755" w:rsidRPr="008E0B01" w:rsidRDefault="00021755" w:rsidP="00632439">
            <w:pPr>
              <w:spacing w:after="0" w:line="240" w:lineRule="auto"/>
              <w:jc w:val="center"/>
              <w:rPr>
                <w:rFonts w:eastAsia="Times New Roman" w:cs="Times New Roman"/>
                <w:color w:val="000000"/>
                <w:sz w:val="20"/>
                <w:szCs w:val="20"/>
              </w:rPr>
            </w:pPr>
            <w:r w:rsidRPr="008E0B01">
              <w:rPr>
                <w:rFonts w:eastAsia="Times New Roman" w:cs="Times New Roman"/>
                <w:color w:val="000000"/>
                <w:sz w:val="20"/>
                <w:szCs w:val="20"/>
              </w:rPr>
              <w:t>0.68%</w:t>
            </w:r>
          </w:p>
        </w:tc>
      </w:tr>
      <w:tr w:rsidR="00021755" w:rsidRPr="008E0B01" w14:paraId="2CE155C5" w14:textId="77777777" w:rsidTr="00632439">
        <w:trPr>
          <w:trHeight w:val="286"/>
          <w:jc w:val="center"/>
        </w:trPr>
        <w:tc>
          <w:tcPr>
            <w:tcW w:w="1520" w:type="dxa"/>
            <w:tcBorders>
              <w:top w:val="nil"/>
              <w:left w:val="nil"/>
              <w:right w:val="nil"/>
            </w:tcBorders>
            <w:shd w:val="clear" w:color="auto" w:fill="auto"/>
            <w:noWrap/>
            <w:vAlign w:val="center"/>
            <w:hideMark/>
          </w:tcPr>
          <w:p w14:paraId="62AED6CA" w14:textId="77777777" w:rsidR="00021755" w:rsidRPr="008E0B01" w:rsidRDefault="00021755" w:rsidP="00632439">
            <w:pPr>
              <w:spacing w:after="0" w:line="240" w:lineRule="auto"/>
              <w:jc w:val="center"/>
              <w:rPr>
                <w:rFonts w:eastAsia="Times New Roman" w:cs="Times New Roman"/>
                <w:color w:val="000000"/>
                <w:sz w:val="20"/>
                <w:szCs w:val="20"/>
              </w:rPr>
            </w:pPr>
            <w:r w:rsidRPr="008E0B01">
              <w:rPr>
                <w:rFonts w:eastAsia="Times New Roman" w:cs="Times New Roman"/>
                <w:color w:val="000000"/>
                <w:sz w:val="20"/>
                <w:szCs w:val="20"/>
              </w:rPr>
              <w:t>E2861</w:t>
            </w:r>
          </w:p>
        </w:tc>
        <w:tc>
          <w:tcPr>
            <w:tcW w:w="1640" w:type="dxa"/>
            <w:tcBorders>
              <w:top w:val="nil"/>
              <w:left w:val="nil"/>
              <w:right w:val="nil"/>
            </w:tcBorders>
            <w:shd w:val="clear" w:color="auto" w:fill="auto"/>
            <w:noWrap/>
            <w:vAlign w:val="center"/>
            <w:hideMark/>
          </w:tcPr>
          <w:p w14:paraId="6872EEFA" w14:textId="77777777" w:rsidR="00021755" w:rsidRPr="008E0B01" w:rsidRDefault="00021755" w:rsidP="00632439">
            <w:pPr>
              <w:spacing w:after="0" w:line="240" w:lineRule="auto"/>
              <w:jc w:val="center"/>
              <w:rPr>
                <w:rFonts w:eastAsia="Times New Roman" w:cs="Times New Roman"/>
                <w:color w:val="000000"/>
                <w:sz w:val="20"/>
                <w:szCs w:val="20"/>
              </w:rPr>
            </w:pPr>
            <w:r w:rsidRPr="008E0B01">
              <w:rPr>
                <w:rFonts w:eastAsia="Times New Roman" w:cs="Times New Roman"/>
                <w:color w:val="000000"/>
                <w:sz w:val="20"/>
                <w:szCs w:val="20"/>
              </w:rPr>
              <w:t>1:23:54</w:t>
            </w:r>
          </w:p>
        </w:tc>
        <w:tc>
          <w:tcPr>
            <w:tcW w:w="1151" w:type="dxa"/>
            <w:tcBorders>
              <w:top w:val="nil"/>
              <w:left w:val="nil"/>
              <w:right w:val="nil"/>
            </w:tcBorders>
            <w:vAlign w:val="center"/>
          </w:tcPr>
          <w:p w14:paraId="1C46E6BB" w14:textId="77777777" w:rsidR="00021755" w:rsidRPr="008E0B01" w:rsidRDefault="00021755" w:rsidP="00632439">
            <w:pPr>
              <w:spacing w:after="0" w:line="240" w:lineRule="auto"/>
              <w:jc w:val="center"/>
              <w:rPr>
                <w:rFonts w:eastAsia="Times New Roman" w:cs="Times New Roman"/>
                <w:color w:val="000000"/>
                <w:sz w:val="20"/>
                <w:szCs w:val="20"/>
              </w:rPr>
            </w:pPr>
            <w:r w:rsidRPr="008E0B01">
              <w:rPr>
                <w:rFonts w:eastAsia="Times New Roman" w:cs="Times New Roman"/>
                <w:color w:val="000000"/>
                <w:sz w:val="20"/>
                <w:szCs w:val="20"/>
              </w:rPr>
              <w:t>85:18:00</w:t>
            </w:r>
          </w:p>
        </w:tc>
        <w:tc>
          <w:tcPr>
            <w:tcW w:w="1100" w:type="dxa"/>
            <w:tcBorders>
              <w:top w:val="nil"/>
              <w:left w:val="nil"/>
              <w:right w:val="nil"/>
            </w:tcBorders>
            <w:shd w:val="clear" w:color="auto" w:fill="auto"/>
            <w:noWrap/>
            <w:vAlign w:val="center"/>
            <w:hideMark/>
          </w:tcPr>
          <w:p w14:paraId="670E5BB6" w14:textId="77777777" w:rsidR="00021755" w:rsidRPr="008E0B01" w:rsidRDefault="00021755" w:rsidP="00632439">
            <w:pPr>
              <w:spacing w:after="0" w:line="240" w:lineRule="auto"/>
              <w:jc w:val="center"/>
              <w:rPr>
                <w:rFonts w:eastAsia="Times New Roman" w:cs="Times New Roman"/>
                <w:color w:val="000000"/>
                <w:sz w:val="20"/>
                <w:szCs w:val="20"/>
              </w:rPr>
            </w:pPr>
            <w:r w:rsidRPr="008E0B01">
              <w:rPr>
                <w:rFonts w:eastAsia="Times New Roman" w:cs="Times New Roman"/>
                <w:color w:val="000000"/>
                <w:sz w:val="20"/>
                <w:szCs w:val="20"/>
              </w:rPr>
              <w:t>0.97%</w:t>
            </w:r>
          </w:p>
        </w:tc>
      </w:tr>
      <w:tr w:rsidR="00021755" w:rsidRPr="008E0B01" w14:paraId="66C1BB6E" w14:textId="77777777" w:rsidTr="00632439">
        <w:trPr>
          <w:trHeight w:val="286"/>
          <w:jc w:val="center"/>
        </w:trPr>
        <w:tc>
          <w:tcPr>
            <w:tcW w:w="1520" w:type="dxa"/>
            <w:tcBorders>
              <w:top w:val="nil"/>
              <w:left w:val="nil"/>
              <w:bottom w:val="nil"/>
              <w:right w:val="nil"/>
            </w:tcBorders>
            <w:shd w:val="clear" w:color="auto" w:fill="D9D9D9" w:themeFill="background1" w:themeFillShade="D9"/>
            <w:noWrap/>
            <w:vAlign w:val="center"/>
            <w:hideMark/>
          </w:tcPr>
          <w:p w14:paraId="5BA43BAF" w14:textId="77777777" w:rsidR="00021755" w:rsidRPr="008E0B01" w:rsidRDefault="00021755" w:rsidP="00632439">
            <w:pPr>
              <w:spacing w:after="0" w:line="240" w:lineRule="auto"/>
              <w:jc w:val="center"/>
              <w:rPr>
                <w:rFonts w:eastAsia="Times New Roman" w:cs="Times New Roman"/>
                <w:color w:val="000000"/>
                <w:sz w:val="20"/>
                <w:szCs w:val="20"/>
              </w:rPr>
            </w:pPr>
            <w:r w:rsidRPr="008E0B01">
              <w:rPr>
                <w:rFonts w:eastAsia="Times New Roman" w:cs="Times New Roman"/>
                <w:color w:val="000000"/>
                <w:sz w:val="20"/>
                <w:szCs w:val="20"/>
              </w:rPr>
              <w:t>E2863</w:t>
            </w:r>
          </w:p>
        </w:tc>
        <w:tc>
          <w:tcPr>
            <w:tcW w:w="1640" w:type="dxa"/>
            <w:tcBorders>
              <w:top w:val="nil"/>
              <w:left w:val="nil"/>
              <w:bottom w:val="nil"/>
              <w:right w:val="nil"/>
            </w:tcBorders>
            <w:shd w:val="clear" w:color="auto" w:fill="D9D9D9" w:themeFill="background1" w:themeFillShade="D9"/>
            <w:noWrap/>
            <w:vAlign w:val="center"/>
            <w:hideMark/>
          </w:tcPr>
          <w:p w14:paraId="46928F9A" w14:textId="77777777" w:rsidR="00021755" w:rsidRPr="008E0B01" w:rsidRDefault="00021755" w:rsidP="00632439">
            <w:pPr>
              <w:spacing w:after="0" w:line="240" w:lineRule="auto"/>
              <w:jc w:val="center"/>
              <w:rPr>
                <w:rFonts w:eastAsia="Times New Roman" w:cs="Times New Roman"/>
                <w:color w:val="000000"/>
                <w:sz w:val="20"/>
                <w:szCs w:val="20"/>
              </w:rPr>
            </w:pPr>
            <w:r w:rsidRPr="008E0B01">
              <w:rPr>
                <w:rFonts w:eastAsia="Times New Roman" w:cs="Times New Roman"/>
                <w:color w:val="000000"/>
                <w:sz w:val="20"/>
                <w:szCs w:val="20"/>
              </w:rPr>
              <w:t>42:45</w:t>
            </w:r>
          </w:p>
        </w:tc>
        <w:tc>
          <w:tcPr>
            <w:tcW w:w="1151" w:type="dxa"/>
            <w:tcBorders>
              <w:top w:val="nil"/>
              <w:left w:val="nil"/>
              <w:bottom w:val="nil"/>
              <w:right w:val="nil"/>
            </w:tcBorders>
            <w:shd w:val="clear" w:color="auto" w:fill="D9D9D9" w:themeFill="background1" w:themeFillShade="D9"/>
            <w:vAlign w:val="center"/>
          </w:tcPr>
          <w:p w14:paraId="7F9BD76A" w14:textId="77777777" w:rsidR="00021755" w:rsidRPr="008E0B01" w:rsidRDefault="00021755" w:rsidP="00632439">
            <w:pPr>
              <w:spacing w:after="0" w:line="240" w:lineRule="auto"/>
              <w:jc w:val="center"/>
              <w:rPr>
                <w:rFonts w:eastAsia="Times New Roman" w:cs="Times New Roman"/>
                <w:color w:val="000000"/>
                <w:sz w:val="20"/>
                <w:szCs w:val="20"/>
              </w:rPr>
            </w:pPr>
            <w:r w:rsidRPr="008E0B01">
              <w:rPr>
                <w:rFonts w:eastAsia="Times New Roman" w:cs="Times New Roman"/>
                <w:color w:val="000000"/>
                <w:sz w:val="20"/>
                <w:szCs w:val="20"/>
              </w:rPr>
              <w:t>34:54:31</w:t>
            </w:r>
          </w:p>
        </w:tc>
        <w:tc>
          <w:tcPr>
            <w:tcW w:w="1100" w:type="dxa"/>
            <w:tcBorders>
              <w:top w:val="nil"/>
              <w:left w:val="nil"/>
              <w:bottom w:val="nil"/>
              <w:right w:val="nil"/>
            </w:tcBorders>
            <w:shd w:val="clear" w:color="auto" w:fill="D9D9D9" w:themeFill="background1" w:themeFillShade="D9"/>
            <w:noWrap/>
            <w:vAlign w:val="center"/>
            <w:hideMark/>
          </w:tcPr>
          <w:p w14:paraId="18A400DC" w14:textId="77777777" w:rsidR="00021755" w:rsidRPr="008E0B01" w:rsidRDefault="00021755" w:rsidP="00632439">
            <w:pPr>
              <w:spacing w:after="0" w:line="240" w:lineRule="auto"/>
              <w:jc w:val="center"/>
              <w:rPr>
                <w:rFonts w:eastAsia="Times New Roman" w:cs="Times New Roman"/>
                <w:color w:val="000000"/>
                <w:sz w:val="20"/>
                <w:szCs w:val="20"/>
              </w:rPr>
            </w:pPr>
            <w:r w:rsidRPr="008E0B01">
              <w:rPr>
                <w:rFonts w:eastAsia="Times New Roman" w:cs="Times New Roman"/>
                <w:color w:val="000000"/>
                <w:sz w:val="20"/>
                <w:szCs w:val="20"/>
              </w:rPr>
              <w:t>0.40%</w:t>
            </w:r>
          </w:p>
        </w:tc>
      </w:tr>
      <w:tr w:rsidR="00021755" w:rsidRPr="008E0B01" w14:paraId="2356787D" w14:textId="77777777" w:rsidTr="00632439">
        <w:trPr>
          <w:trHeight w:val="286"/>
          <w:jc w:val="center"/>
        </w:trPr>
        <w:tc>
          <w:tcPr>
            <w:tcW w:w="1520" w:type="dxa"/>
            <w:tcBorders>
              <w:top w:val="nil"/>
              <w:left w:val="nil"/>
              <w:right w:val="nil"/>
            </w:tcBorders>
            <w:shd w:val="clear" w:color="auto" w:fill="auto"/>
            <w:noWrap/>
            <w:vAlign w:val="center"/>
            <w:hideMark/>
          </w:tcPr>
          <w:p w14:paraId="31405E0D" w14:textId="77777777" w:rsidR="00021755" w:rsidRPr="008E0B01" w:rsidRDefault="00021755" w:rsidP="00632439">
            <w:pPr>
              <w:spacing w:after="0" w:line="240" w:lineRule="auto"/>
              <w:jc w:val="center"/>
              <w:rPr>
                <w:rFonts w:eastAsia="Times New Roman" w:cs="Times New Roman"/>
                <w:color w:val="000000"/>
                <w:sz w:val="20"/>
                <w:szCs w:val="20"/>
              </w:rPr>
            </w:pPr>
            <w:r w:rsidRPr="008E0B01">
              <w:rPr>
                <w:rFonts w:eastAsia="Times New Roman" w:cs="Times New Roman"/>
                <w:color w:val="000000"/>
                <w:sz w:val="20"/>
                <w:szCs w:val="20"/>
              </w:rPr>
              <w:t>L2811</w:t>
            </w:r>
          </w:p>
        </w:tc>
        <w:tc>
          <w:tcPr>
            <w:tcW w:w="1640" w:type="dxa"/>
            <w:tcBorders>
              <w:top w:val="nil"/>
              <w:left w:val="nil"/>
              <w:right w:val="nil"/>
            </w:tcBorders>
            <w:shd w:val="clear" w:color="auto" w:fill="auto"/>
            <w:noWrap/>
            <w:vAlign w:val="center"/>
            <w:hideMark/>
          </w:tcPr>
          <w:p w14:paraId="0D64F291" w14:textId="77777777" w:rsidR="00021755" w:rsidRPr="008E0B01" w:rsidRDefault="00021755" w:rsidP="00632439">
            <w:pPr>
              <w:spacing w:after="0" w:line="240" w:lineRule="auto"/>
              <w:jc w:val="center"/>
              <w:rPr>
                <w:rFonts w:eastAsia="Times New Roman" w:cs="Times New Roman"/>
                <w:color w:val="000000"/>
                <w:sz w:val="20"/>
                <w:szCs w:val="20"/>
              </w:rPr>
            </w:pPr>
            <w:r w:rsidRPr="008E0B01">
              <w:rPr>
                <w:rFonts w:eastAsia="Times New Roman" w:cs="Times New Roman"/>
                <w:color w:val="000000"/>
                <w:sz w:val="20"/>
                <w:szCs w:val="20"/>
              </w:rPr>
              <w:t>17:51</w:t>
            </w:r>
          </w:p>
        </w:tc>
        <w:tc>
          <w:tcPr>
            <w:tcW w:w="1151" w:type="dxa"/>
            <w:tcBorders>
              <w:top w:val="nil"/>
              <w:left w:val="nil"/>
              <w:right w:val="nil"/>
            </w:tcBorders>
            <w:vAlign w:val="center"/>
          </w:tcPr>
          <w:p w14:paraId="74BA4FFB" w14:textId="77777777" w:rsidR="00021755" w:rsidRPr="008E0B01" w:rsidRDefault="00021755" w:rsidP="00632439">
            <w:pPr>
              <w:spacing w:after="0" w:line="240" w:lineRule="auto"/>
              <w:jc w:val="center"/>
              <w:rPr>
                <w:rFonts w:eastAsia="Times New Roman" w:cs="Times New Roman"/>
                <w:color w:val="000000"/>
                <w:sz w:val="20"/>
                <w:szCs w:val="20"/>
              </w:rPr>
            </w:pPr>
            <w:r w:rsidRPr="008E0B01">
              <w:rPr>
                <w:rFonts w:eastAsia="Times New Roman" w:cs="Times New Roman"/>
                <w:color w:val="000000"/>
                <w:sz w:val="20"/>
                <w:szCs w:val="20"/>
              </w:rPr>
              <w:t>464:50:18</w:t>
            </w:r>
          </w:p>
        </w:tc>
        <w:tc>
          <w:tcPr>
            <w:tcW w:w="1100" w:type="dxa"/>
            <w:tcBorders>
              <w:top w:val="nil"/>
              <w:left w:val="nil"/>
              <w:right w:val="nil"/>
            </w:tcBorders>
            <w:shd w:val="clear" w:color="auto" w:fill="auto"/>
            <w:noWrap/>
            <w:vAlign w:val="center"/>
            <w:hideMark/>
          </w:tcPr>
          <w:p w14:paraId="2A9B4FF0" w14:textId="77777777" w:rsidR="00021755" w:rsidRPr="008E0B01" w:rsidRDefault="00021755" w:rsidP="00632439">
            <w:pPr>
              <w:spacing w:after="0" w:line="240" w:lineRule="auto"/>
              <w:jc w:val="center"/>
              <w:rPr>
                <w:rFonts w:eastAsia="Times New Roman" w:cs="Times New Roman"/>
                <w:color w:val="000000"/>
                <w:sz w:val="20"/>
                <w:szCs w:val="20"/>
              </w:rPr>
            </w:pPr>
            <w:r w:rsidRPr="008E0B01">
              <w:rPr>
                <w:rFonts w:eastAsia="Times New Roman" w:cs="Times New Roman"/>
                <w:color w:val="000000"/>
                <w:sz w:val="20"/>
                <w:szCs w:val="20"/>
              </w:rPr>
              <w:t>5.31%</w:t>
            </w:r>
          </w:p>
        </w:tc>
      </w:tr>
      <w:tr w:rsidR="00021755" w:rsidRPr="008E0B01" w14:paraId="13A713E5" w14:textId="77777777" w:rsidTr="00632439">
        <w:trPr>
          <w:trHeight w:val="286"/>
          <w:jc w:val="center"/>
        </w:trPr>
        <w:tc>
          <w:tcPr>
            <w:tcW w:w="1520" w:type="dxa"/>
            <w:tcBorders>
              <w:top w:val="nil"/>
              <w:left w:val="nil"/>
              <w:bottom w:val="nil"/>
              <w:right w:val="nil"/>
            </w:tcBorders>
            <w:shd w:val="clear" w:color="auto" w:fill="D9D9D9" w:themeFill="background1" w:themeFillShade="D9"/>
            <w:noWrap/>
            <w:vAlign w:val="center"/>
            <w:hideMark/>
          </w:tcPr>
          <w:p w14:paraId="47592622" w14:textId="77777777" w:rsidR="00021755" w:rsidRPr="008E0B01" w:rsidRDefault="00021755" w:rsidP="00632439">
            <w:pPr>
              <w:spacing w:after="0" w:line="240" w:lineRule="auto"/>
              <w:jc w:val="center"/>
              <w:rPr>
                <w:rFonts w:eastAsia="Times New Roman" w:cs="Times New Roman"/>
                <w:color w:val="000000"/>
                <w:sz w:val="20"/>
                <w:szCs w:val="20"/>
              </w:rPr>
            </w:pPr>
            <w:r w:rsidRPr="008E0B01">
              <w:rPr>
                <w:rFonts w:eastAsia="Times New Roman" w:cs="Times New Roman"/>
                <w:color w:val="000000"/>
                <w:sz w:val="20"/>
                <w:szCs w:val="20"/>
              </w:rPr>
              <w:t>M2821</w:t>
            </w:r>
          </w:p>
        </w:tc>
        <w:tc>
          <w:tcPr>
            <w:tcW w:w="1640" w:type="dxa"/>
            <w:tcBorders>
              <w:top w:val="nil"/>
              <w:left w:val="nil"/>
              <w:bottom w:val="nil"/>
              <w:right w:val="nil"/>
            </w:tcBorders>
            <w:shd w:val="clear" w:color="auto" w:fill="D9D9D9" w:themeFill="background1" w:themeFillShade="D9"/>
            <w:noWrap/>
            <w:vAlign w:val="center"/>
            <w:hideMark/>
          </w:tcPr>
          <w:p w14:paraId="4218AE35" w14:textId="77777777" w:rsidR="00021755" w:rsidRPr="008E0B01" w:rsidRDefault="00021755" w:rsidP="00632439">
            <w:pPr>
              <w:spacing w:after="0" w:line="240" w:lineRule="auto"/>
              <w:jc w:val="center"/>
              <w:rPr>
                <w:rFonts w:eastAsia="Times New Roman" w:cs="Times New Roman"/>
                <w:color w:val="000000"/>
                <w:sz w:val="20"/>
                <w:szCs w:val="20"/>
              </w:rPr>
            </w:pPr>
            <w:r w:rsidRPr="008E0B01">
              <w:rPr>
                <w:rFonts w:eastAsia="Times New Roman" w:cs="Times New Roman"/>
                <w:color w:val="000000"/>
                <w:sz w:val="20"/>
                <w:szCs w:val="20"/>
              </w:rPr>
              <w:t>30:47</w:t>
            </w:r>
          </w:p>
        </w:tc>
        <w:tc>
          <w:tcPr>
            <w:tcW w:w="1151" w:type="dxa"/>
            <w:tcBorders>
              <w:top w:val="nil"/>
              <w:left w:val="nil"/>
              <w:bottom w:val="nil"/>
              <w:right w:val="nil"/>
            </w:tcBorders>
            <w:shd w:val="clear" w:color="auto" w:fill="D9D9D9" w:themeFill="background1" w:themeFillShade="D9"/>
            <w:vAlign w:val="center"/>
          </w:tcPr>
          <w:p w14:paraId="47E00883" w14:textId="77777777" w:rsidR="00021755" w:rsidRPr="008E0B01" w:rsidRDefault="00021755" w:rsidP="00632439">
            <w:pPr>
              <w:spacing w:after="0" w:line="240" w:lineRule="auto"/>
              <w:jc w:val="center"/>
              <w:rPr>
                <w:rFonts w:eastAsia="Times New Roman" w:cs="Times New Roman"/>
                <w:color w:val="000000"/>
                <w:sz w:val="20"/>
                <w:szCs w:val="20"/>
              </w:rPr>
            </w:pPr>
            <w:r w:rsidRPr="008E0B01">
              <w:rPr>
                <w:rFonts w:eastAsia="Times New Roman" w:cs="Times New Roman"/>
                <w:color w:val="000000"/>
                <w:sz w:val="20"/>
                <w:szCs w:val="20"/>
              </w:rPr>
              <w:t>1015:50:58</w:t>
            </w:r>
          </w:p>
        </w:tc>
        <w:tc>
          <w:tcPr>
            <w:tcW w:w="1100" w:type="dxa"/>
            <w:tcBorders>
              <w:top w:val="nil"/>
              <w:left w:val="nil"/>
              <w:bottom w:val="nil"/>
              <w:right w:val="nil"/>
            </w:tcBorders>
            <w:shd w:val="clear" w:color="auto" w:fill="D9D9D9" w:themeFill="background1" w:themeFillShade="D9"/>
            <w:noWrap/>
            <w:vAlign w:val="center"/>
            <w:hideMark/>
          </w:tcPr>
          <w:p w14:paraId="78B35A96" w14:textId="77777777" w:rsidR="00021755" w:rsidRPr="008E0B01" w:rsidRDefault="00021755" w:rsidP="00632439">
            <w:pPr>
              <w:spacing w:after="0" w:line="240" w:lineRule="auto"/>
              <w:jc w:val="center"/>
              <w:rPr>
                <w:rFonts w:eastAsia="Times New Roman" w:cs="Times New Roman"/>
                <w:color w:val="000000"/>
                <w:sz w:val="20"/>
                <w:szCs w:val="20"/>
              </w:rPr>
            </w:pPr>
            <w:r w:rsidRPr="008E0B01">
              <w:rPr>
                <w:rFonts w:eastAsia="Times New Roman" w:cs="Times New Roman"/>
                <w:color w:val="000000"/>
                <w:sz w:val="20"/>
                <w:szCs w:val="20"/>
              </w:rPr>
              <w:t>11.60%</w:t>
            </w:r>
          </w:p>
        </w:tc>
      </w:tr>
      <w:tr w:rsidR="00021755" w:rsidRPr="008E0B01" w14:paraId="4AB96BA2" w14:textId="77777777" w:rsidTr="00632439">
        <w:trPr>
          <w:trHeight w:val="286"/>
          <w:jc w:val="center"/>
        </w:trPr>
        <w:tc>
          <w:tcPr>
            <w:tcW w:w="1520" w:type="dxa"/>
            <w:tcBorders>
              <w:top w:val="nil"/>
              <w:left w:val="nil"/>
              <w:right w:val="nil"/>
            </w:tcBorders>
            <w:shd w:val="clear" w:color="auto" w:fill="auto"/>
            <w:noWrap/>
            <w:vAlign w:val="center"/>
            <w:hideMark/>
          </w:tcPr>
          <w:p w14:paraId="0BB30525" w14:textId="77777777" w:rsidR="00021755" w:rsidRPr="008E0B01" w:rsidRDefault="00021755" w:rsidP="00632439">
            <w:pPr>
              <w:spacing w:after="0" w:line="240" w:lineRule="auto"/>
              <w:jc w:val="center"/>
              <w:rPr>
                <w:rFonts w:eastAsia="Times New Roman" w:cs="Times New Roman"/>
                <w:color w:val="000000"/>
                <w:sz w:val="20"/>
                <w:szCs w:val="20"/>
              </w:rPr>
            </w:pPr>
            <w:r w:rsidRPr="008E0B01">
              <w:rPr>
                <w:rFonts w:eastAsia="Times New Roman" w:cs="Times New Roman"/>
                <w:color w:val="000000"/>
                <w:sz w:val="20"/>
                <w:szCs w:val="20"/>
              </w:rPr>
              <w:t>M2822</w:t>
            </w:r>
          </w:p>
        </w:tc>
        <w:tc>
          <w:tcPr>
            <w:tcW w:w="1640" w:type="dxa"/>
            <w:tcBorders>
              <w:top w:val="nil"/>
              <w:left w:val="nil"/>
              <w:right w:val="nil"/>
            </w:tcBorders>
            <w:shd w:val="clear" w:color="auto" w:fill="auto"/>
            <w:noWrap/>
            <w:vAlign w:val="center"/>
            <w:hideMark/>
          </w:tcPr>
          <w:p w14:paraId="6DD924D2" w14:textId="77777777" w:rsidR="00021755" w:rsidRPr="008E0B01" w:rsidRDefault="00021755" w:rsidP="00632439">
            <w:pPr>
              <w:spacing w:after="0" w:line="240" w:lineRule="auto"/>
              <w:jc w:val="center"/>
              <w:rPr>
                <w:rFonts w:eastAsia="Times New Roman" w:cs="Times New Roman"/>
                <w:color w:val="000000"/>
                <w:sz w:val="20"/>
                <w:szCs w:val="20"/>
              </w:rPr>
            </w:pPr>
            <w:r w:rsidRPr="008E0B01">
              <w:rPr>
                <w:rFonts w:eastAsia="Times New Roman" w:cs="Times New Roman"/>
                <w:color w:val="000000"/>
                <w:sz w:val="20"/>
                <w:szCs w:val="20"/>
              </w:rPr>
              <w:t>31:16</w:t>
            </w:r>
          </w:p>
        </w:tc>
        <w:tc>
          <w:tcPr>
            <w:tcW w:w="1151" w:type="dxa"/>
            <w:tcBorders>
              <w:top w:val="nil"/>
              <w:left w:val="nil"/>
              <w:right w:val="nil"/>
            </w:tcBorders>
            <w:vAlign w:val="center"/>
          </w:tcPr>
          <w:p w14:paraId="3E6677F6" w14:textId="77777777" w:rsidR="00021755" w:rsidRPr="008E0B01" w:rsidRDefault="00021755" w:rsidP="00632439">
            <w:pPr>
              <w:spacing w:after="0" w:line="240" w:lineRule="auto"/>
              <w:jc w:val="center"/>
              <w:rPr>
                <w:rFonts w:eastAsia="Times New Roman" w:cs="Times New Roman"/>
                <w:color w:val="000000"/>
                <w:sz w:val="20"/>
                <w:szCs w:val="20"/>
              </w:rPr>
            </w:pPr>
            <w:r w:rsidRPr="008E0B01">
              <w:rPr>
                <w:rFonts w:eastAsia="Times New Roman" w:cs="Times New Roman"/>
                <w:color w:val="000000"/>
                <w:sz w:val="20"/>
                <w:szCs w:val="20"/>
              </w:rPr>
              <w:t>1059:07:52</w:t>
            </w:r>
          </w:p>
        </w:tc>
        <w:tc>
          <w:tcPr>
            <w:tcW w:w="1100" w:type="dxa"/>
            <w:tcBorders>
              <w:top w:val="nil"/>
              <w:left w:val="nil"/>
              <w:right w:val="nil"/>
            </w:tcBorders>
            <w:shd w:val="clear" w:color="auto" w:fill="auto"/>
            <w:noWrap/>
            <w:vAlign w:val="center"/>
            <w:hideMark/>
          </w:tcPr>
          <w:p w14:paraId="7C14F2F4" w14:textId="77777777" w:rsidR="00021755" w:rsidRPr="008E0B01" w:rsidRDefault="00021755" w:rsidP="00632439">
            <w:pPr>
              <w:spacing w:after="0" w:line="240" w:lineRule="auto"/>
              <w:jc w:val="center"/>
              <w:rPr>
                <w:rFonts w:eastAsia="Times New Roman" w:cs="Times New Roman"/>
                <w:color w:val="000000"/>
                <w:sz w:val="20"/>
                <w:szCs w:val="20"/>
              </w:rPr>
            </w:pPr>
            <w:r w:rsidRPr="008E0B01">
              <w:rPr>
                <w:rFonts w:eastAsia="Times New Roman" w:cs="Times New Roman"/>
                <w:color w:val="000000"/>
                <w:sz w:val="20"/>
                <w:szCs w:val="20"/>
              </w:rPr>
              <w:t>12.09%</w:t>
            </w:r>
          </w:p>
        </w:tc>
      </w:tr>
      <w:tr w:rsidR="00021755" w:rsidRPr="008E0B01" w14:paraId="2F0240F8" w14:textId="77777777" w:rsidTr="00632439">
        <w:trPr>
          <w:trHeight w:val="286"/>
          <w:jc w:val="center"/>
        </w:trPr>
        <w:tc>
          <w:tcPr>
            <w:tcW w:w="1520" w:type="dxa"/>
            <w:tcBorders>
              <w:top w:val="nil"/>
              <w:left w:val="nil"/>
              <w:bottom w:val="nil"/>
              <w:right w:val="nil"/>
            </w:tcBorders>
            <w:shd w:val="clear" w:color="auto" w:fill="D9D9D9" w:themeFill="background1" w:themeFillShade="D9"/>
            <w:noWrap/>
            <w:vAlign w:val="center"/>
            <w:hideMark/>
          </w:tcPr>
          <w:p w14:paraId="4662FC65" w14:textId="77777777" w:rsidR="00021755" w:rsidRPr="008E0B01" w:rsidRDefault="00021755" w:rsidP="00632439">
            <w:pPr>
              <w:spacing w:after="0" w:line="240" w:lineRule="auto"/>
              <w:jc w:val="center"/>
              <w:rPr>
                <w:rFonts w:eastAsia="Times New Roman" w:cs="Times New Roman"/>
                <w:color w:val="000000"/>
                <w:sz w:val="20"/>
                <w:szCs w:val="20"/>
              </w:rPr>
            </w:pPr>
            <w:r w:rsidRPr="008E0B01">
              <w:rPr>
                <w:rFonts w:eastAsia="Times New Roman" w:cs="Times New Roman"/>
                <w:color w:val="000000"/>
                <w:sz w:val="20"/>
                <w:szCs w:val="20"/>
              </w:rPr>
              <w:t>M2823</w:t>
            </w:r>
          </w:p>
        </w:tc>
        <w:tc>
          <w:tcPr>
            <w:tcW w:w="1640" w:type="dxa"/>
            <w:tcBorders>
              <w:top w:val="nil"/>
              <w:left w:val="nil"/>
              <w:bottom w:val="nil"/>
              <w:right w:val="nil"/>
            </w:tcBorders>
            <w:shd w:val="clear" w:color="auto" w:fill="D9D9D9" w:themeFill="background1" w:themeFillShade="D9"/>
            <w:noWrap/>
            <w:vAlign w:val="center"/>
            <w:hideMark/>
          </w:tcPr>
          <w:p w14:paraId="5E7980A9" w14:textId="77777777" w:rsidR="00021755" w:rsidRPr="008E0B01" w:rsidRDefault="00021755" w:rsidP="00632439">
            <w:pPr>
              <w:spacing w:after="0" w:line="240" w:lineRule="auto"/>
              <w:jc w:val="center"/>
              <w:rPr>
                <w:rFonts w:eastAsia="Times New Roman" w:cs="Times New Roman"/>
                <w:color w:val="000000"/>
                <w:sz w:val="20"/>
                <w:szCs w:val="20"/>
              </w:rPr>
            </w:pPr>
            <w:r w:rsidRPr="008E0B01">
              <w:rPr>
                <w:rFonts w:eastAsia="Times New Roman" w:cs="Times New Roman"/>
                <w:color w:val="000000"/>
                <w:sz w:val="20"/>
                <w:szCs w:val="20"/>
              </w:rPr>
              <w:t>35:53</w:t>
            </w:r>
          </w:p>
        </w:tc>
        <w:tc>
          <w:tcPr>
            <w:tcW w:w="1151" w:type="dxa"/>
            <w:tcBorders>
              <w:top w:val="nil"/>
              <w:left w:val="nil"/>
              <w:bottom w:val="nil"/>
              <w:right w:val="nil"/>
            </w:tcBorders>
            <w:shd w:val="clear" w:color="auto" w:fill="D9D9D9" w:themeFill="background1" w:themeFillShade="D9"/>
            <w:vAlign w:val="center"/>
          </w:tcPr>
          <w:p w14:paraId="7649C8A8" w14:textId="77777777" w:rsidR="00021755" w:rsidRPr="008E0B01" w:rsidRDefault="00021755" w:rsidP="00632439">
            <w:pPr>
              <w:spacing w:after="0" w:line="240" w:lineRule="auto"/>
              <w:jc w:val="center"/>
              <w:rPr>
                <w:rFonts w:eastAsia="Times New Roman" w:cs="Times New Roman"/>
                <w:color w:val="000000"/>
                <w:sz w:val="20"/>
                <w:szCs w:val="20"/>
              </w:rPr>
            </w:pPr>
            <w:r w:rsidRPr="008E0B01">
              <w:rPr>
                <w:rFonts w:eastAsia="Times New Roman" w:cs="Times New Roman"/>
                <w:color w:val="000000"/>
                <w:sz w:val="20"/>
                <w:szCs w:val="20"/>
              </w:rPr>
              <w:t>962:25:43</w:t>
            </w:r>
          </w:p>
        </w:tc>
        <w:tc>
          <w:tcPr>
            <w:tcW w:w="1100" w:type="dxa"/>
            <w:tcBorders>
              <w:top w:val="nil"/>
              <w:left w:val="nil"/>
              <w:bottom w:val="nil"/>
              <w:right w:val="nil"/>
            </w:tcBorders>
            <w:shd w:val="clear" w:color="auto" w:fill="D9D9D9" w:themeFill="background1" w:themeFillShade="D9"/>
            <w:noWrap/>
            <w:vAlign w:val="center"/>
            <w:hideMark/>
          </w:tcPr>
          <w:p w14:paraId="07A3B924" w14:textId="77777777" w:rsidR="00021755" w:rsidRPr="008E0B01" w:rsidRDefault="00021755" w:rsidP="00632439">
            <w:pPr>
              <w:spacing w:after="0" w:line="240" w:lineRule="auto"/>
              <w:jc w:val="center"/>
              <w:rPr>
                <w:rFonts w:eastAsia="Times New Roman" w:cs="Times New Roman"/>
                <w:color w:val="000000"/>
                <w:sz w:val="20"/>
                <w:szCs w:val="20"/>
              </w:rPr>
            </w:pPr>
            <w:r w:rsidRPr="008E0B01">
              <w:rPr>
                <w:rFonts w:eastAsia="Times New Roman" w:cs="Times New Roman"/>
                <w:color w:val="000000"/>
                <w:sz w:val="20"/>
                <w:szCs w:val="20"/>
              </w:rPr>
              <w:t>10.99%</w:t>
            </w:r>
          </w:p>
        </w:tc>
      </w:tr>
      <w:tr w:rsidR="00021755" w:rsidRPr="008E0B01" w14:paraId="54DA2142" w14:textId="77777777" w:rsidTr="00632439">
        <w:trPr>
          <w:trHeight w:val="286"/>
          <w:jc w:val="center"/>
        </w:trPr>
        <w:tc>
          <w:tcPr>
            <w:tcW w:w="1520" w:type="dxa"/>
            <w:tcBorders>
              <w:top w:val="nil"/>
              <w:left w:val="nil"/>
              <w:right w:val="nil"/>
            </w:tcBorders>
            <w:shd w:val="clear" w:color="auto" w:fill="auto"/>
            <w:noWrap/>
            <w:vAlign w:val="center"/>
            <w:hideMark/>
          </w:tcPr>
          <w:p w14:paraId="048327FD" w14:textId="77777777" w:rsidR="00021755" w:rsidRPr="008E0B01" w:rsidRDefault="00021755" w:rsidP="00632439">
            <w:pPr>
              <w:spacing w:after="0" w:line="240" w:lineRule="auto"/>
              <w:jc w:val="center"/>
              <w:rPr>
                <w:rFonts w:eastAsia="Times New Roman" w:cs="Times New Roman"/>
                <w:color w:val="000000"/>
                <w:sz w:val="20"/>
                <w:szCs w:val="20"/>
              </w:rPr>
            </w:pPr>
            <w:r w:rsidRPr="008E0B01">
              <w:rPr>
                <w:rFonts w:eastAsia="Times New Roman" w:cs="Times New Roman"/>
                <w:color w:val="000000"/>
                <w:sz w:val="20"/>
                <w:szCs w:val="20"/>
              </w:rPr>
              <w:t>M2829</w:t>
            </w:r>
          </w:p>
        </w:tc>
        <w:tc>
          <w:tcPr>
            <w:tcW w:w="1640" w:type="dxa"/>
            <w:tcBorders>
              <w:top w:val="nil"/>
              <w:left w:val="nil"/>
              <w:right w:val="nil"/>
            </w:tcBorders>
            <w:shd w:val="clear" w:color="auto" w:fill="auto"/>
            <w:noWrap/>
            <w:vAlign w:val="center"/>
            <w:hideMark/>
          </w:tcPr>
          <w:p w14:paraId="36A1C9BC" w14:textId="77777777" w:rsidR="00021755" w:rsidRPr="008E0B01" w:rsidRDefault="00021755" w:rsidP="00632439">
            <w:pPr>
              <w:spacing w:after="0" w:line="240" w:lineRule="auto"/>
              <w:jc w:val="center"/>
              <w:rPr>
                <w:rFonts w:eastAsia="Times New Roman" w:cs="Times New Roman"/>
                <w:color w:val="000000"/>
                <w:sz w:val="20"/>
                <w:szCs w:val="20"/>
              </w:rPr>
            </w:pPr>
            <w:r w:rsidRPr="008E0B01">
              <w:rPr>
                <w:rFonts w:eastAsia="Times New Roman" w:cs="Times New Roman"/>
                <w:color w:val="000000"/>
                <w:sz w:val="20"/>
                <w:szCs w:val="20"/>
              </w:rPr>
              <w:t>47:20</w:t>
            </w:r>
          </w:p>
        </w:tc>
        <w:tc>
          <w:tcPr>
            <w:tcW w:w="1151" w:type="dxa"/>
            <w:tcBorders>
              <w:top w:val="nil"/>
              <w:left w:val="nil"/>
              <w:right w:val="nil"/>
            </w:tcBorders>
            <w:vAlign w:val="center"/>
          </w:tcPr>
          <w:p w14:paraId="77C50D4E" w14:textId="77777777" w:rsidR="00021755" w:rsidRPr="008E0B01" w:rsidRDefault="00021755" w:rsidP="00632439">
            <w:pPr>
              <w:spacing w:after="0" w:line="240" w:lineRule="auto"/>
              <w:jc w:val="center"/>
              <w:rPr>
                <w:rFonts w:eastAsia="Times New Roman" w:cs="Times New Roman"/>
                <w:color w:val="000000"/>
                <w:sz w:val="20"/>
                <w:szCs w:val="20"/>
              </w:rPr>
            </w:pPr>
            <w:r w:rsidRPr="008E0B01">
              <w:rPr>
                <w:rFonts w:eastAsia="Times New Roman" w:cs="Times New Roman"/>
                <w:color w:val="000000"/>
                <w:sz w:val="20"/>
                <w:szCs w:val="20"/>
              </w:rPr>
              <w:t>24:27:07</w:t>
            </w:r>
          </w:p>
        </w:tc>
        <w:tc>
          <w:tcPr>
            <w:tcW w:w="1100" w:type="dxa"/>
            <w:tcBorders>
              <w:top w:val="nil"/>
              <w:left w:val="nil"/>
              <w:right w:val="nil"/>
            </w:tcBorders>
            <w:shd w:val="clear" w:color="auto" w:fill="auto"/>
            <w:noWrap/>
            <w:vAlign w:val="center"/>
            <w:hideMark/>
          </w:tcPr>
          <w:p w14:paraId="5D9C6BA2" w14:textId="77777777" w:rsidR="00021755" w:rsidRPr="008E0B01" w:rsidRDefault="00021755" w:rsidP="00632439">
            <w:pPr>
              <w:spacing w:after="0" w:line="240" w:lineRule="auto"/>
              <w:jc w:val="center"/>
              <w:rPr>
                <w:rFonts w:eastAsia="Times New Roman" w:cs="Times New Roman"/>
                <w:color w:val="000000"/>
                <w:sz w:val="20"/>
                <w:szCs w:val="20"/>
              </w:rPr>
            </w:pPr>
            <w:r w:rsidRPr="008E0B01">
              <w:rPr>
                <w:rFonts w:eastAsia="Times New Roman" w:cs="Times New Roman"/>
                <w:color w:val="000000"/>
                <w:sz w:val="20"/>
                <w:szCs w:val="20"/>
              </w:rPr>
              <w:t>0.28%</w:t>
            </w:r>
          </w:p>
        </w:tc>
      </w:tr>
      <w:tr w:rsidR="00021755" w:rsidRPr="008E0B01" w14:paraId="7136BDF3" w14:textId="77777777" w:rsidTr="00632439">
        <w:trPr>
          <w:trHeight w:val="286"/>
          <w:jc w:val="center"/>
        </w:trPr>
        <w:tc>
          <w:tcPr>
            <w:tcW w:w="1520" w:type="dxa"/>
            <w:tcBorders>
              <w:top w:val="nil"/>
              <w:left w:val="nil"/>
              <w:bottom w:val="nil"/>
              <w:right w:val="nil"/>
            </w:tcBorders>
            <w:shd w:val="clear" w:color="auto" w:fill="D9D9D9" w:themeFill="background1" w:themeFillShade="D9"/>
            <w:noWrap/>
            <w:vAlign w:val="center"/>
            <w:hideMark/>
          </w:tcPr>
          <w:p w14:paraId="4F3AC109" w14:textId="77777777" w:rsidR="00021755" w:rsidRPr="008E0B01" w:rsidRDefault="00021755" w:rsidP="00632439">
            <w:pPr>
              <w:spacing w:after="0" w:line="240" w:lineRule="auto"/>
              <w:jc w:val="center"/>
              <w:rPr>
                <w:rFonts w:eastAsia="Times New Roman" w:cs="Times New Roman"/>
                <w:color w:val="000000"/>
                <w:sz w:val="20"/>
                <w:szCs w:val="20"/>
              </w:rPr>
            </w:pPr>
            <w:r w:rsidRPr="008E0B01">
              <w:rPr>
                <w:rFonts w:eastAsia="Times New Roman" w:cs="Times New Roman"/>
                <w:color w:val="000000"/>
                <w:sz w:val="20"/>
                <w:szCs w:val="20"/>
              </w:rPr>
              <w:t>MO281</w:t>
            </w:r>
          </w:p>
        </w:tc>
        <w:tc>
          <w:tcPr>
            <w:tcW w:w="1640" w:type="dxa"/>
            <w:tcBorders>
              <w:top w:val="nil"/>
              <w:left w:val="nil"/>
              <w:bottom w:val="nil"/>
              <w:right w:val="nil"/>
            </w:tcBorders>
            <w:shd w:val="clear" w:color="auto" w:fill="D9D9D9" w:themeFill="background1" w:themeFillShade="D9"/>
            <w:noWrap/>
            <w:vAlign w:val="center"/>
            <w:hideMark/>
          </w:tcPr>
          <w:p w14:paraId="1C0C4ADE" w14:textId="77777777" w:rsidR="00021755" w:rsidRPr="008E0B01" w:rsidRDefault="00021755" w:rsidP="00632439">
            <w:pPr>
              <w:spacing w:after="0" w:line="240" w:lineRule="auto"/>
              <w:jc w:val="center"/>
              <w:rPr>
                <w:rFonts w:eastAsia="Times New Roman" w:cs="Times New Roman"/>
                <w:color w:val="000000"/>
                <w:sz w:val="20"/>
                <w:szCs w:val="20"/>
              </w:rPr>
            </w:pPr>
            <w:r w:rsidRPr="008E0B01">
              <w:rPr>
                <w:rFonts w:eastAsia="Times New Roman" w:cs="Times New Roman"/>
                <w:color w:val="000000"/>
                <w:sz w:val="20"/>
                <w:szCs w:val="20"/>
              </w:rPr>
              <w:t>25:54</w:t>
            </w:r>
          </w:p>
        </w:tc>
        <w:tc>
          <w:tcPr>
            <w:tcW w:w="1151" w:type="dxa"/>
            <w:tcBorders>
              <w:top w:val="nil"/>
              <w:left w:val="nil"/>
              <w:bottom w:val="nil"/>
              <w:right w:val="nil"/>
            </w:tcBorders>
            <w:shd w:val="clear" w:color="auto" w:fill="D9D9D9" w:themeFill="background1" w:themeFillShade="D9"/>
            <w:vAlign w:val="center"/>
          </w:tcPr>
          <w:p w14:paraId="1EA0DCE6" w14:textId="77777777" w:rsidR="00021755" w:rsidRPr="008E0B01" w:rsidRDefault="00021755" w:rsidP="00632439">
            <w:pPr>
              <w:spacing w:after="0" w:line="240" w:lineRule="auto"/>
              <w:jc w:val="center"/>
              <w:rPr>
                <w:rFonts w:eastAsia="Times New Roman" w:cs="Times New Roman"/>
                <w:color w:val="000000"/>
                <w:sz w:val="20"/>
                <w:szCs w:val="20"/>
              </w:rPr>
            </w:pPr>
            <w:r w:rsidRPr="008E0B01">
              <w:rPr>
                <w:rFonts w:eastAsia="Times New Roman" w:cs="Times New Roman"/>
                <w:color w:val="000000"/>
                <w:sz w:val="20"/>
                <w:szCs w:val="20"/>
              </w:rPr>
              <w:t>44:27:46</w:t>
            </w:r>
          </w:p>
        </w:tc>
        <w:tc>
          <w:tcPr>
            <w:tcW w:w="1100" w:type="dxa"/>
            <w:tcBorders>
              <w:top w:val="nil"/>
              <w:left w:val="nil"/>
              <w:bottom w:val="nil"/>
              <w:right w:val="nil"/>
            </w:tcBorders>
            <w:shd w:val="clear" w:color="auto" w:fill="D9D9D9" w:themeFill="background1" w:themeFillShade="D9"/>
            <w:noWrap/>
            <w:vAlign w:val="center"/>
            <w:hideMark/>
          </w:tcPr>
          <w:p w14:paraId="1C472A84" w14:textId="77777777" w:rsidR="00021755" w:rsidRPr="008E0B01" w:rsidRDefault="00021755" w:rsidP="00632439">
            <w:pPr>
              <w:spacing w:after="0" w:line="240" w:lineRule="auto"/>
              <w:jc w:val="center"/>
              <w:rPr>
                <w:rFonts w:eastAsia="Times New Roman" w:cs="Times New Roman"/>
                <w:color w:val="000000"/>
                <w:sz w:val="20"/>
                <w:szCs w:val="20"/>
              </w:rPr>
            </w:pPr>
            <w:r w:rsidRPr="008E0B01">
              <w:rPr>
                <w:rFonts w:eastAsia="Times New Roman" w:cs="Times New Roman"/>
                <w:color w:val="000000"/>
                <w:sz w:val="20"/>
                <w:szCs w:val="20"/>
              </w:rPr>
              <w:t>0.51%</w:t>
            </w:r>
          </w:p>
        </w:tc>
      </w:tr>
      <w:tr w:rsidR="00021755" w:rsidRPr="008E0B01" w14:paraId="0D024064" w14:textId="77777777" w:rsidTr="00632439">
        <w:trPr>
          <w:trHeight w:val="286"/>
          <w:jc w:val="center"/>
        </w:trPr>
        <w:tc>
          <w:tcPr>
            <w:tcW w:w="1520" w:type="dxa"/>
            <w:tcBorders>
              <w:top w:val="nil"/>
              <w:left w:val="nil"/>
              <w:right w:val="nil"/>
            </w:tcBorders>
            <w:shd w:val="clear" w:color="auto" w:fill="auto"/>
            <w:noWrap/>
            <w:vAlign w:val="center"/>
            <w:hideMark/>
          </w:tcPr>
          <w:p w14:paraId="5C2215BA" w14:textId="77777777" w:rsidR="00021755" w:rsidRPr="008E0B01" w:rsidRDefault="00021755" w:rsidP="00632439">
            <w:pPr>
              <w:spacing w:after="0" w:line="240" w:lineRule="auto"/>
              <w:jc w:val="center"/>
              <w:rPr>
                <w:rFonts w:eastAsia="Times New Roman" w:cs="Times New Roman"/>
                <w:color w:val="000000"/>
                <w:sz w:val="20"/>
                <w:szCs w:val="20"/>
              </w:rPr>
            </w:pPr>
            <w:r w:rsidRPr="008E0B01">
              <w:rPr>
                <w:rFonts w:eastAsia="Times New Roman" w:cs="Times New Roman"/>
                <w:color w:val="000000"/>
                <w:sz w:val="20"/>
                <w:szCs w:val="20"/>
              </w:rPr>
              <w:t>R2841</w:t>
            </w:r>
          </w:p>
        </w:tc>
        <w:tc>
          <w:tcPr>
            <w:tcW w:w="1640" w:type="dxa"/>
            <w:tcBorders>
              <w:top w:val="nil"/>
              <w:left w:val="nil"/>
              <w:right w:val="nil"/>
            </w:tcBorders>
            <w:shd w:val="clear" w:color="auto" w:fill="auto"/>
            <w:noWrap/>
            <w:vAlign w:val="center"/>
            <w:hideMark/>
          </w:tcPr>
          <w:p w14:paraId="22A8638D" w14:textId="77777777" w:rsidR="00021755" w:rsidRPr="008E0B01" w:rsidRDefault="00021755" w:rsidP="00632439">
            <w:pPr>
              <w:spacing w:after="0" w:line="240" w:lineRule="auto"/>
              <w:jc w:val="center"/>
              <w:rPr>
                <w:rFonts w:eastAsia="Times New Roman" w:cs="Times New Roman"/>
                <w:color w:val="000000"/>
                <w:sz w:val="20"/>
                <w:szCs w:val="20"/>
              </w:rPr>
            </w:pPr>
            <w:r w:rsidRPr="008E0B01">
              <w:rPr>
                <w:rFonts w:eastAsia="Times New Roman" w:cs="Times New Roman"/>
                <w:color w:val="000000"/>
                <w:sz w:val="20"/>
                <w:szCs w:val="20"/>
              </w:rPr>
              <w:t>10:06</w:t>
            </w:r>
          </w:p>
        </w:tc>
        <w:tc>
          <w:tcPr>
            <w:tcW w:w="1151" w:type="dxa"/>
            <w:tcBorders>
              <w:top w:val="nil"/>
              <w:left w:val="nil"/>
              <w:right w:val="nil"/>
            </w:tcBorders>
            <w:vAlign w:val="center"/>
          </w:tcPr>
          <w:p w14:paraId="30FFF00A" w14:textId="77777777" w:rsidR="00021755" w:rsidRPr="008E0B01" w:rsidRDefault="00021755" w:rsidP="00632439">
            <w:pPr>
              <w:spacing w:after="0" w:line="240" w:lineRule="auto"/>
              <w:jc w:val="center"/>
              <w:rPr>
                <w:rFonts w:eastAsia="Times New Roman" w:cs="Times New Roman"/>
                <w:color w:val="000000"/>
                <w:sz w:val="20"/>
                <w:szCs w:val="20"/>
              </w:rPr>
            </w:pPr>
            <w:r w:rsidRPr="008E0B01">
              <w:rPr>
                <w:rFonts w:eastAsia="Times New Roman" w:cs="Times New Roman"/>
                <w:color w:val="000000"/>
                <w:sz w:val="20"/>
                <w:szCs w:val="20"/>
              </w:rPr>
              <w:t>1:30:51</w:t>
            </w:r>
          </w:p>
        </w:tc>
        <w:tc>
          <w:tcPr>
            <w:tcW w:w="1100" w:type="dxa"/>
            <w:tcBorders>
              <w:top w:val="nil"/>
              <w:left w:val="nil"/>
              <w:right w:val="nil"/>
            </w:tcBorders>
            <w:shd w:val="clear" w:color="auto" w:fill="auto"/>
            <w:noWrap/>
            <w:vAlign w:val="center"/>
            <w:hideMark/>
          </w:tcPr>
          <w:p w14:paraId="65A884F9" w14:textId="77777777" w:rsidR="00021755" w:rsidRPr="008E0B01" w:rsidRDefault="00021755" w:rsidP="00632439">
            <w:pPr>
              <w:spacing w:after="0" w:line="240" w:lineRule="auto"/>
              <w:jc w:val="center"/>
              <w:rPr>
                <w:rFonts w:eastAsia="Times New Roman" w:cs="Times New Roman"/>
                <w:color w:val="000000"/>
                <w:sz w:val="20"/>
                <w:szCs w:val="20"/>
              </w:rPr>
            </w:pPr>
            <w:r w:rsidRPr="008E0B01">
              <w:rPr>
                <w:rFonts w:eastAsia="Times New Roman" w:cs="Times New Roman"/>
                <w:color w:val="000000"/>
                <w:sz w:val="20"/>
                <w:szCs w:val="20"/>
              </w:rPr>
              <w:t>0.02%</w:t>
            </w:r>
          </w:p>
        </w:tc>
      </w:tr>
      <w:tr w:rsidR="00021755" w:rsidRPr="008E0B01" w14:paraId="07FABBCC" w14:textId="77777777" w:rsidTr="00632439">
        <w:trPr>
          <w:trHeight w:val="286"/>
          <w:jc w:val="center"/>
        </w:trPr>
        <w:tc>
          <w:tcPr>
            <w:tcW w:w="1520" w:type="dxa"/>
            <w:tcBorders>
              <w:top w:val="nil"/>
              <w:left w:val="nil"/>
              <w:bottom w:val="nil"/>
              <w:right w:val="nil"/>
            </w:tcBorders>
            <w:shd w:val="clear" w:color="auto" w:fill="D9D9D9" w:themeFill="background1" w:themeFillShade="D9"/>
            <w:noWrap/>
            <w:vAlign w:val="center"/>
            <w:hideMark/>
          </w:tcPr>
          <w:p w14:paraId="2A6D0071" w14:textId="77777777" w:rsidR="00021755" w:rsidRPr="008E0B01" w:rsidRDefault="00021755" w:rsidP="00632439">
            <w:pPr>
              <w:spacing w:after="0" w:line="240" w:lineRule="auto"/>
              <w:jc w:val="center"/>
              <w:rPr>
                <w:rFonts w:eastAsia="Times New Roman" w:cs="Times New Roman"/>
                <w:color w:val="000000"/>
                <w:sz w:val="20"/>
                <w:szCs w:val="20"/>
              </w:rPr>
            </w:pPr>
            <w:r w:rsidRPr="008E0B01">
              <w:rPr>
                <w:rFonts w:eastAsia="Times New Roman" w:cs="Times New Roman"/>
                <w:color w:val="000000"/>
                <w:sz w:val="20"/>
                <w:szCs w:val="20"/>
              </w:rPr>
              <w:t>TO281</w:t>
            </w:r>
          </w:p>
        </w:tc>
        <w:tc>
          <w:tcPr>
            <w:tcW w:w="1640" w:type="dxa"/>
            <w:tcBorders>
              <w:top w:val="nil"/>
              <w:left w:val="nil"/>
              <w:bottom w:val="nil"/>
              <w:right w:val="nil"/>
            </w:tcBorders>
            <w:shd w:val="clear" w:color="auto" w:fill="D9D9D9" w:themeFill="background1" w:themeFillShade="D9"/>
            <w:noWrap/>
            <w:vAlign w:val="center"/>
            <w:hideMark/>
          </w:tcPr>
          <w:p w14:paraId="32B6A6CC" w14:textId="77777777" w:rsidR="00021755" w:rsidRPr="008E0B01" w:rsidRDefault="00021755" w:rsidP="00632439">
            <w:pPr>
              <w:spacing w:after="0" w:line="240" w:lineRule="auto"/>
              <w:jc w:val="center"/>
              <w:rPr>
                <w:rFonts w:eastAsia="Times New Roman" w:cs="Times New Roman"/>
                <w:color w:val="000000"/>
                <w:sz w:val="20"/>
                <w:szCs w:val="20"/>
              </w:rPr>
            </w:pPr>
            <w:r w:rsidRPr="008E0B01">
              <w:rPr>
                <w:rFonts w:eastAsia="Times New Roman" w:cs="Times New Roman"/>
                <w:color w:val="000000"/>
                <w:sz w:val="20"/>
                <w:szCs w:val="20"/>
              </w:rPr>
              <w:t>1:38:35</w:t>
            </w:r>
          </w:p>
        </w:tc>
        <w:tc>
          <w:tcPr>
            <w:tcW w:w="1151" w:type="dxa"/>
            <w:tcBorders>
              <w:top w:val="nil"/>
              <w:left w:val="nil"/>
              <w:bottom w:val="nil"/>
              <w:right w:val="nil"/>
            </w:tcBorders>
            <w:shd w:val="clear" w:color="auto" w:fill="D9D9D9" w:themeFill="background1" w:themeFillShade="D9"/>
            <w:vAlign w:val="center"/>
          </w:tcPr>
          <w:p w14:paraId="2429BF58" w14:textId="77777777" w:rsidR="00021755" w:rsidRPr="008E0B01" w:rsidRDefault="00021755" w:rsidP="00632439">
            <w:pPr>
              <w:spacing w:after="0" w:line="240" w:lineRule="auto"/>
              <w:jc w:val="center"/>
              <w:rPr>
                <w:rFonts w:eastAsia="Times New Roman" w:cs="Times New Roman"/>
                <w:color w:val="000000"/>
                <w:sz w:val="20"/>
                <w:szCs w:val="20"/>
              </w:rPr>
            </w:pPr>
            <w:r w:rsidRPr="008E0B01">
              <w:rPr>
                <w:rFonts w:eastAsia="Times New Roman" w:cs="Times New Roman"/>
                <w:color w:val="000000"/>
                <w:sz w:val="20"/>
                <w:szCs w:val="20"/>
              </w:rPr>
              <w:t>57:30:40</w:t>
            </w:r>
          </w:p>
        </w:tc>
        <w:tc>
          <w:tcPr>
            <w:tcW w:w="1100" w:type="dxa"/>
            <w:tcBorders>
              <w:top w:val="nil"/>
              <w:left w:val="nil"/>
              <w:bottom w:val="nil"/>
              <w:right w:val="nil"/>
            </w:tcBorders>
            <w:shd w:val="clear" w:color="auto" w:fill="D9D9D9" w:themeFill="background1" w:themeFillShade="D9"/>
            <w:noWrap/>
            <w:vAlign w:val="center"/>
            <w:hideMark/>
          </w:tcPr>
          <w:p w14:paraId="709E67A3" w14:textId="77777777" w:rsidR="00021755" w:rsidRPr="008E0B01" w:rsidRDefault="00021755" w:rsidP="00632439">
            <w:pPr>
              <w:spacing w:after="0" w:line="240" w:lineRule="auto"/>
              <w:jc w:val="center"/>
              <w:rPr>
                <w:rFonts w:eastAsia="Times New Roman" w:cs="Times New Roman"/>
                <w:color w:val="000000"/>
                <w:sz w:val="20"/>
                <w:szCs w:val="20"/>
              </w:rPr>
            </w:pPr>
            <w:r w:rsidRPr="008E0B01">
              <w:rPr>
                <w:rFonts w:eastAsia="Times New Roman" w:cs="Times New Roman"/>
                <w:color w:val="000000"/>
                <w:sz w:val="20"/>
                <w:szCs w:val="20"/>
              </w:rPr>
              <w:t>0.66%</w:t>
            </w:r>
          </w:p>
        </w:tc>
      </w:tr>
    </w:tbl>
    <w:p w14:paraId="5DBECA1F" w14:textId="09875636" w:rsidR="00021755" w:rsidRDefault="00021755" w:rsidP="00193270">
      <w:pPr>
        <w:spacing w:before="240"/>
        <w:rPr>
          <w:lang w:eastAsia="en-US"/>
        </w:rPr>
      </w:pPr>
      <w:r>
        <w:rPr>
          <w:lang w:eastAsia="en-US"/>
        </w:rPr>
        <w:t xml:space="preserve">Not surprisingly, the PFD transport medic units display the highest UHU rates. These units respond to nearly 80 percent of current service demand. </w:t>
      </w:r>
      <w:r w:rsidRPr="00C57178">
        <w:t xml:space="preserve">Transport time to the hospital, patient handoff, </w:t>
      </w:r>
      <w:r>
        <w:t xml:space="preserve">report writing, </w:t>
      </w:r>
      <w:r w:rsidRPr="00C57178">
        <w:t xml:space="preserve">and </w:t>
      </w:r>
      <w:r>
        <w:t>restocking</w:t>
      </w:r>
      <w:r w:rsidRPr="00C57178">
        <w:t xml:space="preserve"> increases the time medic units are unavailable.</w:t>
      </w:r>
      <w:r>
        <w:t xml:space="preserve"> On average, medic units are committed to an incident between 30-35 minutes. </w:t>
      </w:r>
      <w:r>
        <w:rPr>
          <w:lang w:eastAsia="en-US"/>
        </w:rPr>
        <w:t xml:space="preserve">The first out fire apparatus at each of the PFD stations all demonstrate similar UHU rates in the range of </w:t>
      </w:r>
      <w:r w:rsidR="009277A2">
        <w:rPr>
          <w:lang w:eastAsia="en-US"/>
        </w:rPr>
        <w:t>5</w:t>
      </w:r>
      <w:r>
        <w:rPr>
          <w:lang w:eastAsia="en-US"/>
        </w:rPr>
        <w:t xml:space="preserve"> to nearly </w:t>
      </w:r>
      <w:r w:rsidR="009277A2">
        <w:rPr>
          <w:lang w:eastAsia="en-US"/>
        </w:rPr>
        <w:t>6</w:t>
      </w:r>
      <w:r>
        <w:rPr>
          <w:lang w:eastAsia="en-US"/>
        </w:rPr>
        <w:t xml:space="preserve"> percent. The average time an engine was committed to an incident varies from approximately 18-20 minutes.</w:t>
      </w:r>
    </w:p>
    <w:p w14:paraId="7B5CFC4C" w14:textId="18BCC847" w:rsidR="00021755" w:rsidRDefault="00021755" w:rsidP="00021755">
      <w:pPr>
        <w:rPr>
          <w:lang w:eastAsia="en-US"/>
        </w:rPr>
      </w:pPr>
      <w:r>
        <w:rPr>
          <w:rFonts w:asciiTheme="majorHAnsi" w:eastAsia="Calibri" w:hAnsiTheme="majorHAnsi" w:cs="Arial"/>
        </w:rPr>
        <w:t>Industry best practice documents</w:t>
      </w:r>
      <w:r>
        <w:rPr>
          <w:rStyle w:val="FootnoteReference"/>
          <w:rFonts w:asciiTheme="majorHAnsi" w:eastAsia="Calibri" w:hAnsiTheme="majorHAnsi"/>
          <w:i/>
        </w:rPr>
        <w:footnoteReference w:id="35"/>
      </w:r>
      <w:r w:rsidRPr="00BB1F4B">
        <w:rPr>
          <w:rFonts w:asciiTheme="majorHAnsi" w:eastAsia="Calibri" w:hAnsiTheme="majorHAnsi" w:cs="Arial"/>
        </w:rPr>
        <w:t xml:space="preserve"> suggest that UHU rates </w:t>
      </w:r>
      <w:r>
        <w:rPr>
          <w:rFonts w:asciiTheme="majorHAnsi" w:eastAsia="Calibri" w:hAnsiTheme="majorHAnsi" w:cs="Arial"/>
        </w:rPr>
        <w:t xml:space="preserve">for individual apparatus </w:t>
      </w:r>
      <w:r w:rsidRPr="00BB1F4B">
        <w:rPr>
          <w:rFonts w:asciiTheme="majorHAnsi" w:eastAsia="Calibri" w:hAnsiTheme="majorHAnsi" w:cs="Arial"/>
        </w:rPr>
        <w:t xml:space="preserve">in the range of 25 to 30 percent for fire and </w:t>
      </w:r>
      <w:r>
        <w:rPr>
          <w:rFonts w:asciiTheme="majorHAnsi" w:eastAsia="Calibri" w:hAnsiTheme="majorHAnsi" w:cs="Arial"/>
        </w:rPr>
        <w:t>EMS</w:t>
      </w:r>
      <w:r w:rsidRPr="00BB1F4B">
        <w:rPr>
          <w:rFonts w:asciiTheme="majorHAnsi" w:eastAsia="Calibri" w:hAnsiTheme="majorHAnsi" w:cs="Arial"/>
        </w:rPr>
        <w:t xml:space="preserve"> units can </w:t>
      </w:r>
      <w:r w:rsidR="009277A2">
        <w:rPr>
          <w:rFonts w:asciiTheme="majorHAnsi" w:eastAsia="Calibri" w:hAnsiTheme="majorHAnsi" w:cs="Arial"/>
        </w:rPr>
        <w:t xml:space="preserve">lead to employee burnout issues </w:t>
      </w:r>
      <w:r w:rsidRPr="00BB1F4B">
        <w:rPr>
          <w:rFonts w:asciiTheme="majorHAnsi" w:eastAsia="Calibri" w:hAnsiTheme="majorHAnsi" w:cs="Arial"/>
        </w:rPr>
        <w:t>and can negatively affect station and unit reliability. Currently UHU rates in the study area do not exceed these levels. Note that as unit hour utilization increases, not only are units less av</w:t>
      </w:r>
      <w:r w:rsidR="009277A2">
        <w:rPr>
          <w:rFonts w:asciiTheme="majorHAnsi" w:eastAsia="Calibri" w:hAnsiTheme="majorHAnsi" w:cs="Arial"/>
        </w:rPr>
        <w:t>ailable for emergency responses,</w:t>
      </w:r>
      <w:r w:rsidRPr="00BB1F4B">
        <w:rPr>
          <w:rFonts w:asciiTheme="majorHAnsi" w:eastAsia="Calibri" w:hAnsiTheme="majorHAnsi" w:cs="Arial"/>
        </w:rPr>
        <w:t xml:space="preserve"> but</w:t>
      </w:r>
      <w:r w:rsidR="009277A2">
        <w:rPr>
          <w:rFonts w:asciiTheme="majorHAnsi" w:eastAsia="Calibri" w:hAnsiTheme="majorHAnsi" w:cs="Arial"/>
        </w:rPr>
        <w:t xml:space="preserve"> they are</w:t>
      </w:r>
      <w:r w:rsidRPr="00BB1F4B">
        <w:rPr>
          <w:rFonts w:asciiTheme="majorHAnsi" w:eastAsia="Calibri" w:hAnsiTheme="majorHAnsi" w:cs="Arial"/>
        </w:rPr>
        <w:t xml:space="preserve"> also less likely to complete other duties, such as inspections, training, public education, and maintenance. </w:t>
      </w:r>
      <w:r>
        <w:rPr>
          <w:rFonts w:asciiTheme="majorHAnsi" w:eastAsia="Calibri" w:hAnsiTheme="majorHAnsi" w:cs="Arial"/>
        </w:rPr>
        <w:t>PFD</w:t>
      </w:r>
      <w:r w:rsidRPr="00BB1F4B">
        <w:rPr>
          <w:rFonts w:asciiTheme="majorHAnsi" w:eastAsia="Calibri" w:hAnsiTheme="majorHAnsi" w:cs="Arial"/>
        </w:rPr>
        <w:t xml:space="preserve"> </w:t>
      </w:r>
      <w:r>
        <w:rPr>
          <w:rFonts w:asciiTheme="majorHAnsi" w:eastAsia="Calibri" w:hAnsiTheme="majorHAnsi" w:cs="Arial"/>
        </w:rPr>
        <w:t xml:space="preserve">should </w:t>
      </w:r>
      <w:r w:rsidRPr="00BB1F4B">
        <w:rPr>
          <w:rFonts w:asciiTheme="majorHAnsi" w:eastAsia="Calibri" w:hAnsiTheme="majorHAnsi" w:cs="Arial"/>
        </w:rPr>
        <w:t>monitor unit hour utilization to ensure that response performance and other duties are not negatively affected.</w:t>
      </w:r>
      <w:r>
        <w:rPr>
          <w:lang w:eastAsia="en-US"/>
        </w:rPr>
        <w:t xml:space="preserve"> </w:t>
      </w:r>
      <w:r w:rsidR="009277A2">
        <w:rPr>
          <w:lang w:eastAsia="en-US"/>
        </w:rPr>
        <w:t>T</w:t>
      </w:r>
      <w:r>
        <w:rPr>
          <w:lang w:eastAsia="en-US"/>
        </w:rPr>
        <w:t>he overall UHU rate for all PFD apparatus increased from approximately 53 percent to over 58 percent between 2014 and 2015.</w:t>
      </w:r>
    </w:p>
    <w:p w14:paraId="1D5C148D" w14:textId="03C8271A" w:rsidR="00003327" w:rsidRDefault="00003327" w:rsidP="00021755">
      <w:pPr>
        <w:rPr>
          <w:lang w:eastAsia="en-US"/>
        </w:rPr>
      </w:pPr>
      <w:r>
        <w:rPr>
          <w:lang w:eastAsia="en-US"/>
        </w:rPr>
        <w:t xml:space="preserve">It is important to understand that PFD’s response protocols necessitate Medic Unit crews to </w:t>
      </w:r>
      <w:r w:rsidR="00C35B4C">
        <w:rPr>
          <w:lang w:eastAsia="en-US"/>
        </w:rPr>
        <w:t>merge with</w:t>
      </w:r>
      <w:r>
        <w:rPr>
          <w:lang w:eastAsia="en-US"/>
        </w:rPr>
        <w:t xml:space="preserve"> the</w:t>
      </w:r>
      <w:r w:rsidR="00497B08">
        <w:rPr>
          <w:lang w:eastAsia="en-US"/>
        </w:rPr>
        <w:t>ir sister</w:t>
      </w:r>
      <w:r>
        <w:rPr>
          <w:lang w:eastAsia="en-US"/>
        </w:rPr>
        <w:t xml:space="preserve"> fire apparatus when a </w:t>
      </w:r>
      <w:r w:rsidR="00130432">
        <w:rPr>
          <w:lang w:eastAsia="en-US"/>
        </w:rPr>
        <w:t xml:space="preserve">multi-unit fire response is dispatched (i.e., structure fire), resulting in a four-person </w:t>
      </w:r>
      <w:r w:rsidR="00497B08">
        <w:rPr>
          <w:lang w:eastAsia="en-US"/>
        </w:rPr>
        <w:t>fire unit and a non-staffed Medic Unit</w:t>
      </w:r>
      <w:r w:rsidR="00130432">
        <w:rPr>
          <w:lang w:eastAsia="en-US"/>
        </w:rPr>
        <w:t xml:space="preserve">.  </w:t>
      </w:r>
      <w:r w:rsidR="00497B08">
        <w:rPr>
          <w:lang w:eastAsia="en-US"/>
        </w:rPr>
        <w:t xml:space="preserve">This is also dependent upon </w:t>
      </w:r>
      <w:r w:rsidR="00130432">
        <w:rPr>
          <w:lang w:eastAsia="en-US"/>
        </w:rPr>
        <w:t xml:space="preserve">the medic units </w:t>
      </w:r>
      <w:r w:rsidR="00497B08">
        <w:rPr>
          <w:lang w:eastAsia="en-US"/>
        </w:rPr>
        <w:t>and their sister fire engines being</w:t>
      </w:r>
      <w:r w:rsidR="00130432">
        <w:rPr>
          <w:lang w:eastAsia="en-US"/>
        </w:rPr>
        <w:t xml:space="preserve"> in quarters and available</w:t>
      </w:r>
      <w:r w:rsidR="00497B08">
        <w:rPr>
          <w:lang w:eastAsia="en-US"/>
        </w:rPr>
        <w:t xml:space="preserve"> for the crews to merge.</w:t>
      </w:r>
      <w:r w:rsidR="00130432">
        <w:rPr>
          <w:lang w:eastAsia="en-US"/>
        </w:rPr>
        <w:t xml:space="preserve">  If the medic unit </w:t>
      </w:r>
      <w:r w:rsidR="00D33CE8">
        <w:rPr>
          <w:lang w:eastAsia="en-US"/>
        </w:rPr>
        <w:t>and</w:t>
      </w:r>
      <w:r w:rsidR="00130432">
        <w:rPr>
          <w:lang w:eastAsia="en-US"/>
        </w:rPr>
        <w:t xml:space="preserve"> fire engine are separated when the dispatch occurs, they respond to the </w:t>
      </w:r>
      <w:r w:rsidR="00497B08">
        <w:rPr>
          <w:lang w:eastAsia="en-US"/>
        </w:rPr>
        <w:t xml:space="preserve">fire </w:t>
      </w:r>
      <w:r w:rsidR="00130432">
        <w:rPr>
          <w:lang w:eastAsia="en-US"/>
        </w:rPr>
        <w:t>incident separately.  In either case, medical incident response capability is compromised in favor of the critical need for the additional staffing on the structure fire response.</w:t>
      </w:r>
      <w:r w:rsidR="00497B08">
        <w:rPr>
          <w:lang w:eastAsia="en-US"/>
        </w:rPr>
        <w:t xml:space="preserve">  As the UHU for medic units increases above their current activity levels, failure rates (the frequency a unit is unable to achieve its response time objective to its own area) will increase and response times will degrade.</w:t>
      </w:r>
      <w:r w:rsidR="00FB3A7C">
        <w:rPr>
          <w:lang w:eastAsia="en-US"/>
        </w:rPr>
        <w:t xml:space="preserve">  Engine staffing will be an important factor to consider as the Medic Unit UHU approaches 25 percent. </w:t>
      </w:r>
    </w:p>
    <w:p w14:paraId="3947E52C" w14:textId="77777777" w:rsidR="00021755" w:rsidRDefault="00021755" w:rsidP="00021755">
      <w:r w:rsidRPr="00720C14">
        <w:t>Simultaneous or concurrent incidents can affect a fire department’s ability to muster sufficient resources to respond to additional emergencies.</w:t>
      </w:r>
      <w:r>
        <w:t xml:space="preserve"> The following figure demonstrates the number of concurrent incidents experienced by PFD in 2014 and 2015.</w:t>
      </w:r>
    </w:p>
    <w:p w14:paraId="162FA2AD" w14:textId="7B9828C1" w:rsidR="00021755" w:rsidRDefault="00021755" w:rsidP="009277A2">
      <w:pPr>
        <w:pStyle w:val="Caption"/>
      </w:pPr>
      <w:bookmarkStart w:id="250" w:name="_Toc464323716"/>
      <w:r>
        <w:t xml:space="preserve">Figure </w:t>
      </w:r>
      <w:r w:rsidR="00432AD4">
        <w:fldChar w:fldCharType="begin"/>
      </w:r>
      <w:r w:rsidR="00432AD4">
        <w:instrText xml:space="preserve"> SEQ Figure \* ARABIC </w:instrText>
      </w:r>
      <w:r w:rsidR="00432AD4">
        <w:fldChar w:fldCharType="separate"/>
      </w:r>
      <w:r w:rsidR="008209A2">
        <w:rPr>
          <w:noProof/>
        </w:rPr>
        <w:t>74</w:t>
      </w:r>
      <w:r w:rsidR="00432AD4">
        <w:rPr>
          <w:noProof/>
        </w:rPr>
        <w:fldChar w:fldCharType="end"/>
      </w:r>
      <w:r>
        <w:t>: Concurrent Incidents, 2014-2015</w:t>
      </w:r>
      <w:bookmarkEnd w:id="250"/>
    </w:p>
    <w:tbl>
      <w:tblPr>
        <w:tblW w:w="4508" w:type="dxa"/>
        <w:jc w:val="center"/>
        <w:tblLook w:val="04A0" w:firstRow="1" w:lastRow="0" w:firstColumn="1" w:lastColumn="0" w:noHBand="0" w:noVBand="1"/>
      </w:tblPr>
      <w:tblGrid>
        <w:gridCol w:w="1180"/>
        <w:gridCol w:w="1160"/>
        <w:gridCol w:w="1020"/>
        <w:gridCol w:w="1148"/>
      </w:tblGrid>
      <w:tr w:rsidR="00021755" w:rsidRPr="002F0CAA" w14:paraId="10A62089" w14:textId="77777777" w:rsidTr="00632439">
        <w:trPr>
          <w:trHeight w:val="542"/>
          <w:tblHeader/>
          <w:jc w:val="center"/>
        </w:trPr>
        <w:tc>
          <w:tcPr>
            <w:tcW w:w="1180" w:type="dxa"/>
            <w:tcBorders>
              <w:top w:val="nil"/>
              <w:left w:val="nil"/>
              <w:bottom w:val="single" w:sz="4" w:space="0" w:color="auto"/>
              <w:right w:val="nil"/>
            </w:tcBorders>
            <w:shd w:val="clear" w:color="000000" w:fill="1F497D"/>
            <w:vAlign w:val="center"/>
            <w:hideMark/>
          </w:tcPr>
          <w:p w14:paraId="3C808A95" w14:textId="77777777" w:rsidR="00021755" w:rsidRPr="002F0CAA" w:rsidRDefault="00021755" w:rsidP="00632439">
            <w:pPr>
              <w:spacing w:after="0" w:line="240" w:lineRule="auto"/>
              <w:jc w:val="center"/>
              <w:rPr>
                <w:rFonts w:eastAsia="Times New Roman" w:cs="Arial"/>
                <w:b/>
                <w:bCs/>
                <w:color w:val="FFFFFF"/>
                <w:sz w:val="20"/>
                <w:szCs w:val="20"/>
                <w:lang w:eastAsia="en-US"/>
              </w:rPr>
            </w:pPr>
            <w:r w:rsidRPr="002F0CAA">
              <w:rPr>
                <w:rFonts w:eastAsia="Times New Roman" w:cs="Arial"/>
                <w:b/>
                <w:bCs/>
                <w:color w:val="FFFFFF"/>
                <w:sz w:val="20"/>
                <w:szCs w:val="20"/>
                <w:lang w:eastAsia="en-US"/>
              </w:rPr>
              <w:t> </w:t>
            </w:r>
          </w:p>
        </w:tc>
        <w:tc>
          <w:tcPr>
            <w:tcW w:w="1160" w:type="dxa"/>
            <w:tcBorders>
              <w:top w:val="nil"/>
              <w:left w:val="nil"/>
              <w:bottom w:val="single" w:sz="4" w:space="0" w:color="auto"/>
              <w:right w:val="nil"/>
            </w:tcBorders>
            <w:shd w:val="clear" w:color="000000" w:fill="1F497D"/>
            <w:vAlign w:val="center"/>
            <w:hideMark/>
          </w:tcPr>
          <w:p w14:paraId="2A5157C3" w14:textId="77777777" w:rsidR="00021755" w:rsidRPr="002F0CAA" w:rsidRDefault="00021755" w:rsidP="00632439">
            <w:pPr>
              <w:spacing w:after="0" w:line="240" w:lineRule="auto"/>
              <w:jc w:val="center"/>
              <w:rPr>
                <w:rFonts w:eastAsia="Times New Roman" w:cs="Arial"/>
                <w:b/>
                <w:bCs/>
                <w:color w:val="FFFFFF"/>
                <w:sz w:val="20"/>
                <w:szCs w:val="20"/>
                <w:lang w:eastAsia="en-US"/>
              </w:rPr>
            </w:pPr>
            <w:r w:rsidRPr="002F0CAA">
              <w:rPr>
                <w:rFonts w:eastAsia="Times New Roman" w:cs="Arial"/>
                <w:b/>
                <w:bCs/>
                <w:color w:val="FFFFFF"/>
                <w:sz w:val="20"/>
                <w:szCs w:val="20"/>
                <w:lang w:eastAsia="en-US"/>
              </w:rPr>
              <w:t>Concurrent Incidents</w:t>
            </w:r>
          </w:p>
        </w:tc>
        <w:tc>
          <w:tcPr>
            <w:tcW w:w="1020" w:type="dxa"/>
            <w:tcBorders>
              <w:top w:val="nil"/>
              <w:left w:val="nil"/>
              <w:bottom w:val="single" w:sz="4" w:space="0" w:color="auto"/>
              <w:right w:val="nil"/>
            </w:tcBorders>
            <w:shd w:val="clear" w:color="000000" w:fill="1F497D"/>
            <w:vAlign w:val="center"/>
            <w:hideMark/>
          </w:tcPr>
          <w:p w14:paraId="0DA0A152" w14:textId="77777777" w:rsidR="00021755" w:rsidRPr="002F0CAA" w:rsidRDefault="00021755" w:rsidP="00632439">
            <w:pPr>
              <w:spacing w:after="0" w:line="240" w:lineRule="auto"/>
              <w:jc w:val="center"/>
              <w:rPr>
                <w:rFonts w:eastAsia="Times New Roman" w:cs="Arial"/>
                <w:b/>
                <w:bCs/>
                <w:color w:val="FFFFFF"/>
                <w:sz w:val="20"/>
                <w:szCs w:val="20"/>
                <w:lang w:eastAsia="en-US"/>
              </w:rPr>
            </w:pPr>
            <w:r w:rsidRPr="002F0CAA">
              <w:rPr>
                <w:rFonts w:eastAsia="Times New Roman" w:cs="Arial"/>
                <w:b/>
                <w:bCs/>
                <w:color w:val="FFFFFF"/>
                <w:sz w:val="20"/>
                <w:szCs w:val="20"/>
                <w:lang w:eastAsia="en-US"/>
              </w:rPr>
              <w:t>Total Incidents</w:t>
            </w:r>
          </w:p>
        </w:tc>
        <w:tc>
          <w:tcPr>
            <w:tcW w:w="1148" w:type="dxa"/>
            <w:tcBorders>
              <w:top w:val="nil"/>
              <w:left w:val="nil"/>
              <w:bottom w:val="single" w:sz="4" w:space="0" w:color="auto"/>
              <w:right w:val="nil"/>
            </w:tcBorders>
            <w:shd w:val="clear" w:color="000000" w:fill="1F497D"/>
            <w:vAlign w:val="center"/>
            <w:hideMark/>
          </w:tcPr>
          <w:p w14:paraId="66597338" w14:textId="77777777" w:rsidR="00021755" w:rsidRPr="002F0CAA" w:rsidRDefault="00021755" w:rsidP="00632439">
            <w:pPr>
              <w:spacing w:after="0" w:line="240" w:lineRule="auto"/>
              <w:jc w:val="center"/>
              <w:rPr>
                <w:rFonts w:eastAsia="Times New Roman" w:cs="Arial"/>
                <w:b/>
                <w:bCs/>
                <w:color w:val="FFFFFF"/>
                <w:sz w:val="20"/>
                <w:szCs w:val="20"/>
                <w:lang w:eastAsia="en-US"/>
              </w:rPr>
            </w:pPr>
            <w:r w:rsidRPr="002F0CAA">
              <w:rPr>
                <w:rFonts w:eastAsia="Times New Roman" w:cs="Arial"/>
                <w:b/>
                <w:bCs/>
                <w:color w:val="FFFFFF"/>
                <w:sz w:val="20"/>
                <w:szCs w:val="20"/>
                <w:lang w:eastAsia="en-US"/>
              </w:rPr>
              <w:t>Percent Concurrent</w:t>
            </w:r>
          </w:p>
        </w:tc>
      </w:tr>
      <w:tr w:rsidR="00021755" w:rsidRPr="002F0CAA" w14:paraId="619F8A3C" w14:textId="77777777" w:rsidTr="00632439">
        <w:trPr>
          <w:trHeight w:val="271"/>
          <w:jc w:val="center"/>
        </w:trPr>
        <w:tc>
          <w:tcPr>
            <w:tcW w:w="1180" w:type="dxa"/>
            <w:tcBorders>
              <w:top w:val="nil"/>
              <w:left w:val="nil"/>
              <w:bottom w:val="nil"/>
              <w:right w:val="nil"/>
            </w:tcBorders>
            <w:shd w:val="clear" w:color="auto" w:fill="auto"/>
            <w:noWrap/>
            <w:vAlign w:val="center"/>
            <w:hideMark/>
          </w:tcPr>
          <w:p w14:paraId="503ADE8B" w14:textId="77777777" w:rsidR="00021755" w:rsidRPr="002F0CAA" w:rsidRDefault="00021755" w:rsidP="00632439">
            <w:pPr>
              <w:spacing w:after="0" w:line="240" w:lineRule="auto"/>
              <w:jc w:val="center"/>
              <w:rPr>
                <w:rFonts w:eastAsia="Times New Roman" w:cs="Arial"/>
                <w:sz w:val="20"/>
                <w:szCs w:val="20"/>
                <w:lang w:eastAsia="en-US"/>
              </w:rPr>
            </w:pPr>
            <w:r w:rsidRPr="002F0CAA">
              <w:rPr>
                <w:rFonts w:eastAsia="Times New Roman" w:cs="Arial"/>
                <w:sz w:val="20"/>
                <w:szCs w:val="20"/>
                <w:lang w:eastAsia="en-US"/>
              </w:rPr>
              <w:t>2014</w:t>
            </w:r>
          </w:p>
        </w:tc>
        <w:tc>
          <w:tcPr>
            <w:tcW w:w="1160" w:type="dxa"/>
            <w:tcBorders>
              <w:top w:val="nil"/>
              <w:left w:val="nil"/>
              <w:bottom w:val="nil"/>
              <w:right w:val="nil"/>
            </w:tcBorders>
            <w:shd w:val="clear" w:color="auto" w:fill="auto"/>
            <w:noWrap/>
            <w:vAlign w:val="center"/>
            <w:hideMark/>
          </w:tcPr>
          <w:p w14:paraId="7D784BDD" w14:textId="77777777" w:rsidR="00021755" w:rsidRPr="002F0CAA" w:rsidRDefault="00021755" w:rsidP="00632439">
            <w:pPr>
              <w:spacing w:after="0" w:line="240" w:lineRule="auto"/>
              <w:jc w:val="center"/>
              <w:rPr>
                <w:rFonts w:eastAsia="Times New Roman" w:cs="Arial"/>
                <w:sz w:val="20"/>
                <w:szCs w:val="20"/>
                <w:lang w:eastAsia="en-US"/>
              </w:rPr>
            </w:pPr>
            <w:r w:rsidRPr="002F0CAA">
              <w:rPr>
                <w:rFonts w:eastAsia="Times New Roman" w:cs="Arial"/>
                <w:sz w:val="20"/>
                <w:szCs w:val="20"/>
                <w:lang w:eastAsia="en-US"/>
              </w:rPr>
              <w:t>1,521</w:t>
            </w:r>
          </w:p>
        </w:tc>
        <w:tc>
          <w:tcPr>
            <w:tcW w:w="1020" w:type="dxa"/>
            <w:tcBorders>
              <w:top w:val="nil"/>
              <w:left w:val="nil"/>
              <w:bottom w:val="nil"/>
              <w:right w:val="nil"/>
            </w:tcBorders>
            <w:shd w:val="clear" w:color="auto" w:fill="auto"/>
            <w:noWrap/>
            <w:vAlign w:val="center"/>
            <w:hideMark/>
          </w:tcPr>
          <w:p w14:paraId="0B036788" w14:textId="77777777" w:rsidR="00021755" w:rsidRPr="002F0CAA" w:rsidRDefault="00021755" w:rsidP="00632439">
            <w:pPr>
              <w:spacing w:after="0" w:line="240" w:lineRule="auto"/>
              <w:jc w:val="center"/>
              <w:rPr>
                <w:rFonts w:eastAsia="Times New Roman" w:cs="Arial"/>
                <w:sz w:val="20"/>
                <w:szCs w:val="20"/>
                <w:lang w:eastAsia="en-US"/>
              </w:rPr>
            </w:pPr>
            <w:r w:rsidRPr="002F0CAA">
              <w:rPr>
                <w:rFonts w:eastAsia="Times New Roman" w:cs="Arial"/>
                <w:sz w:val="20"/>
                <w:szCs w:val="20"/>
                <w:lang w:eastAsia="en-US"/>
              </w:rPr>
              <w:t>4,715</w:t>
            </w:r>
          </w:p>
        </w:tc>
        <w:tc>
          <w:tcPr>
            <w:tcW w:w="1148" w:type="dxa"/>
            <w:tcBorders>
              <w:top w:val="nil"/>
              <w:left w:val="nil"/>
              <w:bottom w:val="nil"/>
              <w:right w:val="nil"/>
            </w:tcBorders>
            <w:shd w:val="clear" w:color="auto" w:fill="auto"/>
            <w:noWrap/>
            <w:vAlign w:val="center"/>
            <w:hideMark/>
          </w:tcPr>
          <w:p w14:paraId="1CA784D4" w14:textId="77777777" w:rsidR="00021755" w:rsidRPr="002F0CAA" w:rsidRDefault="00021755" w:rsidP="00632439">
            <w:pPr>
              <w:spacing w:after="0" w:line="240" w:lineRule="auto"/>
              <w:jc w:val="center"/>
              <w:rPr>
                <w:rFonts w:eastAsia="Times New Roman" w:cs="Arial"/>
                <w:sz w:val="20"/>
                <w:szCs w:val="20"/>
                <w:lang w:eastAsia="en-US"/>
              </w:rPr>
            </w:pPr>
            <w:r w:rsidRPr="002F0CAA">
              <w:rPr>
                <w:rFonts w:eastAsia="Times New Roman" w:cs="Arial"/>
                <w:sz w:val="20"/>
                <w:szCs w:val="20"/>
                <w:lang w:eastAsia="en-US"/>
              </w:rPr>
              <w:t>32.3%</w:t>
            </w:r>
          </w:p>
        </w:tc>
      </w:tr>
      <w:tr w:rsidR="00021755" w:rsidRPr="002F0CAA" w14:paraId="53D9AF82" w14:textId="77777777" w:rsidTr="00632439">
        <w:trPr>
          <w:trHeight w:val="271"/>
          <w:jc w:val="center"/>
        </w:trPr>
        <w:tc>
          <w:tcPr>
            <w:tcW w:w="1180" w:type="dxa"/>
            <w:tcBorders>
              <w:top w:val="nil"/>
              <w:left w:val="nil"/>
              <w:bottom w:val="nil"/>
              <w:right w:val="nil"/>
            </w:tcBorders>
            <w:shd w:val="clear" w:color="000000" w:fill="D9D9D9"/>
            <w:noWrap/>
            <w:vAlign w:val="center"/>
            <w:hideMark/>
          </w:tcPr>
          <w:p w14:paraId="40871C1A" w14:textId="77777777" w:rsidR="00021755" w:rsidRPr="002F0CAA" w:rsidRDefault="00021755" w:rsidP="00632439">
            <w:pPr>
              <w:spacing w:after="0" w:line="240" w:lineRule="auto"/>
              <w:jc w:val="center"/>
              <w:rPr>
                <w:rFonts w:eastAsia="Times New Roman" w:cs="Arial"/>
                <w:sz w:val="20"/>
                <w:szCs w:val="20"/>
                <w:lang w:eastAsia="en-US"/>
              </w:rPr>
            </w:pPr>
            <w:r w:rsidRPr="002F0CAA">
              <w:rPr>
                <w:rFonts w:eastAsia="Times New Roman" w:cs="Arial"/>
                <w:sz w:val="20"/>
                <w:szCs w:val="20"/>
                <w:lang w:eastAsia="en-US"/>
              </w:rPr>
              <w:t>2015</w:t>
            </w:r>
          </w:p>
        </w:tc>
        <w:tc>
          <w:tcPr>
            <w:tcW w:w="1160" w:type="dxa"/>
            <w:tcBorders>
              <w:top w:val="nil"/>
              <w:left w:val="nil"/>
              <w:bottom w:val="nil"/>
              <w:right w:val="nil"/>
            </w:tcBorders>
            <w:shd w:val="clear" w:color="000000" w:fill="D9D9D9"/>
            <w:noWrap/>
            <w:vAlign w:val="center"/>
            <w:hideMark/>
          </w:tcPr>
          <w:p w14:paraId="1A4DF866" w14:textId="77777777" w:rsidR="00021755" w:rsidRPr="002F0CAA" w:rsidRDefault="00021755" w:rsidP="00632439">
            <w:pPr>
              <w:spacing w:after="0" w:line="240" w:lineRule="auto"/>
              <w:jc w:val="center"/>
              <w:rPr>
                <w:rFonts w:eastAsia="Times New Roman" w:cs="Arial"/>
                <w:sz w:val="20"/>
                <w:szCs w:val="20"/>
                <w:lang w:eastAsia="en-US"/>
              </w:rPr>
            </w:pPr>
            <w:r w:rsidRPr="002F0CAA">
              <w:rPr>
                <w:rFonts w:eastAsia="Times New Roman" w:cs="Arial"/>
                <w:sz w:val="20"/>
                <w:szCs w:val="20"/>
                <w:lang w:eastAsia="en-US"/>
              </w:rPr>
              <w:t>1,843</w:t>
            </w:r>
          </w:p>
        </w:tc>
        <w:tc>
          <w:tcPr>
            <w:tcW w:w="1020" w:type="dxa"/>
            <w:tcBorders>
              <w:top w:val="nil"/>
              <w:left w:val="nil"/>
              <w:bottom w:val="nil"/>
              <w:right w:val="nil"/>
            </w:tcBorders>
            <w:shd w:val="clear" w:color="000000" w:fill="D9D9D9"/>
            <w:noWrap/>
            <w:vAlign w:val="center"/>
            <w:hideMark/>
          </w:tcPr>
          <w:p w14:paraId="3C3F2A8F" w14:textId="77777777" w:rsidR="00021755" w:rsidRPr="002F0CAA" w:rsidRDefault="00021755" w:rsidP="00632439">
            <w:pPr>
              <w:spacing w:after="0" w:line="240" w:lineRule="auto"/>
              <w:jc w:val="center"/>
              <w:rPr>
                <w:rFonts w:eastAsia="Times New Roman" w:cs="Arial"/>
                <w:sz w:val="20"/>
                <w:szCs w:val="20"/>
                <w:lang w:eastAsia="en-US"/>
              </w:rPr>
            </w:pPr>
            <w:r w:rsidRPr="002F0CAA">
              <w:rPr>
                <w:rFonts w:eastAsia="Times New Roman" w:cs="Arial"/>
                <w:sz w:val="20"/>
                <w:szCs w:val="20"/>
                <w:lang w:eastAsia="en-US"/>
              </w:rPr>
              <w:t>5,103</w:t>
            </w:r>
          </w:p>
        </w:tc>
        <w:tc>
          <w:tcPr>
            <w:tcW w:w="1148" w:type="dxa"/>
            <w:tcBorders>
              <w:top w:val="nil"/>
              <w:left w:val="nil"/>
              <w:bottom w:val="nil"/>
              <w:right w:val="nil"/>
            </w:tcBorders>
            <w:shd w:val="clear" w:color="000000" w:fill="D9D9D9"/>
            <w:noWrap/>
            <w:vAlign w:val="center"/>
            <w:hideMark/>
          </w:tcPr>
          <w:p w14:paraId="5E50910E" w14:textId="77777777" w:rsidR="00021755" w:rsidRPr="002F0CAA" w:rsidRDefault="00021755" w:rsidP="00632439">
            <w:pPr>
              <w:spacing w:after="0" w:line="240" w:lineRule="auto"/>
              <w:jc w:val="center"/>
              <w:rPr>
                <w:rFonts w:eastAsia="Times New Roman" w:cs="Arial"/>
                <w:sz w:val="20"/>
                <w:szCs w:val="20"/>
                <w:lang w:eastAsia="en-US"/>
              </w:rPr>
            </w:pPr>
            <w:r w:rsidRPr="002F0CAA">
              <w:rPr>
                <w:rFonts w:eastAsia="Times New Roman" w:cs="Arial"/>
                <w:sz w:val="20"/>
                <w:szCs w:val="20"/>
                <w:lang w:eastAsia="en-US"/>
              </w:rPr>
              <w:t>36.1%</w:t>
            </w:r>
          </w:p>
        </w:tc>
      </w:tr>
    </w:tbl>
    <w:p w14:paraId="612EFDDE" w14:textId="77777777" w:rsidR="00021755" w:rsidRDefault="00021755" w:rsidP="00021755">
      <w:pPr>
        <w:jc w:val="center"/>
        <w:rPr>
          <w:lang w:eastAsia="en-US"/>
        </w:rPr>
      </w:pPr>
    </w:p>
    <w:p w14:paraId="0D3C425F" w14:textId="2D0535BB" w:rsidR="00230016" w:rsidRDefault="00021755" w:rsidP="00021755">
      <w:pPr>
        <w:rPr>
          <w:lang w:eastAsia="en-US"/>
        </w:rPr>
      </w:pPr>
      <w:r>
        <w:rPr>
          <w:lang w:eastAsia="en-US"/>
        </w:rPr>
        <w:t xml:space="preserve">Over 30 percent of 2014 and 2015 PFD service demand occurred while another incident was in progress. The number of concurrent incidents increased from 1,521 to 1,843 between 2014 and 2015. </w:t>
      </w:r>
      <w:r w:rsidR="00230016">
        <w:rPr>
          <w:lang w:eastAsia="en-US"/>
        </w:rPr>
        <w:t xml:space="preserve">With over 36 percent of the service demand occurring concurrently in 2015, the increase over 2014 </w:t>
      </w:r>
      <w:r w:rsidR="00497B08">
        <w:rPr>
          <w:lang w:eastAsia="en-US"/>
        </w:rPr>
        <w:t>reflects 21</w:t>
      </w:r>
      <w:r>
        <w:rPr>
          <w:lang w:eastAsia="en-US"/>
        </w:rPr>
        <w:t xml:space="preserve"> percent</w:t>
      </w:r>
      <w:r w:rsidR="00230016">
        <w:rPr>
          <w:lang w:eastAsia="en-US"/>
        </w:rPr>
        <w:t xml:space="preserve"> growth year-over-year.</w:t>
      </w:r>
    </w:p>
    <w:p w14:paraId="18B6AD68" w14:textId="00C12886" w:rsidR="00021755" w:rsidRDefault="00021755" w:rsidP="00021755">
      <w:pPr>
        <w:rPr>
          <w:lang w:eastAsia="en-US"/>
        </w:rPr>
      </w:pPr>
      <w:r>
        <w:rPr>
          <w:lang w:eastAsia="en-US"/>
        </w:rPr>
        <w:t>PFD has identified the frequency of concurrent incidents as an issue that negatively affects PFD response performance. In addition to tracking the overall occurrence of overlapping incidents, PFD tracks the percentage of instances of overlapping incidents within each station’s service area. In other words, how many times was a station committed to an incident when another incident in the same station area occurred? The following figure displays the percentage of concurrent incidents that occurred within each of the PFD first due station areas.</w:t>
      </w:r>
    </w:p>
    <w:p w14:paraId="332736F0" w14:textId="447B9C53" w:rsidR="00021755" w:rsidRDefault="00021755" w:rsidP="009277A2">
      <w:pPr>
        <w:pStyle w:val="Caption"/>
      </w:pPr>
      <w:bookmarkStart w:id="251" w:name="_Toc464323717"/>
      <w:r>
        <w:t xml:space="preserve">Figure </w:t>
      </w:r>
      <w:r w:rsidR="00432AD4">
        <w:fldChar w:fldCharType="begin"/>
      </w:r>
      <w:r w:rsidR="00432AD4">
        <w:instrText xml:space="preserve"> SEQ Figure \* ARABIC </w:instrText>
      </w:r>
      <w:r w:rsidR="00432AD4">
        <w:fldChar w:fldCharType="separate"/>
      </w:r>
      <w:r w:rsidR="008209A2">
        <w:rPr>
          <w:noProof/>
        </w:rPr>
        <w:t>75</w:t>
      </w:r>
      <w:r w:rsidR="00432AD4">
        <w:rPr>
          <w:noProof/>
        </w:rPr>
        <w:fldChar w:fldCharType="end"/>
      </w:r>
      <w:r w:rsidR="009277A2">
        <w:t xml:space="preserve">: </w:t>
      </w:r>
      <w:r>
        <w:t>Concurrent Incidents by Station Area, 2014-2015</w:t>
      </w:r>
      <w:bookmarkEnd w:id="251"/>
    </w:p>
    <w:tbl>
      <w:tblPr>
        <w:tblW w:w="3075" w:type="dxa"/>
        <w:jc w:val="center"/>
        <w:tblLook w:val="04A0" w:firstRow="1" w:lastRow="0" w:firstColumn="1" w:lastColumn="0" w:noHBand="0" w:noVBand="1"/>
      </w:tblPr>
      <w:tblGrid>
        <w:gridCol w:w="1280"/>
        <w:gridCol w:w="875"/>
        <w:gridCol w:w="920"/>
      </w:tblGrid>
      <w:tr w:rsidR="00021755" w:rsidRPr="0093081C" w14:paraId="60B81D6D" w14:textId="77777777" w:rsidTr="00632439">
        <w:trPr>
          <w:trHeight w:val="286"/>
          <w:tblHeader/>
          <w:jc w:val="center"/>
        </w:trPr>
        <w:tc>
          <w:tcPr>
            <w:tcW w:w="1280" w:type="dxa"/>
            <w:tcBorders>
              <w:top w:val="nil"/>
              <w:left w:val="nil"/>
              <w:bottom w:val="single" w:sz="4" w:space="0" w:color="auto"/>
              <w:right w:val="nil"/>
            </w:tcBorders>
            <w:shd w:val="clear" w:color="auto" w:fill="1F497D" w:themeFill="text2"/>
            <w:noWrap/>
            <w:vAlign w:val="center"/>
            <w:hideMark/>
          </w:tcPr>
          <w:p w14:paraId="02736BF5" w14:textId="77777777" w:rsidR="00021755" w:rsidRPr="009277A2" w:rsidRDefault="00021755" w:rsidP="00632439">
            <w:pPr>
              <w:spacing w:after="0" w:line="240" w:lineRule="auto"/>
              <w:jc w:val="center"/>
              <w:rPr>
                <w:rFonts w:eastAsia="Times New Roman" w:cs="Times New Roman"/>
                <w:b/>
                <w:color w:val="FFFFFF" w:themeColor="background1"/>
                <w:sz w:val="20"/>
                <w:szCs w:val="20"/>
                <w:lang w:eastAsia="en-US"/>
              </w:rPr>
            </w:pPr>
          </w:p>
        </w:tc>
        <w:tc>
          <w:tcPr>
            <w:tcW w:w="875" w:type="dxa"/>
            <w:tcBorders>
              <w:top w:val="nil"/>
              <w:left w:val="nil"/>
              <w:bottom w:val="single" w:sz="4" w:space="0" w:color="auto"/>
              <w:right w:val="nil"/>
            </w:tcBorders>
            <w:shd w:val="clear" w:color="auto" w:fill="1F497D" w:themeFill="text2"/>
            <w:noWrap/>
            <w:vAlign w:val="center"/>
            <w:hideMark/>
          </w:tcPr>
          <w:p w14:paraId="21015685" w14:textId="77777777" w:rsidR="00021755" w:rsidRPr="009277A2" w:rsidRDefault="00021755" w:rsidP="00632439">
            <w:pPr>
              <w:spacing w:after="0" w:line="240" w:lineRule="auto"/>
              <w:jc w:val="center"/>
              <w:rPr>
                <w:rFonts w:eastAsia="Times New Roman" w:cs="Times New Roman"/>
                <w:b/>
                <w:color w:val="FFFFFF" w:themeColor="background1"/>
                <w:sz w:val="20"/>
                <w:szCs w:val="20"/>
                <w:lang w:eastAsia="en-US"/>
              </w:rPr>
            </w:pPr>
            <w:r w:rsidRPr="009277A2">
              <w:rPr>
                <w:rFonts w:eastAsia="Times New Roman" w:cs="Times New Roman"/>
                <w:b/>
                <w:color w:val="FFFFFF" w:themeColor="background1"/>
                <w:sz w:val="20"/>
                <w:szCs w:val="20"/>
                <w:lang w:eastAsia="en-US"/>
              </w:rPr>
              <w:t>2014</w:t>
            </w:r>
          </w:p>
        </w:tc>
        <w:tc>
          <w:tcPr>
            <w:tcW w:w="920" w:type="dxa"/>
            <w:tcBorders>
              <w:top w:val="nil"/>
              <w:left w:val="nil"/>
              <w:bottom w:val="single" w:sz="4" w:space="0" w:color="auto"/>
              <w:right w:val="nil"/>
            </w:tcBorders>
            <w:shd w:val="clear" w:color="auto" w:fill="1F497D" w:themeFill="text2"/>
            <w:noWrap/>
            <w:vAlign w:val="center"/>
            <w:hideMark/>
          </w:tcPr>
          <w:p w14:paraId="4B60EEDB" w14:textId="77777777" w:rsidR="00021755" w:rsidRPr="009277A2" w:rsidRDefault="00021755" w:rsidP="00632439">
            <w:pPr>
              <w:spacing w:after="0" w:line="240" w:lineRule="auto"/>
              <w:jc w:val="center"/>
              <w:rPr>
                <w:rFonts w:eastAsia="Times New Roman" w:cs="Times New Roman"/>
                <w:b/>
                <w:color w:val="FFFFFF" w:themeColor="background1"/>
                <w:sz w:val="20"/>
                <w:szCs w:val="20"/>
                <w:lang w:eastAsia="en-US"/>
              </w:rPr>
            </w:pPr>
            <w:r w:rsidRPr="009277A2">
              <w:rPr>
                <w:rFonts w:eastAsia="Times New Roman" w:cs="Times New Roman"/>
                <w:b/>
                <w:color w:val="FFFFFF" w:themeColor="background1"/>
                <w:sz w:val="20"/>
                <w:szCs w:val="20"/>
                <w:lang w:eastAsia="en-US"/>
              </w:rPr>
              <w:t>2015</w:t>
            </w:r>
          </w:p>
        </w:tc>
      </w:tr>
      <w:tr w:rsidR="00021755" w:rsidRPr="0093081C" w14:paraId="3C8B066A" w14:textId="77777777" w:rsidTr="00632439">
        <w:trPr>
          <w:trHeight w:val="286"/>
          <w:jc w:val="center"/>
        </w:trPr>
        <w:tc>
          <w:tcPr>
            <w:tcW w:w="1280" w:type="dxa"/>
            <w:tcBorders>
              <w:top w:val="single" w:sz="4" w:space="0" w:color="auto"/>
              <w:left w:val="nil"/>
              <w:right w:val="nil"/>
            </w:tcBorders>
            <w:shd w:val="clear" w:color="auto" w:fill="auto"/>
            <w:noWrap/>
            <w:vAlign w:val="center"/>
            <w:hideMark/>
          </w:tcPr>
          <w:p w14:paraId="124DBE95" w14:textId="77777777" w:rsidR="00021755" w:rsidRPr="009277A2" w:rsidRDefault="00021755" w:rsidP="00632439">
            <w:pPr>
              <w:spacing w:after="0" w:line="240" w:lineRule="auto"/>
              <w:jc w:val="left"/>
              <w:rPr>
                <w:rFonts w:eastAsia="Times New Roman" w:cs="Times New Roman"/>
                <w:color w:val="000000"/>
                <w:sz w:val="20"/>
                <w:szCs w:val="20"/>
                <w:lang w:eastAsia="en-US"/>
              </w:rPr>
            </w:pPr>
            <w:r w:rsidRPr="009277A2">
              <w:rPr>
                <w:rFonts w:eastAsia="Times New Roman" w:cs="Times New Roman"/>
                <w:color w:val="000000"/>
                <w:sz w:val="20"/>
                <w:szCs w:val="20"/>
                <w:lang w:eastAsia="en-US"/>
              </w:rPr>
              <w:t>Station 81</w:t>
            </w:r>
          </w:p>
        </w:tc>
        <w:tc>
          <w:tcPr>
            <w:tcW w:w="875" w:type="dxa"/>
            <w:tcBorders>
              <w:top w:val="single" w:sz="4" w:space="0" w:color="auto"/>
              <w:left w:val="nil"/>
              <w:right w:val="nil"/>
            </w:tcBorders>
            <w:shd w:val="clear" w:color="auto" w:fill="auto"/>
            <w:noWrap/>
            <w:vAlign w:val="center"/>
            <w:hideMark/>
          </w:tcPr>
          <w:p w14:paraId="4B9527C1" w14:textId="77777777" w:rsidR="00021755" w:rsidRPr="009277A2" w:rsidRDefault="00021755" w:rsidP="00632439">
            <w:pPr>
              <w:spacing w:after="0" w:line="240" w:lineRule="auto"/>
              <w:jc w:val="center"/>
              <w:rPr>
                <w:rFonts w:eastAsia="Times New Roman" w:cs="Times New Roman"/>
                <w:color w:val="000000"/>
                <w:sz w:val="20"/>
                <w:szCs w:val="20"/>
                <w:lang w:eastAsia="en-US"/>
              </w:rPr>
            </w:pPr>
            <w:r w:rsidRPr="009277A2">
              <w:rPr>
                <w:rFonts w:eastAsia="Times New Roman" w:cs="Times New Roman"/>
                <w:color w:val="000000"/>
                <w:sz w:val="20"/>
                <w:szCs w:val="20"/>
                <w:lang w:eastAsia="en-US"/>
              </w:rPr>
              <w:t>12.5%</w:t>
            </w:r>
          </w:p>
        </w:tc>
        <w:tc>
          <w:tcPr>
            <w:tcW w:w="920" w:type="dxa"/>
            <w:tcBorders>
              <w:top w:val="single" w:sz="4" w:space="0" w:color="auto"/>
              <w:left w:val="nil"/>
              <w:right w:val="nil"/>
            </w:tcBorders>
            <w:shd w:val="clear" w:color="auto" w:fill="auto"/>
            <w:noWrap/>
            <w:vAlign w:val="center"/>
            <w:hideMark/>
          </w:tcPr>
          <w:p w14:paraId="3422F7D9" w14:textId="77777777" w:rsidR="00021755" w:rsidRPr="009277A2" w:rsidRDefault="00021755" w:rsidP="00632439">
            <w:pPr>
              <w:spacing w:after="0" w:line="240" w:lineRule="auto"/>
              <w:jc w:val="center"/>
              <w:rPr>
                <w:rFonts w:eastAsia="Times New Roman" w:cs="Times New Roman"/>
                <w:color w:val="000000"/>
                <w:sz w:val="20"/>
                <w:szCs w:val="20"/>
                <w:lang w:eastAsia="en-US"/>
              </w:rPr>
            </w:pPr>
            <w:r w:rsidRPr="009277A2">
              <w:rPr>
                <w:rFonts w:eastAsia="Times New Roman" w:cs="Times New Roman"/>
                <w:color w:val="000000"/>
                <w:sz w:val="20"/>
                <w:szCs w:val="20"/>
                <w:lang w:eastAsia="en-US"/>
              </w:rPr>
              <w:t>15.4%</w:t>
            </w:r>
          </w:p>
        </w:tc>
      </w:tr>
      <w:tr w:rsidR="00021755" w:rsidRPr="0093081C" w14:paraId="0940424B" w14:textId="77777777" w:rsidTr="00632439">
        <w:trPr>
          <w:trHeight w:val="286"/>
          <w:jc w:val="center"/>
        </w:trPr>
        <w:tc>
          <w:tcPr>
            <w:tcW w:w="1280" w:type="dxa"/>
            <w:tcBorders>
              <w:top w:val="nil"/>
              <w:left w:val="nil"/>
              <w:bottom w:val="nil"/>
              <w:right w:val="nil"/>
            </w:tcBorders>
            <w:shd w:val="clear" w:color="auto" w:fill="D9D9D9" w:themeFill="background1" w:themeFillShade="D9"/>
            <w:noWrap/>
            <w:vAlign w:val="center"/>
            <w:hideMark/>
          </w:tcPr>
          <w:p w14:paraId="3C81EE65" w14:textId="77777777" w:rsidR="00021755" w:rsidRPr="009277A2" w:rsidRDefault="00021755" w:rsidP="00632439">
            <w:pPr>
              <w:spacing w:after="0" w:line="240" w:lineRule="auto"/>
              <w:jc w:val="left"/>
              <w:rPr>
                <w:rFonts w:eastAsia="Times New Roman" w:cs="Times New Roman"/>
                <w:color w:val="000000"/>
                <w:sz w:val="20"/>
                <w:szCs w:val="20"/>
                <w:lang w:eastAsia="en-US"/>
              </w:rPr>
            </w:pPr>
            <w:r w:rsidRPr="009277A2">
              <w:rPr>
                <w:rFonts w:eastAsia="Times New Roman" w:cs="Times New Roman"/>
                <w:color w:val="000000"/>
                <w:sz w:val="20"/>
                <w:szCs w:val="20"/>
                <w:lang w:eastAsia="en-US"/>
              </w:rPr>
              <w:t>Station 82</w:t>
            </w:r>
          </w:p>
        </w:tc>
        <w:tc>
          <w:tcPr>
            <w:tcW w:w="875" w:type="dxa"/>
            <w:tcBorders>
              <w:top w:val="nil"/>
              <w:left w:val="nil"/>
              <w:bottom w:val="nil"/>
              <w:right w:val="nil"/>
            </w:tcBorders>
            <w:shd w:val="clear" w:color="auto" w:fill="D9D9D9" w:themeFill="background1" w:themeFillShade="D9"/>
            <w:noWrap/>
            <w:vAlign w:val="center"/>
            <w:hideMark/>
          </w:tcPr>
          <w:p w14:paraId="5FA36305" w14:textId="77777777" w:rsidR="00021755" w:rsidRPr="009277A2" w:rsidRDefault="00021755" w:rsidP="00632439">
            <w:pPr>
              <w:spacing w:after="0" w:line="240" w:lineRule="auto"/>
              <w:jc w:val="center"/>
              <w:rPr>
                <w:rFonts w:eastAsia="Times New Roman" w:cs="Times New Roman"/>
                <w:color w:val="000000"/>
                <w:sz w:val="20"/>
                <w:szCs w:val="20"/>
                <w:lang w:eastAsia="en-US"/>
              </w:rPr>
            </w:pPr>
            <w:r w:rsidRPr="009277A2">
              <w:rPr>
                <w:rFonts w:eastAsia="Times New Roman" w:cs="Times New Roman"/>
                <w:color w:val="000000"/>
                <w:sz w:val="20"/>
                <w:szCs w:val="20"/>
                <w:lang w:eastAsia="en-US"/>
              </w:rPr>
              <w:t>12.4%</w:t>
            </w:r>
          </w:p>
        </w:tc>
        <w:tc>
          <w:tcPr>
            <w:tcW w:w="920" w:type="dxa"/>
            <w:tcBorders>
              <w:top w:val="nil"/>
              <w:left w:val="nil"/>
              <w:bottom w:val="nil"/>
              <w:right w:val="nil"/>
            </w:tcBorders>
            <w:shd w:val="clear" w:color="auto" w:fill="D9D9D9" w:themeFill="background1" w:themeFillShade="D9"/>
            <w:noWrap/>
            <w:vAlign w:val="center"/>
            <w:hideMark/>
          </w:tcPr>
          <w:p w14:paraId="1A1A97DA" w14:textId="77777777" w:rsidR="00021755" w:rsidRPr="009277A2" w:rsidRDefault="00021755" w:rsidP="00632439">
            <w:pPr>
              <w:spacing w:after="0" w:line="240" w:lineRule="auto"/>
              <w:jc w:val="center"/>
              <w:rPr>
                <w:rFonts w:eastAsia="Times New Roman" w:cs="Times New Roman"/>
                <w:color w:val="000000"/>
                <w:sz w:val="20"/>
                <w:szCs w:val="20"/>
                <w:lang w:eastAsia="en-US"/>
              </w:rPr>
            </w:pPr>
            <w:r w:rsidRPr="009277A2">
              <w:rPr>
                <w:rFonts w:eastAsia="Times New Roman" w:cs="Times New Roman"/>
                <w:color w:val="000000"/>
                <w:sz w:val="20"/>
                <w:szCs w:val="20"/>
                <w:lang w:eastAsia="en-US"/>
              </w:rPr>
              <w:t>13.2%</w:t>
            </w:r>
          </w:p>
        </w:tc>
      </w:tr>
      <w:tr w:rsidR="00021755" w:rsidRPr="0093081C" w14:paraId="2AB8632B" w14:textId="77777777" w:rsidTr="00632439">
        <w:trPr>
          <w:trHeight w:val="286"/>
          <w:jc w:val="center"/>
        </w:trPr>
        <w:tc>
          <w:tcPr>
            <w:tcW w:w="1280" w:type="dxa"/>
            <w:tcBorders>
              <w:top w:val="nil"/>
              <w:left w:val="nil"/>
              <w:bottom w:val="nil"/>
              <w:right w:val="nil"/>
            </w:tcBorders>
            <w:shd w:val="clear" w:color="auto" w:fill="auto"/>
            <w:noWrap/>
            <w:vAlign w:val="center"/>
            <w:hideMark/>
          </w:tcPr>
          <w:p w14:paraId="013BDE4A" w14:textId="77777777" w:rsidR="00021755" w:rsidRPr="009277A2" w:rsidRDefault="00021755" w:rsidP="00632439">
            <w:pPr>
              <w:spacing w:after="0" w:line="240" w:lineRule="auto"/>
              <w:jc w:val="left"/>
              <w:rPr>
                <w:rFonts w:eastAsia="Times New Roman" w:cs="Times New Roman"/>
                <w:color w:val="000000"/>
                <w:sz w:val="20"/>
                <w:szCs w:val="20"/>
                <w:lang w:eastAsia="en-US"/>
              </w:rPr>
            </w:pPr>
            <w:r w:rsidRPr="009277A2">
              <w:rPr>
                <w:rFonts w:eastAsia="Times New Roman" w:cs="Times New Roman"/>
                <w:color w:val="000000"/>
                <w:sz w:val="20"/>
                <w:szCs w:val="20"/>
                <w:lang w:eastAsia="en-US"/>
              </w:rPr>
              <w:t>Station 83</w:t>
            </w:r>
          </w:p>
        </w:tc>
        <w:tc>
          <w:tcPr>
            <w:tcW w:w="875" w:type="dxa"/>
            <w:tcBorders>
              <w:top w:val="nil"/>
              <w:left w:val="nil"/>
              <w:bottom w:val="nil"/>
              <w:right w:val="nil"/>
            </w:tcBorders>
            <w:shd w:val="clear" w:color="auto" w:fill="auto"/>
            <w:noWrap/>
            <w:vAlign w:val="center"/>
            <w:hideMark/>
          </w:tcPr>
          <w:p w14:paraId="70CB6258" w14:textId="77777777" w:rsidR="00021755" w:rsidRPr="009277A2" w:rsidRDefault="00021755" w:rsidP="00632439">
            <w:pPr>
              <w:spacing w:after="0" w:line="240" w:lineRule="auto"/>
              <w:jc w:val="center"/>
              <w:rPr>
                <w:rFonts w:eastAsia="Times New Roman" w:cs="Times New Roman"/>
                <w:color w:val="000000"/>
                <w:sz w:val="20"/>
                <w:szCs w:val="20"/>
                <w:lang w:eastAsia="en-US"/>
              </w:rPr>
            </w:pPr>
            <w:r w:rsidRPr="009277A2">
              <w:rPr>
                <w:rFonts w:eastAsia="Times New Roman" w:cs="Times New Roman"/>
                <w:color w:val="000000"/>
                <w:sz w:val="20"/>
                <w:szCs w:val="20"/>
                <w:lang w:eastAsia="en-US"/>
              </w:rPr>
              <w:t>10.4%</w:t>
            </w:r>
          </w:p>
        </w:tc>
        <w:tc>
          <w:tcPr>
            <w:tcW w:w="920" w:type="dxa"/>
            <w:tcBorders>
              <w:top w:val="nil"/>
              <w:left w:val="nil"/>
              <w:bottom w:val="nil"/>
              <w:right w:val="nil"/>
            </w:tcBorders>
            <w:shd w:val="clear" w:color="auto" w:fill="auto"/>
            <w:noWrap/>
            <w:vAlign w:val="center"/>
            <w:hideMark/>
          </w:tcPr>
          <w:p w14:paraId="4588C347" w14:textId="77777777" w:rsidR="00021755" w:rsidRPr="009277A2" w:rsidRDefault="00021755" w:rsidP="00632439">
            <w:pPr>
              <w:spacing w:after="0" w:line="240" w:lineRule="auto"/>
              <w:jc w:val="center"/>
              <w:rPr>
                <w:rFonts w:eastAsia="Times New Roman" w:cs="Times New Roman"/>
                <w:color w:val="000000"/>
                <w:sz w:val="20"/>
                <w:szCs w:val="20"/>
                <w:lang w:eastAsia="en-US"/>
              </w:rPr>
            </w:pPr>
            <w:r w:rsidRPr="009277A2">
              <w:rPr>
                <w:rFonts w:eastAsia="Times New Roman" w:cs="Times New Roman"/>
                <w:color w:val="000000"/>
                <w:sz w:val="20"/>
                <w:szCs w:val="20"/>
                <w:lang w:eastAsia="en-US"/>
              </w:rPr>
              <w:t>12.3%</w:t>
            </w:r>
          </w:p>
        </w:tc>
      </w:tr>
    </w:tbl>
    <w:p w14:paraId="7EC1436E" w14:textId="77777777" w:rsidR="00021755" w:rsidRDefault="00021755" w:rsidP="00021755"/>
    <w:p w14:paraId="5744D8DB" w14:textId="77C33FAC" w:rsidR="00021755" w:rsidRDefault="00021755" w:rsidP="00021755">
      <w:r>
        <w:t>In 2015, Station 81 exhibits the highest percentage (15.4 percent) of concurrent incidents. Station 83 demonstrates the lowest percentage (12.3 percent) of concurrent incidents. All three PFD stations were committed to an incident over 10 percent of the time when another incident occurred in the same station’s service area. Note that between 2014 and 2015, the frequency of concurrent incidents increased by a</w:t>
      </w:r>
      <w:r w:rsidR="00230016">
        <w:t>n average of almost</w:t>
      </w:r>
      <w:r>
        <w:t xml:space="preserve"> </w:t>
      </w:r>
      <w:r w:rsidR="009277A2">
        <w:t>3</w:t>
      </w:r>
      <w:r>
        <w:t xml:space="preserve"> percent in each of the PFD station areas.  </w:t>
      </w:r>
    </w:p>
    <w:p w14:paraId="07403A2E" w14:textId="77777777" w:rsidR="00021755" w:rsidRPr="0088732C" w:rsidRDefault="00021755" w:rsidP="00021755">
      <w:pPr>
        <w:pStyle w:val="Heading3"/>
      </w:pPr>
      <w:bookmarkStart w:id="252" w:name="_Toc464323606"/>
      <w:r w:rsidRPr="0088732C">
        <w:t>Response Performance</w:t>
      </w:r>
      <w:r>
        <w:t xml:space="preserve"> Summary</w:t>
      </w:r>
      <w:bookmarkEnd w:id="252"/>
    </w:p>
    <w:p w14:paraId="4604AA69" w14:textId="55659C38" w:rsidR="00021755" w:rsidRDefault="00021755" w:rsidP="00021755">
      <w:pPr>
        <w:rPr>
          <w:lang w:eastAsia="en-US"/>
        </w:rPr>
      </w:pPr>
      <w:r>
        <w:rPr>
          <w:lang w:eastAsia="en-US"/>
        </w:rPr>
        <w:t xml:space="preserve">In the performance summary, ESCI reviews current PFD response performance. The </w:t>
      </w:r>
      <w:r w:rsidR="009277A2">
        <w:rPr>
          <w:lang w:eastAsia="en-US"/>
        </w:rPr>
        <w:t xml:space="preserve">Department </w:t>
      </w:r>
      <w:r>
        <w:rPr>
          <w:lang w:eastAsia="en-US"/>
        </w:rPr>
        <w:t>provided ESCI with 2014-2015 incident and apparatus response data recorded and stored in th</w:t>
      </w:r>
      <w:r w:rsidR="009277A2">
        <w:rPr>
          <w:lang w:eastAsia="en-US"/>
        </w:rPr>
        <w:t>e PFD records management system</w:t>
      </w:r>
      <w:r>
        <w:rPr>
          <w:lang w:eastAsia="en-US"/>
        </w:rPr>
        <w:t xml:space="preserve"> software program. As required by the Revised Code of Washington (RCW)</w:t>
      </w:r>
      <w:r>
        <w:rPr>
          <w:rStyle w:val="FootnoteReference"/>
          <w:lang w:eastAsia="en-US"/>
        </w:rPr>
        <w:footnoteReference w:id="36"/>
      </w:r>
      <w:r>
        <w:rPr>
          <w:lang w:eastAsia="en-US"/>
        </w:rPr>
        <w:t xml:space="preserve"> </w:t>
      </w:r>
      <w:r w:rsidR="00956065">
        <w:rPr>
          <w:lang w:eastAsia="en-US"/>
        </w:rPr>
        <w:t>the Pasco City Council</w:t>
      </w:r>
      <w:r>
        <w:rPr>
          <w:lang w:eastAsia="en-US"/>
        </w:rPr>
        <w:t xml:space="preserve"> has established response performance goals and provides a report documenting response performance annually. The following figure displays the current PFD response performance goals and the </w:t>
      </w:r>
      <w:r w:rsidR="009277A2">
        <w:rPr>
          <w:lang w:eastAsia="en-US"/>
        </w:rPr>
        <w:t xml:space="preserve">Department’s </w:t>
      </w:r>
      <w:r>
        <w:rPr>
          <w:lang w:eastAsia="en-US"/>
        </w:rPr>
        <w:t>actual response performance during 2015.</w:t>
      </w:r>
    </w:p>
    <w:p w14:paraId="3C0A64B9" w14:textId="7E17662B" w:rsidR="00021755" w:rsidRDefault="00021755" w:rsidP="00632439">
      <w:pPr>
        <w:pStyle w:val="ESCICaption"/>
      </w:pPr>
      <w:bookmarkStart w:id="253" w:name="_Ref455400779"/>
      <w:bookmarkStart w:id="254" w:name="_Toc464323718"/>
      <w:r>
        <w:t xml:space="preserve">Figure </w:t>
      </w:r>
      <w:r w:rsidR="00432AD4">
        <w:fldChar w:fldCharType="begin"/>
      </w:r>
      <w:r w:rsidR="00432AD4">
        <w:instrText xml:space="preserve"> SEQ Figure \* ARABIC </w:instrText>
      </w:r>
      <w:r w:rsidR="00432AD4">
        <w:fldChar w:fldCharType="separate"/>
      </w:r>
      <w:r w:rsidR="008209A2">
        <w:rPr>
          <w:noProof/>
        </w:rPr>
        <w:t>76</w:t>
      </w:r>
      <w:r w:rsidR="00432AD4">
        <w:rPr>
          <w:noProof/>
        </w:rPr>
        <w:fldChar w:fldCharType="end"/>
      </w:r>
      <w:bookmarkEnd w:id="253"/>
      <w:r w:rsidR="009277A2">
        <w:t xml:space="preserve">: </w:t>
      </w:r>
      <w:r>
        <w:t>Response Performance Goals and Performance, 2015</w:t>
      </w:r>
      <w:bookmarkEnd w:id="254"/>
    </w:p>
    <w:tbl>
      <w:tblPr>
        <w:tblW w:w="8640" w:type="dxa"/>
        <w:jc w:val="center"/>
        <w:shd w:val="clear" w:color="auto" w:fill="FFFFFF" w:themeFill="background1"/>
        <w:tblLayout w:type="fixed"/>
        <w:tblLook w:val="01E0" w:firstRow="1" w:lastRow="1" w:firstColumn="1" w:lastColumn="1" w:noHBand="0" w:noVBand="0"/>
      </w:tblPr>
      <w:tblGrid>
        <w:gridCol w:w="1627"/>
        <w:gridCol w:w="1151"/>
        <w:gridCol w:w="1309"/>
        <w:gridCol w:w="1002"/>
        <w:gridCol w:w="1151"/>
        <w:gridCol w:w="1309"/>
        <w:gridCol w:w="1091"/>
      </w:tblGrid>
      <w:tr w:rsidR="00021755" w:rsidRPr="00566003" w14:paraId="5723CCD1" w14:textId="77777777" w:rsidTr="00632439">
        <w:trPr>
          <w:tblHeader/>
          <w:jc w:val="center"/>
        </w:trPr>
        <w:tc>
          <w:tcPr>
            <w:tcW w:w="1607" w:type="dxa"/>
            <w:tcBorders>
              <w:bottom w:val="single" w:sz="4" w:space="0" w:color="auto"/>
            </w:tcBorders>
            <w:shd w:val="clear" w:color="auto" w:fill="1F497D" w:themeFill="text2"/>
            <w:vAlign w:val="center"/>
          </w:tcPr>
          <w:p w14:paraId="75C6DA3B" w14:textId="77777777" w:rsidR="00021755" w:rsidRPr="00566003" w:rsidRDefault="00021755" w:rsidP="003E02F5">
            <w:pPr>
              <w:keepNext/>
              <w:keepLines/>
              <w:spacing w:after="0" w:line="240" w:lineRule="auto"/>
              <w:jc w:val="center"/>
              <w:rPr>
                <w:rFonts w:eastAsia="Times New Roman" w:cs="Times New Roman"/>
                <w:b/>
                <w:color w:val="FFFFFF"/>
                <w:sz w:val="20"/>
                <w:szCs w:val="20"/>
                <w:lang w:eastAsia="en-US"/>
              </w:rPr>
            </w:pPr>
            <w:r w:rsidRPr="00566003">
              <w:rPr>
                <w:rFonts w:eastAsia="Times New Roman" w:cs="Times New Roman"/>
                <w:b/>
                <w:color w:val="FFFFFF"/>
                <w:sz w:val="20"/>
                <w:szCs w:val="20"/>
                <w:lang w:eastAsia="en-US"/>
              </w:rPr>
              <w:t>Response</w:t>
            </w:r>
          </w:p>
          <w:p w14:paraId="68AEFF25" w14:textId="77777777" w:rsidR="00021755" w:rsidRPr="00566003" w:rsidRDefault="00021755" w:rsidP="003E02F5">
            <w:pPr>
              <w:keepNext/>
              <w:keepLines/>
              <w:spacing w:after="0" w:line="240" w:lineRule="auto"/>
              <w:jc w:val="center"/>
              <w:rPr>
                <w:rFonts w:eastAsia="Times New Roman" w:cs="Times New Roman"/>
                <w:b/>
                <w:color w:val="FFFFFF"/>
                <w:sz w:val="20"/>
                <w:szCs w:val="20"/>
                <w:lang w:eastAsia="en-US"/>
              </w:rPr>
            </w:pPr>
            <w:r w:rsidRPr="00566003">
              <w:rPr>
                <w:rFonts w:eastAsia="Times New Roman" w:cs="Times New Roman"/>
                <w:b/>
                <w:color w:val="FFFFFF"/>
                <w:sz w:val="20"/>
                <w:szCs w:val="20"/>
                <w:lang w:eastAsia="en-US"/>
              </w:rPr>
              <w:t>Type</w:t>
            </w:r>
          </w:p>
        </w:tc>
        <w:tc>
          <w:tcPr>
            <w:tcW w:w="1137" w:type="dxa"/>
            <w:tcBorders>
              <w:bottom w:val="single" w:sz="4" w:space="0" w:color="auto"/>
            </w:tcBorders>
            <w:shd w:val="clear" w:color="auto" w:fill="1F497D" w:themeFill="text2"/>
            <w:vAlign w:val="center"/>
          </w:tcPr>
          <w:p w14:paraId="1C7F1612" w14:textId="77777777" w:rsidR="00021755" w:rsidRPr="00566003" w:rsidRDefault="00021755" w:rsidP="003E02F5">
            <w:pPr>
              <w:keepNext/>
              <w:keepLines/>
              <w:spacing w:after="0" w:line="240" w:lineRule="auto"/>
              <w:jc w:val="center"/>
              <w:rPr>
                <w:rFonts w:eastAsia="Times New Roman" w:cs="Times New Roman"/>
                <w:b/>
                <w:color w:val="FFFFFF"/>
                <w:sz w:val="20"/>
                <w:szCs w:val="20"/>
                <w:lang w:eastAsia="en-US"/>
              </w:rPr>
            </w:pPr>
            <w:r w:rsidRPr="00566003">
              <w:rPr>
                <w:rFonts w:eastAsia="Times New Roman" w:cs="Times New Roman"/>
                <w:b/>
                <w:color w:val="FFFFFF"/>
                <w:sz w:val="20"/>
                <w:szCs w:val="20"/>
                <w:lang w:eastAsia="en-US"/>
              </w:rPr>
              <w:t>Adopted</w:t>
            </w:r>
          </w:p>
          <w:p w14:paraId="527E6C08" w14:textId="77777777" w:rsidR="00021755" w:rsidRPr="00566003" w:rsidRDefault="00021755" w:rsidP="003E02F5">
            <w:pPr>
              <w:keepNext/>
              <w:keepLines/>
              <w:spacing w:after="0" w:line="240" w:lineRule="auto"/>
              <w:jc w:val="center"/>
              <w:rPr>
                <w:rFonts w:eastAsia="Times New Roman" w:cs="Times New Roman"/>
                <w:b/>
                <w:color w:val="FFFFFF"/>
                <w:sz w:val="20"/>
                <w:szCs w:val="20"/>
                <w:lang w:eastAsia="en-US"/>
              </w:rPr>
            </w:pPr>
            <w:r w:rsidRPr="00566003">
              <w:rPr>
                <w:rFonts w:eastAsia="Times New Roman" w:cs="Times New Roman"/>
                <w:b/>
                <w:color w:val="FFFFFF"/>
                <w:sz w:val="20"/>
                <w:szCs w:val="20"/>
                <w:lang w:eastAsia="en-US"/>
              </w:rPr>
              <w:t xml:space="preserve">Turnout </w:t>
            </w:r>
          </w:p>
          <w:p w14:paraId="57035149" w14:textId="77777777" w:rsidR="00021755" w:rsidRPr="00566003" w:rsidRDefault="00021755" w:rsidP="003E02F5">
            <w:pPr>
              <w:keepNext/>
              <w:keepLines/>
              <w:spacing w:after="0" w:line="240" w:lineRule="auto"/>
              <w:jc w:val="center"/>
              <w:rPr>
                <w:rFonts w:eastAsia="Times New Roman" w:cs="Times New Roman"/>
                <w:b/>
                <w:color w:val="FFFFFF"/>
                <w:sz w:val="20"/>
                <w:szCs w:val="20"/>
                <w:lang w:eastAsia="en-US"/>
              </w:rPr>
            </w:pPr>
            <w:r w:rsidRPr="00566003">
              <w:rPr>
                <w:rFonts w:eastAsia="Times New Roman" w:cs="Times New Roman"/>
                <w:b/>
                <w:color w:val="FFFFFF"/>
                <w:sz w:val="20"/>
                <w:szCs w:val="20"/>
                <w:lang w:eastAsia="en-US"/>
              </w:rPr>
              <w:t>Standard</w:t>
            </w:r>
          </w:p>
          <w:p w14:paraId="35524A51" w14:textId="77777777" w:rsidR="00021755" w:rsidRPr="00566003" w:rsidRDefault="00021755" w:rsidP="003E02F5">
            <w:pPr>
              <w:keepNext/>
              <w:keepLines/>
              <w:spacing w:after="0" w:line="240" w:lineRule="auto"/>
              <w:jc w:val="center"/>
              <w:rPr>
                <w:rFonts w:eastAsia="Times New Roman" w:cs="Times New Roman"/>
                <w:b/>
                <w:color w:val="FFFFFF"/>
                <w:sz w:val="20"/>
                <w:szCs w:val="20"/>
                <w:lang w:eastAsia="en-US"/>
              </w:rPr>
            </w:pPr>
            <w:r w:rsidRPr="00566003">
              <w:rPr>
                <w:rFonts w:eastAsia="Times New Roman" w:cs="Times New Roman"/>
                <w:b/>
                <w:color w:val="FFFFFF"/>
                <w:sz w:val="20"/>
                <w:szCs w:val="20"/>
                <w:lang w:eastAsia="en-US"/>
              </w:rPr>
              <w:t>(Minutes)</w:t>
            </w:r>
          </w:p>
        </w:tc>
        <w:tc>
          <w:tcPr>
            <w:tcW w:w="1293" w:type="dxa"/>
            <w:tcBorders>
              <w:bottom w:val="single" w:sz="4" w:space="0" w:color="auto"/>
            </w:tcBorders>
            <w:shd w:val="clear" w:color="auto" w:fill="1F497D" w:themeFill="text2"/>
            <w:vAlign w:val="center"/>
          </w:tcPr>
          <w:p w14:paraId="30F9D560" w14:textId="77777777" w:rsidR="00021755" w:rsidRPr="00566003" w:rsidRDefault="00021755" w:rsidP="003E02F5">
            <w:pPr>
              <w:keepNext/>
              <w:keepLines/>
              <w:spacing w:after="0" w:line="240" w:lineRule="auto"/>
              <w:jc w:val="center"/>
              <w:rPr>
                <w:rFonts w:eastAsia="Times New Roman" w:cs="Times New Roman"/>
                <w:b/>
                <w:color w:val="FFFFFF"/>
                <w:sz w:val="20"/>
                <w:szCs w:val="20"/>
                <w:lang w:eastAsia="en-US"/>
              </w:rPr>
            </w:pPr>
            <w:r w:rsidRPr="00566003">
              <w:rPr>
                <w:rFonts w:eastAsia="Times New Roman" w:cs="Times New Roman"/>
                <w:b/>
                <w:color w:val="FFFFFF"/>
                <w:sz w:val="20"/>
                <w:szCs w:val="20"/>
                <w:lang w:eastAsia="en-US"/>
              </w:rPr>
              <w:t>Actual</w:t>
            </w:r>
          </w:p>
          <w:p w14:paraId="7B7B9671" w14:textId="77777777" w:rsidR="00021755" w:rsidRPr="00566003" w:rsidRDefault="00021755" w:rsidP="003E02F5">
            <w:pPr>
              <w:keepNext/>
              <w:keepLines/>
              <w:spacing w:after="0" w:line="240" w:lineRule="auto"/>
              <w:jc w:val="center"/>
              <w:rPr>
                <w:rFonts w:eastAsia="Times New Roman" w:cs="Times New Roman"/>
                <w:b/>
                <w:color w:val="FFFFFF"/>
                <w:sz w:val="20"/>
                <w:szCs w:val="20"/>
                <w:lang w:eastAsia="en-US"/>
              </w:rPr>
            </w:pPr>
            <w:r w:rsidRPr="00566003">
              <w:rPr>
                <w:rFonts w:eastAsia="Times New Roman" w:cs="Times New Roman"/>
                <w:b/>
                <w:color w:val="FFFFFF"/>
                <w:sz w:val="20"/>
                <w:szCs w:val="20"/>
                <w:lang w:eastAsia="en-US"/>
              </w:rPr>
              <w:t>Performance</w:t>
            </w:r>
          </w:p>
          <w:p w14:paraId="4F4773B2" w14:textId="77777777" w:rsidR="00021755" w:rsidRPr="00566003" w:rsidRDefault="00021755" w:rsidP="003E02F5">
            <w:pPr>
              <w:keepNext/>
              <w:keepLines/>
              <w:spacing w:after="0" w:line="240" w:lineRule="auto"/>
              <w:jc w:val="center"/>
              <w:rPr>
                <w:rFonts w:eastAsia="Times New Roman" w:cs="Times New Roman"/>
                <w:b/>
                <w:color w:val="FFFFFF"/>
                <w:sz w:val="20"/>
                <w:szCs w:val="20"/>
                <w:lang w:eastAsia="en-US"/>
              </w:rPr>
            </w:pPr>
            <w:r w:rsidRPr="00566003">
              <w:rPr>
                <w:rFonts w:eastAsia="Times New Roman" w:cs="Times New Roman"/>
                <w:b/>
                <w:color w:val="FFFFFF"/>
                <w:sz w:val="20"/>
                <w:szCs w:val="20"/>
                <w:lang w:eastAsia="en-US"/>
              </w:rPr>
              <w:t>(Minutes)</w:t>
            </w:r>
          </w:p>
        </w:tc>
        <w:tc>
          <w:tcPr>
            <w:tcW w:w="990" w:type="dxa"/>
            <w:tcBorders>
              <w:bottom w:val="single" w:sz="4" w:space="0" w:color="auto"/>
            </w:tcBorders>
            <w:shd w:val="clear" w:color="auto" w:fill="1F497D" w:themeFill="text2"/>
            <w:vAlign w:val="center"/>
          </w:tcPr>
          <w:p w14:paraId="032E5D3E" w14:textId="77777777" w:rsidR="00021755" w:rsidRPr="00566003" w:rsidRDefault="00021755" w:rsidP="003E02F5">
            <w:pPr>
              <w:keepNext/>
              <w:keepLines/>
              <w:spacing w:after="0" w:line="240" w:lineRule="auto"/>
              <w:jc w:val="center"/>
              <w:rPr>
                <w:rFonts w:eastAsia="Times New Roman" w:cs="Times New Roman"/>
                <w:b/>
                <w:color w:val="FFFFFF"/>
                <w:sz w:val="20"/>
                <w:szCs w:val="20"/>
                <w:lang w:eastAsia="en-US"/>
              </w:rPr>
            </w:pPr>
            <w:r w:rsidRPr="00566003">
              <w:rPr>
                <w:rFonts w:eastAsia="Times New Roman" w:cs="Times New Roman"/>
                <w:b/>
                <w:color w:val="FFFFFF"/>
                <w:sz w:val="20"/>
                <w:szCs w:val="20"/>
                <w:lang w:eastAsia="en-US"/>
              </w:rPr>
              <w:t>Percent</w:t>
            </w:r>
          </w:p>
          <w:p w14:paraId="24BBC461" w14:textId="77777777" w:rsidR="00021755" w:rsidRPr="00566003" w:rsidRDefault="00021755" w:rsidP="003E02F5">
            <w:pPr>
              <w:keepNext/>
              <w:keepLines/>
              <w:spacing w:after="0" w:line="240" w:lineRule="auto"/>
              <w:jc w:val="center"/>
              <w:rPr>
                <w:rFonts w:eastAsia="Times New Roman" w:cs="Times New Roman"/>
                <w:b/>
                <w:color w:val="FFFFFF"/>
                <w:sz w:val="20"/>
                <w:szCs w:val="20"/>
                <w:lang w:eastAsia="en-US"/>
              </w:rPr>
            </w:pPr>
            <w:r w:rsidRPr="00566003">
              <w:rPr>
                <w:rFonts w:eastAsia="Times New Roman" w:cs="Times New Roman"/>
                <w:b/>
                <w:color w:val="FFFFFF"/>
                <w:sz w:val="20"/>
                <w:szCs w:val="20"/>
                <w:lang w:eastAsia="en-US"/>
              </w:rPr>
              <w:t>Meeting</w:t>
            </w:r>
          </w:p>
          <w:p w14:paraId="52698133" w14:textId="77777777" w:rsidR="00021755" w:rsidRPr="00566003" w:rsidRDefault="00021755" w:rsidP="003E02F5">
            <w:pPr>
              <w:keepNext/>
              <w:keepLines/>
              <w:spacing w:after="0" w:line="240" w:lineRule="auto"/>
              <w:jc w:val="center"/>
              <w:rPr>
                <w:rFonts w:eastAsia="Times New Roman" w:cs="Times New Roman"/>
                <w:b/>
                <w:color w:val="FFFFFF"/>
                <w:sz w:val="20"/>
                <w:szCs w:val="20"/>
                <w:lang w:eastAsia="en-US"/>
              </w:rPr>
            </w:pPr>
            <w:r w:rsidRPr="00566003">
              <w:rPr>
                <w:rFonts w:eastAsia="Times New Roman" w:cs="Times New Roman"/>
                <w:b/>
                <w:color w:val="FFFFFF"/>
                <w:sz w:val="20"/>
                <w:szCs w:val="20"/>
                <w:lang w:eastAsia="en-US"/>
              </w:rPr>
              <w:t>Standard</w:t>
            </w:r>
          </w:p>
        </w:tc>
        <w:tc>
          <w:tcPr>
            <w:tcW w:w="1137" w:type="dxa"/>
            <w:tcBorders>
              <w:bottom w:val="single" w:sz="4" w:space="0" w:color="auto"/>
            </w:tcBorders>
            <w:shd w:val="clear" w:color="auto" w:fill="1F497D" w:themeFill="text2"/>
            <w:vAlign w:val="center"/>
          </w:tcPr>
          <w:p w14:paraId="348E68B4" w14:textId="77777777" w:rsidR="00021755" w:rsidRPr="00566003" w:rsidRDefault="00021755" w:rsidP="003E02F5">
            <w:pPr>
              <w:keepNext/>
              <w:keepLines/>
              <w:spacing w:after="0" w:line="240" w:lineRule="auto"/>
              <w:jc w:val="center"/>
              <w:rPr>
                <w:rFonts w:eastAsia="Times New Roman" w:cs="Times New Roman"/>
                <w:b/>
                <w:color w:val="FFFFFF"/>
                <w:sz w:val="20"/>
                <w:szCs w:val="20"/>
                <w:lang w:eastAsia="en-US"/>
              </w:rPr>
            </w:pPr>
            <w:r w:rsidRPr="00566003">
              <w:rPr>
                <w:rFonts w:eastAsia="Times New Roman" w:cs="Times New Roman"/>
                <w:b/>
                <w:color w:val="FFFFFF"/>
                <w:sz w:val="20"/>
                <w:szCs w:val="20"/>
                <w:lang w:eastAsia="en-US"/>
              </w:rPr>
              <w:t>Adopted</w:t>
            </w:r>
          </w:p>
          <w:p w14:paraId="56539FCD" w14:textId="77777777" w:rsidR="00021755" w:rsidRPr="00566003" w:rsidRDefault="00021755" w:rsidP="003E02F5">
            <w:pPr>
              <w:keepNext/>
              <w:keepLines/>
              <w:spacing w:after="0" w:line="240" w:lineRule="auto"/>
              <w:jc w:val="center"/>
              <w:rPr>
                <w:rFonts w:eastAsia="Times New Roman" w:cs="Times New Roman"/>
                <w:b/>
                <w:color w:val="FFFFFF"/>
                <w:sz w:val="20"/>
                <w:szCs w:val="20"/>
                <w:lang w:eastAsia="en-US"/>
              </w:rPr>
            </w:pPr>
            <w:r w:rsidRPr="00566003">
              <w:rPr>
                <w:rFonts w:eastAsia="Times New Roman" w:cs="Times New Roman"/>
                <w:b/>
                <w:color w:val="FFFFFF"/>
                <w:sz w:val="20"/>
                <w:szCs w:val="20"/>
                <w:lang w:eastAsia="en-US"/>
              </w:rPr>
              <w:t>1</w:t>
            </w:r>
            <w:r w:rsidRPr="00566003">
              <w:rPr>
                <w:rFonts w:eastAsia="Times New Roman" w:cs="Times New Roman"/>
                <w:b/>
                <w:color w:val="FFFFFF"/>
                <w:sz w:val="20"/>
                <w:szCs w:val="20"/>
                <w:vertAlign w:val="superscript"/>
                <w:lang w:eastAsia="en-US"/>
              </w:rPr>
              <w:t>st</w:t>
            </w:r>
          </w:p>
          <w:p w14:paraId="61265037" w14:textId="77777777" w:rsidR="00021755" w:rsidRPr="00566003" w:rsidRDefault="00021755" w:rsidP="003E02F5">
            <w:pPr>
              <w:keepNext/>
              <w:keepLines/>
              <w:spacing w:after="0" w:line="240" w:lineRule="auto"/>
              <w:jc w:val="center"/>
              <w:rPr>
                <w:rFonts w:eastAsia="Times New Roman" w:cs="Times New Roman"/>
                <w:b/>
                <w:color w:val="FFFFFF"/>
                <w:sz w:val="20"/>
                <w:szCs w:val="20"/>
                <w:lang w:eastAsia="en-US"/>
              </w:rPr>
            </w:pPr>
            <w:r w:rsidRPr="00566003">
              <w:rPr>
                <w:rFonts w:eastAsia="Times New Roman" w:cs="Times New Roman"/>
                <w:b/>
                <w:color w:val="FFFFFF"/>
                <w:sz w:val="20"/>
                <w:szCs w:val="20"/>
                <w:lang w:eastAsia="en-US"/>
              </w:rPr>
              <w:t>Arrival</w:t>
            </w:r>
          </w:p>
          <w:p w14:paraId="15E03888" w14:textId="77777777" w:rsidR="00021755" w:rsidRPr="00566003" w:rsidRDefault="00021755" w:rsidP="003E02F5">
            <w:pPr>
              <w:keepNext/>
              <w:keepLines/>
              <w:spacing w:after="0" w:line="240" w:lineRule="auto"/>
              <w:jc w:val="center"/>
              <w:rPr>
                <w:rFonts w:eastAsia="Times New Roman" w:cs="Times New Roman"/>
                <w:b/>
                <w:color w:val="FFFFFF"/>
                <w:sz w:val="20"/>
                <w:szCs w:val="20"/>
                <w:lang w:eastAsia="en-US"/>
              </w:rPr>
            </w:pPr>
            <w:r w:rsidRPr="00566003">
              <w:rPr>
                <w:rFonts w:eastAsia="Times New Roman" w:cs="Times New Roman"/>
                <w:b/>
                <w:color w:val="FFFFFF"/>
                <w:sz w:val="20"/>
                <w:szCs w:val="20"/>
                <w:lang w:eastAsia="en-US"/>
              </w:rPr>
              <w:t>Response</w:t>
            </w:r>
          </w:p>
          <w:p w14:paraId="55E5781F" w14:textId="77777777" w:rsidR="00021755" w:rsidRPr="00566003" w:rsidRDefault="00021755" w:rsidP="003E02F5">
            <w:pPr>
              <w:keepNext/>
              <w:keepLines/>
              <w:spacing w:after="0" w:line="240" w:lineRule="auto"/>
              <w:jc w:val="center"/>
              <w:rPr>
                <w:rFonts w:eastAsia="Times New Roman" w:cs="Times New Roman"/>
                <w:b/>
                <w:color w:val="FFFFFF"/>
                <w:sz w:val="20"/>
                <w:szCs w:val="20"/>
                <w:lang w:eastAsia="en-US"/>
              </w:rPr>
            </w:pPr>
            <w:r w:rsidRPr="00566003">
              <w:rPr>
                <w:rFonts w:eastAsia="Times New Roman" w:cs="Times New Roman"/>
                <w:b/>
                <w:color w:val="FFFFFF"/>
                <w:sz w:val="20"/>
                <w:szCs w:val="20"/>
                <w:lang w:eastAsia="en-US"/>
              </w:rPr>
              <w:t>(Minutes)</w:t>
            </w:r>
          </w:p>
        </w:tc>
        <w:tc>
          <w:tcPr>
            <w:tcW w:w="1293" w:type="dxa"/>
            <w:tcBorders>
              <w:bottom w:val="single" w:sz="4" w:space="0" w:color="auto"/>
            </w:tcBorders>
            <w:shd w:val="clear" w:color="auto" w:fill="1F497D" w:themeFill="text2"/>
            <w:vAlign w:val="center"/>
          </w:tcPr>
          <w:p w14:paraId="5F3E185F" w14:textId="77777777" w:rsidR="00021755" w:rsidRPr="00566003" w:rsidRDefault="00021755" w:rsidP="003E02F5">
            <w:pPr>
              <w:keepNext/>
              <w:keepLines/>
              <w:spacing w:after="0" w:line="240" w:lineRule="auto"/>
              <w:jc w:val="center"/>
              <w:rPr>
                <w:rFonts w:eastAsia="Times New Roman" w:cs="Times New Roman"/>
                <w:b/>
                <w:color w:val="FFFFFF"/>
                <w:sz w:val="20"/>
                <w:szCs w:val="20"/>
                <w:lang w:eastAsia="en-US"/>
              </w:rPr>
            </w:pPr>
            <w:r w:rsidRPr="00566003">
              <w:rPr>
                <w:rFonts w:eastAsia="Times New Roman" w:cs="Times New Roman"/>
                <w:b/>
                <w:color w:val="FFFFFF"/>
                <w:sz w:val="20"/>
                <w:szCs w:val="20"/>
                <w:lang w:eastAsia="en-US"/>
              </w:rPr>
              <w:t>Actual</w:t>
            </w:r>
          </w:p>
          <w:p w14:paraId="6C39EFEB" w14:textId="77777777" w:rsidR="00021755" w:rsidRPr="00566003" w:rsidRDefault="00021755" w:rsidP="003E02F5">
            <w:pPr>
              <w:keepNext/>
              <w:keepLines/>
              <w:spacing w:after="0" w:line="240" w:lineRule="auto"/>
              <w:jc w:val="center"/>
              <w:rPr>
                <w:rFonts w:eastAsia="Times New Roman" w:cs="Times New Roman"/>
                <w:b/>
                <w:color w:val="FFFFFF"/>
                <w:sz w:val="20"/>
                <w:szCs w:val="20"/>
                <w:lang w:eastAsia="en-US"/>
              </w:rPr>
            </w:pPr>
            <w:r w:rsidRPr="00566003">
              <w:rPr>
                <w:rFonts w:eastAsia="Times New Roman" w:cs="Times New Roman"/>
                <w:b/>
                <w:color w:val="FFFFFF"/>
                <w:sz w:val="20"/>
                <w:szCs w:val="20"/>
                <w:lang w:eastAsia="en-US"/>
              </w:rPr>
              <w:t>Performance</w:t>
            </w:r>
          </w:p>
          <w:p w14:paraId="05B5EA6F" w14:textId="77777777" w:rsidR="00021755" w:rsidRPr="00566003" w:rsidRDefault="00021755" w:rsidP="003E02F5">
            <w:pPr>
              <w:keepNext/>
              <w:keepLines/>
              <w:spacing w:after="0" w:line="240" w:lineRule="auto"/>
              <w:jc w:val="center"/>
              <w:rPr>
                <w:rFonts w:eastAsia="Times New Roman" w:cs="Times New Roman"/>
                <w:b/>
                <w:color w:val="FFFFFF"/>
                <w:sz w:val="20"/>
                <w:szCs w:val="20"/>
                <w:lang w:eastAsia="en-US"/>
              </w:rPr>
            </w:pPr>
            <w:r w:rsidRPr="00566003">
              <w:rPr>
                <w:rFonts w:eastAsia="Times New Roman" w:cs="Times New Roman"/>
                <w:b/>
                <w:color w:val="FFFFFF"/>
                <w:sz w:val="20"/>
                <w:szCs w:val="20"/>
                <w:lang w:eastAsia="en-US"/>
              </w:rPr>
              <w:t>(Minutes)</w:t>
            </w:r>
          </w:p>
        </w:tc>
        <w:tc>
          <w:tcPr>
            <w:tcW w:w="1078" w:type="dxa"/>
            <w:tcBorders>
              <w:bottom w:val="single" w:sz="4" w:space="0" w:color="auto"/>
            </w:tcBorders>
            <w:shd w:val="clear" w:color="auto" w:fill="1F497D" w:themeFill="text2"/>
            <w:vAlign w:val="center"/>
          </w:tcPr>
          <w:p w14:paraId="2EEF52B5" w14:textId="77777777" w:rsidR="00021755" w:rsidRPr="00566003" w:rsidRDefault="00021755" w:rsidP="003E02F5">
            <w:pPr>
              <w:keepNext/>
              <w:keepLines/>
              <w:spacing w:after="0" w:line="240" w:lineRule="auto"/>
              <w:jc w:val="center"/>
              <w:rPr>
                <w:rFonts w:eastAsia="Times New Roman" w:cs="Times New Roman"/>
                <w:b/>
                <w:color w:val="FFFFFF"/>
                <w:sz w:val="20"/>
                <w:szCs w:val="20"/>
                <w:lang w:eastAsia="en-US"/>
              </w:rPr>
            </w:pPr>
            <w:r w:rsidRPr="00566003">
              <w:rPr>
                <w:rFonts w:eastAsia="Times New Roman" w:cs="Times New Roman"/>
                <w:b/>
                <w:color w:val="FFFFFF"/>
                <w:sz w:val="20"/>
                <w:szCs w:val="20"/>
                <w:lang w:eastAsia="en-US"/>
              </w:rPr>
              <w:t>Percent</w:t>
            </w:r>
          </w:p>
          <w:p w14:paraId="2E44ADF1" w14:textId="77777777" w:rsidR="00021755" w:rsidRPr="00566003" w:rsidRDefault="00021755" w:rsidP="003E02F5">
            <w:pPr>
              <w:keepNext/>
              <w:keepLines/>
              <w:spacing w:after="0" w:line="240" w:lineRule="auto"/>
              <w:jc w:val="center"/>
              <w:rPr>
                <w:rFonts w:eastAsia="Times New Roman" w:cs="Times New Roman"/>
                <w:b/>
                <w:color w:val="FFFFFF"/>
                <w:sz w:val="20"/>
                <w:szCs w:val="20"/>
                <w:lang w:eastAsia="en-US"/>
              </w:rPr>
            </w:pPr>
            <w:r w:rsidRPr="00566003">
              <w:rPr>
                <w:rFonts w:eastAsia="Times New Roman" w:cs="Times New Roman"/>
                <w:b/>
                <w:color w:val="FFFFFF"/>
                <w:sz w:val="20"/>
                <w:szCs w:val="20"/>
                <w:lang w:eastAsia="en-US"/>
              </w:rPr>
              <w:t>Meeting</w:t>
            </w:r>
          </w:p>
          <w:p w14:paraId="1BD1B545" w14:textId="77777777" w:rsidR="00021755" w:rsidRPr="00566003" w:rsidRDefault="00021755" w:rsidP="003E02F5">
            <w:pPr>
              <w:keepNext/>
              <w:keepLines/>
              <w:spacing w:after="0" w:line="240" w:lineRule="auto"/>
              <w:jc w:val="center"/>
              <w:rPr>
                <w:rFonts w:eastAsia="Times New Roman" w:cs="Times New Roman"/>
                <w:b/>
                <w:color w:val="FFFFFF"/>
                <w:sz w:val="20"/>
                <w:szCs w:val="20"/>
                <w:lang w:eastAsia="en-US"/>
              </w:rPr>
            </w:pPr>
            <w:r w:rsidRPr="00566003">
              <w:rPr>
                <w:rFonts w:eastAsia="Times New Roman" w:cs="Times New Roman"/>
                <w:b/>
                <w:color w:val="FFFFFF"/>
                <w:sz w:val="20"/>
                <w:szCs w:val="20"/>
                <w:lang w:eastAsia="en-US"/>
              </w:rPr>
              <w:t>Standard</w:t>
            </w:r>
          </w:p>
        </w:tc>
      </w:tr>
      <w:tr w:rsidR="00021755" w:rsidRPr="00566003" w14:paraId="621D22EC" w14:textId="77777777" w:rsidTr="00632439">
        <w:trPr>
          <w:jc w:val="center"/>
        </w:trPr>
        <w:tc>
          <w:tcPr>
            <w:tcW w:w="1607" w:type="dxa"/>
            <w:tcBorders>
              <w:top w:val="single" w:sz="4" w:space="0" w:color="auto"/>
            </w:tcBorders>
            <w:shd w:val="clear" w:color="auto" w:fill="D9D9D9" w:themeFill="background1" w:themeFillShade="D9"/>
            <w:vAlign w:val="center"/>
          </w:tcPr>
          <w:p w14:paraId="137542F9" w14:textId="77777777" w:rsidR="00021755" w:rsidRPr="00566003" w:rsidRDefault="00021755" w:rsidP="003E02F5">
            <w:pPr>
              <w:keepNext/>
              <w:keepLines/>
              <w:spacing w:after="0" w:line="240" w:lineRule="auto"/>
              <w:jc w:val="center"/>
              <w:rPr>
                <w:rFonts w:eastAsia="Times New Roman" w:cs="Times New Roman"/>
                <w:sz w:val="20"/>
                <w:szCs w:val="20"/>
                <w:lang w:eastAsia="en-US"/>
              </w:rPr>
            </w:pPr>
            <w:r w:rsidRPr="00566003">
              <w:rPr>
                <w:rFonts w:eastAsia="Times New Roman" w:cs="Times New Roman"/>
                <w:sz w:val="20"/>
                <w:szCs w:val="20"/>
                <w:lang w:eastAsia="en-US"/>
              </w:rPr>
              <w:t>Fire</w:t>
            </w:r>
          </w:p>
          <w:p w14:paraId="14970428" w14:textId="77777777" w:rsidR="00021755" w:rsidRPr="00566003" w:rsidRDefault="00021755" w:rsidP="003E02F5">
            <w:pPr>
              <w:keepNext/>
              <w:keepLines/>
              <w:spacing w:after="0" w:line="240" w:lineRule="auto"/>
              <w:jc w:val="center"/>
              <w:rPr>
                <w:rFonts w:eastAsia="Times New Roman" w:cs="Times New Roman"/>
                <w:sz w:val="20"/>
                <w:szCs w:val="20"/>
                <w:lang w:eastAsia="en-US"/>
              </w:rPr>
            </w:pPr>
            <w:r w:rsidRPr="00566003">
              <w:rPr>
                <w:rFonts w:eastAsia="Times New Roman" w:cs="Times New Roman"/>
                <w:sz w:val="20"/>
                <w:szCs w:val="20"/>
                <w:lang w:eastAsia="en-US"/>
              </w:rPr>
              <w:t>Suppression</w:t>
            </w:r>
          </w:p>
          <w:p w14:paraId="008720C4" w14:textId="77777777" w:rsidR="00021755" w:rsidRPr="00566003" w:rsidRDefault="00021755" w:rsidP="003E02F5">
            <w:pPr>
              <w:keepNext/>
              <w:keepLines/>
              <w:spacing w:after="0" w:line="240" w:lineRule="auto"/>
              <w:jc w:val="center"/>
              <w:rPr>
                <w:rFonts w:eastAsia="Times New Roman" w:cs="Times New Roman"/>
                <w:sz w:val="20"/>
                <w:szCs w:val="20"/>
                <w:lang w:eastAsia="en-US"/>
              </w:rPr>
            </w:pPr>
            <w:r w:rsidRPr="00566003">
              <w:rPr>
                <w:rFonts w:eastAsia="Times New Roman" w:cs="Times New Roman"/>
                <w:sz w:val="20"/>
                <w:szCs w:val="20"/>
                <w:lang w:eastAsia="en-US"/>
              </w:rPr>
              <w:t>Response</w:t>
            </w:r>
          </w:p>
          <w:p w14:paraId="5B00B573" w14:textId="77777777" w:rsidR="00021755" w:rsidRPr="00566003" w:rsidRDefault="00021755" w:rsidP="003E02F5">
            <w:pPr>
              <w:keepNext/>
              <w:keepLines/>
              <w:spacing w:after="0" w:line="240" w:lineRule="auto"/>
              <w:jc w:val="center"/>
              <w:rPr>
                <w:rFonts w:eastAsia="Times New Roman" w:cs="Times New Roman"/>
                <w:sz w:val="20"/>
                <w:szCs w:val="20"/>
                <w:lang w:eastAsia="en-US"/>
              </w:rPr>
            </w:pPr>
            <w:r w:rsidRPr="00566003">
              <w:rPr>
                <w:rFonts w:eastAsia="Times New Roman" w:cs="Times New Roman"/>
                <w:sz w:val="20"/>
                <w:szCs w:val="20"/>
                <w:lang w:eastAsia="en-US"/>
              </w:rPr>
              <w:t>(NFIRS 100- 199)</w:t>
            </w:r>
          </w:p>
        </w:tc>
        <w:tc>
          <w:tcPr>
            <w:tcW w:w="1137" w:type="dxa"/>
            <w:tcBorders>
              <w:top w:val="single" w:sz="4" w:space="0" w:color="auto"/>
            </w:tcBorders>
            <w:shd w:val="clear" w:color="auto" w:fill="D9D9D9" w:themeFill="background1" w:themeFillShade="D9"/>
            <w:vAlign w:val="center"/>
          </w:tcPr>
          <w:p w14:paraId="453DEA19" w14:textId="77777777" w:rsidR="00021755" w:rsidRPr="00566003" w:rsidRDefault="00021755" w:rsidP="003E02F5">
            <w:pPr>
              <w:keepNext/>
              <w:keepLines/>
              <w:spacing w:after="0" w:line="240" w:lineRule="auto"/>
              <w:jc w:val="center"/>
              <w:rPr>
                <w:rFonts w:eastAsia="Times New Roman" w:cs="Times New Roman"/>
                <w:sz w:val="20"/>
                <w:szCs w:val="20"/>
                <w:lang w:eastAsia="en-US"/>
              </w:rPr>
            </w:pPr>
            <w:r w:rsidRPr="00566003">
              <w:rPr>
                <w:rFonts w:eastAsia="Times New Roman" w:cs="Times New Roman"/>
                <w:sz w:val="20"/>
                <w:szCs w:val="20"/>
                <w:lang w:eastAsia="en-US"/>
              </w:rPr>
              <w:t>2:00</w:t>
            </w:r>
          </w:p>
        </w:tc>
        <w:tc>
          <w:tcPr>
            <w:tcW w:w="1293" w:type="dxa"/>
            <w:tcBorders>
              <w:top w:val="single" w:sz="4" w:space="0" w:color="auto"/>
            </w:tcBorders>
            <w:shd w:val="clear" w:color="auto" w:fill="D9D9D9" w:themeFill="background1" w:themeFillShade="D9"/>
            <w:vAlign w:val="center"/>
          </w:tcPr>
          <w:p w14:paraId="734AA6E8" w14:textId="77777777" w:rsidR="00021755" w:rsidRPr="00566003" w:rsidRDefault="00021755" w:rsidP="003E02F5">
            <w:pPr>
              <w:keepNext/>
              <w:keepLines/>
              <w:spacing w:after="0" w:line="240" w:lineRule="auto"/>
              <w:jc w:val="center"/>
              <w:rPr>
                <w:rFonts w:eastAsia="Times New Roman" w:cs="Times New Roman"/>
                <w:sz w:val="20"/>
                <w:szCs w:val="20"/>
                <w:lang w:eastAsia="en-US"/>
              </w:rPr>
            </w:pPr>
            <w:r w:rsidRPr="00566003">
              <w:rPr>
                <w:rFonts w:eastAsia="Times New Roman" w:cs="Times New Roman"/>
                <w:sz w:val="20"/>
                <w:szCs w:val="20"/>
                <w:lang w:eastAsia="en-US"/>
              </w:rPr>
              <w:t>2:53</w:t>
            </w:r>
          </w:p>
        </w:tc>
        <w:tc>
          <w:tcPr>
            <w:tcW w:w="990" w:type="dxa"/>
            <w:tcBorders>
              <w:top w:val="single" w:sz="4" w:space="0" w:color="auto"/>
            </w:tcBorders>
            <w:shd w:val="clear" w:color="auto" w:fill="D9D9D9" w:themeFill="background1" w:themeFillShade="D9"/>
            <w:vAlign w:val="center"/>
          </w:tcPr>
          <w:p w14:paraId="11F20CB8" w14:textId="77777777" w:rsidR="00021755" w:rsidRPr="00566003" w:rsidRDefault="00021755" w:rsidP="003E02F5">
            <w:pPr>
              <w:keepNext/>
              <w:keepLines/>
              <w:spacing w:after="0" w:line="240" w:lineRule="auto"/>
              <w:jc w:val="center"/>
              <w:rPr>
                <w:rFonts w:eastAsia="Times New Roman" w:cs="Times New Roman"/>
                <w:sz w:val="20"/>
                <w:szCs w:val="20"/>
                <w:lang w:eastAsia="en-US"/>
              </w:rPr>
            </w:pPr>
            <w:r w:rsidRPr="00566003">
              <w:rPr>
                <w:rFonts w:eastAsia="Times New Roman" w:cs="Times New Roman"/>
                <w:sz w:val="20"/>
                <w:szCs w:val="20"/>
                <w:lang w:eastAsia="en-US"/>
              </w:rPr>
              <w:t>63%</w:t>
            </w:r>
          </w:p>
        </w:tc>
        <w:tc>
          <w:tcPr>
            <w:tcW w:w="1137" w:type="dxa"/>
            <w:tcBorders>
              <w:top w:val="single" w:sz="4" w:space="0" w:color="auto"/>
            </w:tcBorders>
            <w:shd w:val="clear" w:color="auto" w:fill="D9D9D9" w:themeFill="background1" w:themeFillShade="D9"/>
            <w:vAlign w:val="center"/>
          </w:tcPr>
          <w:p w14:paraId="0DDE9AD4" w14:textId="77777777" w:rsidR="00021755" w:rsidRPr="00566003" w:rsidRDefault="00021755" w:rsidP="003E02F5">
            <w:pPr>
              <w:keepNext/>
              <w:keepLines/>
              <w:spacing w:after="0" w:line="240" w:lineRule="auto"/>
              <w:jc w:val="center"/>
              <w:rPr>
                <w:rFonts w:eastAsia="Times New Roman" w:cs="Times New Roman"/>
                <w:sz w:val="20"/>
                <w:szCs w:val="20"/>
                <w:lang w:eastAsia="en-US"/>
              </w:rPr>
            </w:pPr>
            <w:r w:rsidRPr="00566003">
              <w:rPr>
                <w:rFonts w:eastAsia="Times New Roman" w:cs="Times New Roman"/>
                <w:sz w:val="20"/>
                <w:szCs w:val="20"/>
                <w:lang w:eastAsia="en-US"/>
              </w:rPr>
              <w:t>6:00</w:t>
            </w:r>
          </w:p>
        </w:tc>
        <w:tc>
          <w:tcPr>
            <w:tcW w:w="1293" w:type="dxa"/>
            <w:tcBorders>
              <w:top w:val="single" w:sz="4" w:space="0" w:color="auto"/>
            </w:tcBorders>
            <w:shd w:val="clear" w:color="auto" w:fill="D9D9D9" w:themeFill="background1" w:themeFillShade="D9"/>
            <w:vAlign w:val="center"/>
          </w:tcPr>
          <w:p w14:paraId="2FE68265" w14:textId="77777777" w:rsidR="00021755" w:rsidRPr="00566003" w:rsidRDefault="00021755" w:rsidP="003E02F5">
            <w:pPr>
              <w:keepNext/>
              <w:keepLines/>
              <w:spacing w:after="0" w:line="240" w:lineRule="auto"/>
              <w:jc w:val="center"/>
              <w:rPr>
                <w:rFonts w:eastAsia="Times New Roman" w:cs="Times New Roman"/>
                <w:sz w:val="20"/>
                <w:szCs w:val="20"/>
                <w:lang w:eastAsia="en-US"/>
              </w:rPr>
            </w:pPr>
            <w:r w:rsidRPr="00566003">
              <w:rPr>
                <w:rFonts w:eastAsia="Times New Roman" w:cs="Times New Roman"/>
                <w:sz w:val="20"/>
                <w:szCs w:val="20"/>
                <w:lang w:eastAsia="en-US"/>
              </w:rPr>
              <w:t>5:59</w:t>
            </w:r>
          </w:p>
        </w:tc>
        <w:tc>
          <w:tcPr>
            <w:tcW w:w="1078" w:type="dxa"/>
            <w:tcBorders>
              <w:top w:val="single" w:sz="4" w:space="0" w:color="auto"/>
            </w:tcBorders>
            <w:shd w:val="clear" w:color="auto" w:fill="D9D9D9" w:themeFill="background1" w:themeFillShade="D9"/>
            <w:vAlign w:val="center"/>
          </w:tcPr>
          <w:p w14:paraId="39252C31" w14:textId="77777777" w:rsidR="00021755" w:rsidRPr="00566003" w:rsidRDefault="00021755" w:rsidP="003E02F5">
            <w:pPr>
              <w:keepNext/>
              <w:keepLines/>
              <w:spacing w:after="0" w:line="240" w:lineRule="auto"/>
              <w:jc w:val="center"/>
              <w:rPr>
                <w:rFonts w:eastAsia="Times New Roman" w:cs="Times New Roman"/>
                <w:sz w:val="20"/>
                <w:szCs w:val="20"/>
                <w:lang w:eastAsia="en-US"/>
              </w:rPr>
            </w:pPr>
            <w:r w:rsidRPr="00566003">
              <w:rPr>
                <w:rFonts w:eastAsia="Times New Roman" w:cs="Times New Roman"/>
                <w:sz w:val="20"/>
                <w:szCs w:val="20"/>
                <w:lang w:eastAsia="en-US"/>
              </w:rPr>
              <w:t>90.1%</w:t>
            </w:r>
          </w:p>
        </w:tc>
      </w:tr>
      <w:tr w:rsidR="00021755" w:rsidRPr="00566003" w14:paraId="0B3FF406" w14:textId="77777777" w:rsidTr="00632439">
        <w:trPr>
          <w:jc w:val="center"/>
        </w:trPr>
        <w:tc>
          <w:tcPr>
            <w:tcW w:w="1607" w:type="dxa"/>
            <w:shd w:val="clear" w:color="auto" w:fill="FFFFFF" w:themeFill="background1"/>
            <w:vAlign w:val="center"/>
          </w:tcPr>
          <w:p w14:paraId="12D1B0BF" w14:textId="77777777" w:rsidR="00021755" w:rsidRPr="00566003" w:rsidRDefault="00021755" w:rsidP="003E02F5">
            <w:pPr>
              <w:keepNext/>
              <w:keepLines/>
              <w:spacing w:after="0" w:line="240" w:lineRule="auto"/>
              <w:jc w:val="center"/>
              <w:rPr>
                <w:rFonts w:eastAsia="Times New Roman" w:cs="Times New Roman"/>
                <w:sz w:val="20"/>
                <w:szCs w:val="20"/>
                <w:lang w:eastAsia="en-US"/>
              </w:rPr>
            </w:pPr>
            <w:r w:rsidRPr="00566003">
              <w:rPr>
                <w:rFonts w:eastAsia="Times New Roman" w:cs="Times New Roman"/>
                <w:sz w:val="20"/>
                <w:szCs w:val="20"/>
                <w:lang w:eastAsia="en-US"/>
              </w:rPr>
              <w:t>Full First Alarm- Fire Suppression</w:t>
            </w:r>
          </w:p>
          <w:p w14:paraId="11765047" w14:textId="77777777" w:rsidR="00021755" w:rsidRPr="00566003" w:rsidRDefault="00021755" w:rsidP="003E02F5">
            <w:pPr>
              <w:keepNext/>
              <w:keepLines/>
              <w:spacing w:after="0" w:line="240" w:lineRule="auto"/>
              <w:jc w:val="center"/>
              <w:rPr>
                <w:rFonts w:eastAsia="Times New Roman" w:cs="Times New Roman"/>
                <w:sz w:val="20"/>
                <w:szCs w:val="20"/>
                <w:lang w:eastAsia="en-US"/>
              </w:rPr>
            </w:pPr>
            <w:r w:rsidRPr="00566003">
              <w:rPr>
                <w:rFonts w:eastAsia="Times New Roman" w:cs="Times New Roman"/>
                <w:sz w:val="20"/>
                <w:szCs w:val="20"/>
                <w:lang w:eastAsia="en-US"/>
              </w:rPr>
              <w:t>Response</w:t>
            </w:r>
          </w:p>
        </w:tc>
        <w:tc>
          <w:tcPr>
            <w:tcW w:w="1137" w:type="dxa"/>
            <w:shd w:val="clear" w:color="auto" w:fill="FFFFFF" w:themeFill="background1"/>
            <w:vAlign w:val="center"/>
          </w:tcPr>
          <w:p w14:paraId="02F272D0" w14:textId="77777777" w:rsidR="00021755" w:rsidRPr="00566003" w:rsidRDefault="00021755" w:rsidP="003E02F5">
            <w:pPr>
              <w:keepNext/>
              <w:keepLines/>
              <w:spacing w:after="0" w:line="240" w:lineRule="auto"/>
              <w:jc w:val="center"/>
              <w:rPr>
                <w:rFonts w:eastAsia="Times New Roman" w:cs="Times New Roman"/>
                <w:sz w:val="20"/>
                <w:szCs w:val="20"/>
                <w:lang w:eastAsia="en-US"/>
              </w:rPr>
            </w:pPr>
            <w:r w:rsidRPr="00566003">
              <w:rPr>
                <w:rFonts w:eastAsia="Times New Roman" w:cs="Times New Roman"/>
                <w:sz w:val="20"/>
                <w:szCs w:val="20"/>
                <w:lang w:eastAsia="en-US"/>
              </w:rPr>
              <w:t>NA</w:t>
            </w:r>
          </w:p>
        </w:tc>
        <w:tc>
          <w:tcPr>
            <w:tcW w:w="1293" w:type="dxa"/>
            <w:shd w:val="clear" w:color="auto" w:fill="FFFFFF" w:themeFill="background1"/>
            <w:vAlign w:val="center"/>
          </w:tcPr>
          <w:p w14:paraId="2A2B3FD3" w14:textId="77777777" w:rsidR="00021755" w:rsidRPr="00566003" w:rsidRDefault="00021755" w:rsidP="003E02F5">
            <w:pPr>
              <w:keepNext/>
              <w:keepLines/>
              <w:spacing w:after="0" w:line="240" w:lineRule="auto"/>
              <w:jc w:val="center"/>
              <w:rPr>
                <w:rFonts w:eastAsia="Times New Roman" w:cs="Times New Roman"/>
                <w:sz w:val="20"/>
                <w:szCs w:val="20"/>
                <w:lang w:eastAsia="en-US"/>
              </w:rPr>
            </w:pPr>
            <w:r w:rsidRPr="00566003">
              <w:rPr>
                <w:rFonts w:eastAsia="Times New Roman" w:cs="Times New Roman"/>
                <w:sz w:val="20"/>
                <w:szCs w:val="20"/>
                <w:lang w:eastAsia="en-US"/>
              </w:rPr>
              <w:t>NA</w:t>
            </w:r>
          </w:p>
        </w:tc>
        <w:tc>
          <w:tcPr>
            <w:tcW w:w="990" w:type="dxa"/>
            <w:shd w:val="clear" w:color="auto" w:fill="FFFFFF" w:themeFill="background1"/>
            <w:vAlign w:val="center"/>
          </w:tcPr>
          <w:p w14:paraId="583C4637" w14:textId="77777777" w:rsidR="00021755" w:rsidRPr="00566003" w:rsidRDefault="00021755" w:rsidP="003E02F5">
            <w:pPr>
              <w:keepNext/>
              <w:keepLines/>
              <w:spacing w:after="0" w:line="240" w:lineRule="auto"/>
              <w:jc w:val="center"/>
              <w:rPr>
                <w:rFonts w:eastAsia="Times New Roman" w:cs="Times New Roman"/>
                <w:sz w:val="20"/>
                <w:szCs w:val="20"/>
                <w:lang w:eastAsia="en-US"/>
              </w:rPr>
            </w:pPr>
            <w:r w:rsidRPr="00566003">
              <w:rPr>
                <w:rFonts w:eastAsia="Times New Roman" w:cs="Times New Roman"/>
                <w:sz w:val="20"/>
                <w:szCs w:val="20"/>
                <w:lang w:eastAsia="en-US"/>
              </w:rPr>
              <w:t>NA</w:t>
            </w:r>
          </w:p>
        </w:tc>
        <w:tc>
          <w:tcPr>
            <w:tcW w:w="1137" w:type="dxa"/>
            <w:shd w:val="clear" w:color="auto" w:fill="FFFFFF" w:themeFill="background1"/>
            <w:vAlign w:val="center"/>
          </w:tcPr>
          <w:p w14:paraId="1B5E7E2E" w14:textId="77777777" w:rsidR="00021755" w:rsidRPr="00566003" w:rsidRDefault="00021755" w:rsidP="003E02F5">
            <w:pPr>
              <w:keepNext/>
              <w:keepLines/>
              <w:spacing w:after="0" w:line="240" w:lineRule="auto"/>
              <w:jc w:val="center"/>
              <w:rPr>
                <w:rFonts w:eastAsia="Times New Roman" w:cs="Times New Roman"/>
                <w:sz w:val="20"/>
                <w:szCs w:val="20"/>
                <w:lang w:eastAsia="en-US"/>
              </w:rPr>
            </w:pPr>
            <w:r w:rsidRPr="00566003">
              <w:rPr>
                <w:rFonts w:eastAsia="Times New Roman" w:cs="Times New Roman"/>
                <w:sz w:val="20"/>
                <w:szCs w:val="20"/>
                <w:lang w:eastAsia="en-US"/>
              </w:rPr>
              <w:t>12:00</w:t>
            </w:r>
          </w:p>
        </w:tc>
        <w:tc>
          <w:tcPr>
            <w:tcW w:w="1293" w:type="dxa"/>
            <w:shd w:val="clear" w:color="auto" w:fill="FFFFFF" w:themeFill="background1"/>
            <w:vAlign w:val="center"/>
          </w:tcPr>
          <w:p w14:paraId="131B6828" w14:textId="77777777" w:rsidR="00021755" w:rsidRPr="00566003" w:rsidRDefault="00021755" w:rsidP="003E02F5">
            <w:pPr>
              <w:keepNext/>
              <w:keepLines/>
              <w:spacing w:after="0" w:line="240" w:lineRule="auto"/>
              <w:jc w:val="center"/>
              <w:rPr>
                <w:rFonts w:eastAsia="Times New Roman" w:cs="Times New Roman"/>
                <w:sz w:val="20"/>
                <w:szCs w:val="20"/>
                <w:lang w:eastAsia="en-US"/>
              </w:rPr>
            </w:pPr>
            <w:r w:rsidRPr="00566003">
              <w:rPr>
                <w:rFonts w:eastAsia="Times New Roman" w:cs="Times New Roman"/>
                <w:sz w:val="20"/>
                <w:szCs w:val="20"/>
                <w:lang w:eastAsia="en-US"/>
              </w:rPr>
              <w:t>22:31</w:t>
            </w:r>
          </w:p>
        </w:tc>
        <w:tc>
          <w:tcPr>
            <w:tcW w:w="1078" w:type="dxa"/>
            <w:shd w:val="clear" w:color="auto" w:fill="FFFFFF" w:themeFill="background1"/>
            <w:vAlign w:val="center"/>
          </w:tcPr>
          <w:p w14:paraId="1D7777E9" w14:textId="77777777" w:rsidR="00021755" w:rsidRPr="00566003" w:rsidRDefault="00021755" w:rsidP="003E02F5">
            <w:pPr>
              <w:keepNext/>
              <w:keepLines/>
              <w:spacing w:after="0" w:line="240" w:lineRule="auto"/>
              <w:jc w:val="center"/>
              <w:rPr>
                <w:rFonts w:eastAsia="Times New Roman" w:cs="Times New Roman"/>
                <w:sz w:val="20"/>
                <w:szCs w:val="20"/>
                <w:lang w:eastAsia="en-US"/>
              </w:rPr>
            </w:pPr>
            <w:r w:rsidRPr="00566003">
              <w:rPr>
                <w:rFonts w:eastAsia="Times New Roman" w:cs="Times New Roman"/>
                <w:sz w:val="20"/>
                <w:szCs w:val="20"/>
                <w:lang w:eastAsia="en-US"/>
              </w:rPr>
              <w:t>50%</w:t>
            </w:r>
          </w:p>
        </w:tc>
      </w:tr>
      <w:tr w:rsidR="00021755" w:rsidRPr="00566003" w14:paraId="37E9A65D" w14:textId="77777777" w:rsidTr="00632439">
        <w:trPr>
          <w:jc w:val="center"/>
        </w:trPr>
        <w:tc>
          <w:tcPr>
            <w:tcW w:w="1607" w:type="dxa"/>
            <w:shd w:val="clear" w:color="auto" w:fill="D9D9D9" w:themeFill="background1" w:themeFillShade="D9"/>
            <w:vAlign w:val="center"/>
          </w:tcPr>
          <w:p w14:paraId="2F813D82" w14:textId="77777777" w:rsidR="00021755" w:rsidRPr="00566003" w:rsidRDefault="00021755" w:rsidP="003E02F5">
            <w:pPr>
              <w:keepNext/>
              <w:keepLines/>
              <w:spacing w:after="0" w:line="240" w:lineRule="auto"/>
              <w:jc w:val="center"/>
              <w:rPr>
                <w:rFonts w:eastAsia="Times New Roman" w:cs="Times New Roman"/>
                <w:sz w:val="20"/>
                <w:szCs w:val="20"/>
                <w:lang w:eastAsia="en-US"/>
              </w:rPr>
            </w:pPr>
            <w:r w:rsidRPr="00566003">
              <w:rPr>
                <w:rFonts w:eastAsia="Times New Roman" w:cs="Times New Roman"/>
                <w:sz w:val="20"/>
                <w:szCs w:val="20"/>
                <w:lang w:eastAsia="en-US"/>
              </w:rPr>
              <w:t>First Arriving Medical Unit (BLS or ALS)</w:t>
            </w:r>
          </w:p>
        </w:tc>
        <w:tc>
          <w:tcPr>
            <w:tcW w:w="1137" w:type="dxa"/>
            <w:shd w:val="clear" w:color="auto" w:fill="D9D9D9" w:themeFill="background1" w:themeFillShade="D9"/>
            <w:vAlign w:val="center"/>
          </w:tcPr>
          <w:p w14:paraId="0C2167F7" w14:textId="77777777" w:rsidR="00021755" w:rsidRPr="00566003" w:rsidRDefault="00021755" w:rsidP="003E02F5">
            <w:pPr>
              <w:keepNext/>
              <w:keepLines/>
              <w:spacing w:after="0" w:line="240" w:lineRule="auto"/>
              <w:jc w:val="center"/>
              <w:rPr>
                <w:rFonts w:eastAsia="Times New Roman" w:cs="Times New Roman"/>
                <w:sz w:val="20"/>
                <w:szCs w:val="20"/>
                <w:lang w:eastAsia="en-US"/>
              </w:rPr>
            </w:pPr>
            <w:r w:rsidRPr="00566003">
              <w:rPr>
                <w:rFonts w:eastAsia="Times New Roman" w:cs="Times New Roman"/>
                <w:sz w:val="20"/>
                <w:szCs w:val="20"/>
                <w:lang w:eastAsia="en-US"/>
              </w:rPr>
              <w:t>2:00</w:t>
            </w:r>
          </w:p>
        </w:tc>
        <w:tc>
          <w:tcPr>
            <w:tcW w:w="1293" w:type="dxa"/>
            <w:shd w:val="clear" w:color="auto" w:fill="D9D9D9" w:themeFill="background1" w:themeFillShade="D9"/>
            <w:vAlign w:val="center"/>
          </w:tcPr>
          <w:p w14:paraId="789E29FF" w14:textId="77777777" w:rsidR="00021755" w:rsidRPr="00566003" w:rsidRDefault="00021755" w:rsidP="003E02F5">
            <w:pPr>
              <w:keepNext/>
              <w:keepLines/>
              <w:spacing w:after="0" w:line="240" w:lineRule="auto"/>
              <w:jc w:val="center"/>
              <w:rPr>
                <w:rFonts w:eastAsia="Times New Roman" w:cs="Times New Roman"/>
                <w:sz w:val="20"/>
                <w:szCs w:val="20"/>
                <w:lang w:eastAsia="en-US"/>
              </w:rPr>
            </w:pPr>
            <w:r w:rsidRPr="00566003">
              <w:rPr>
                <w:rFonts w:eastAsia="Times New Roman" w:cs="Times New Roman"/>
                <w:sz w:val="20"/>
                <w:szCs w:val="20"/>
                <w:lang w:eastAsia="en-US"/>
              </w:rPr>
              <w:t>1:51</w:t>
            </w:r>
          </w:p>
        </w:tc>
        <w:tc>
          <w:tcPr>
            <w:tcW w:w="990" w:type="dxa"/>
            <w:shd w:val="clear" w:color="auto" w:fill="D9D9D9" w:themeFill="background1" w:themeFillShade="D9"/>
            <w:vAlign w:val="center"/>
          </w:tcPr>
          <w:p w14:paraId="66BE0F79" w14:textId="77777777" w:rsidR="00021755" w:rsidRPr="00566003" w:rsidRDefault="00021755" w:rsidP="003E02F5">
            <w:pPr>
              <w:keepNext/>
              <w:keepLines/>
              <w:spacing w:after="0" w:line="240" w:lineRule="auto"/>
              <w:jc w:val="center"/>
              <w:rPr>
                <w:rFonts w:eastAsia="Times New Roman" w:cs="Times New Roman"/>
                <w:sz w:val="20"/>
                <w:szCs w:val="20"/>
                <w:lang w:eastAsia="en-US"/>
              </w:rPr>
            </w:pPr>
          </w:p>
          <w:p w14:paraId="24648E45" w14:textId="77777777" w:rsidR="00021755" w:rsidRPr="00566003" w:rsidRDefault="00021755" w:rsidP="003E02F5">
            <w:pPr>
              <w:keepNext/>
              <w:keepLines/>
              <w:spacing w:after="0" w:line="240" w:lineRule="auto"/>
              <w:jc w:val="center"/>
              <w:rPr>
                <w:rFonts w:eastAsia="Times New Roman" w:cs="Times New Roman"/>
                <w:sz w:val="20"/>
                <w:szCs w:val="20"/>
                <w:lang w:eastAsia="en-US"/>
              </w:rPr>
            </w:pPr>
            <w:r w:rsidRPr="00566003">
              <w:rPr>
                <w:rFonts w:eastAsia="Times New Roman" w:cs="Times New Roman"/>
                <w:sz w:val="20"/>
                <w:szCs w:val="20"/>
                <w:lang w:eastAsia="en-US"/>
              </w:rPr>
              <w:t>93.1%</w:t>
            </w:r>
          </w:p>
          <w:p w14:paraId="40B2A377" w14:textId="77777777" w:rsidR="00021755" w:rsidRPr="00566003" w:rsidRDefault="00021755" w:rsidP="003E02F5">
            <w:pPr>
              <w:keepNext/>
              <w:keepLines/>
              <w:spacing w:after="0" w:line="240" w:lineRule="auto"/>
              <w:jc w:val="center"/>
              <w:rPr>
                <w:rFonts w:eastAsia="Times New Roman" w:cs="Times New Roman"/>
                <w:sz w:val="20"/>
                <w:szCs w:val="20"/>
                <w:lang w:eastAsia="en-US"/>
              </w:rPr>
            </w:pPr>
          </w:p>
        </w:tc>
        <w:tc>
          <w:tcPr>
            <w:tcW w:w="1137" w:type="dxa"/>
            <w:shd w:val="clear" w:color="auto" w:fill="D9D9D9" w:themeFill="background1" w:themeFillShade="D9"/>
            <w:vAlign w:val="center"/>
          </w:tcPr>
          <w:p w14:paraId="2035E120" w14:textId="77777777" w:rsidR="00021755" w:rsidRPr="00566003" w:rsidRDefault="00021755" w:rsidP="003E02F5">
            <w:pPr>
              <w:keepNext/>
              <w:keepLines/>
              <w:spacing w:after="0" w:line="240" w:lineRule="auto"/>
              <w:jc w:val="center"/>
              <w:rPr>
                <w:rFonts w:eastAsia="Times New Roman" w:cs="Times New Roman"/>
                <w:sz w:val="20"/>
                <w:szCs w:val="20"/>
                <w:lang w:eastAsia="en-US"/>
              </w:rPr>
            </w:pPr>
            <w:r w:rsidRPr="00566003">
              <w:rPr>
                <w:rFonts w:eastAsia="Times New Roman" w:cs="Times New Roman"/>
                <w:sz w:val="20"/>
                <w:szCs w:val="20"/>
                <w:lang w:eastAsia="en-US"/>
              </w:rPr>
              <w:t>6:00</w:t>
            </w:r>
          </w:p>
        </w:tc>
        <w:tc>
          <w:tcPr>
            <w:tcW w:w="1293" w:type="dxa"/>
            <w:shd w:val="clear" w:color="auto" w:fill="D9D9D9" w:themeFill="background1" w:themeFillShade="D9"/>
            <w:vAlign w:val="center"/>
          </w:tcPr>
          <w:p w14:paraId="4E0A5ABF" w14:textId="77777777" w:rsidR="00021755" w:rsidRPr="00566003" w:rsidRDefault="00021755" w:rsidP="003E02F5">
            <w:pPr>
              <w:keepNext/>
              <w:keepLines/>
              <w:spacing w:after="0" w:line="240" w:lineRule="auto"/>
              <w:jc w:val="center"/>
              <w:rPr>
                <w:rFonts w:eastAsia="Times New Roman" w:cs="Times New Roman"/>
                <w:sz w:val="20"/>
                <w:szCs w:val="20"/>
                <w:lang w:eastAsia="en-US"/>
              </w:rPr>
            </w:pPr>
          </w:p>
          <w:p w14:paraId="7E482E38" w14:textId="77777777" w:rsidR="00021755" w:rsidRPr="00566003" w:rsidRDefault="00021755" w:rsidP="003E02F5">
            <w:pPr>
              <w:keepNext/>
              <w:keepLines/>
              <w:spacing w:after="0" w:line="240" w:lineRule="auto"/>
              <w:jc w:val="center"/>
              <w:rPr>
                <w:rFonts w:eastAsia="Times New Roman" w:cs="Times New Roman"/>
                <w:sz w:val="20"/>
                <w:szCs w:val="20"/>
                <w:lang w:eastAsia="en-US"/>
              </w:rPr>
            </w:pPr>
            <w:r w:rsidRPr="00566003">
              <w:rPr>
                <w:rFonts w:eastAsia="Times New Roman" w:cs="Times New Roman"/>
                <w:sz w:val="20"/>
                <w:szCs w:val="20"/>
                <w:lang w:eastAsia="en-US"/>
              </w:rPr>
              <w:t>6:20</w:t>
            </w:r>
          </w:p>
          <w:p w14:paraId="32221C92" w14:textId="77777777" w:rsidR="00021755" w:rsidRPr="00566003" w:rsidRDefault="00021755" w:rsidP="003E02F5">
            <w:pPr>
              <w:keepNext/>
              <w:keepLines/>
              <w:spacing w:after="0" w:line="240" w:lineRule="auto"/>
              <w:jc w:val="center"/>
              <w:rPr>
                <w:rFonts w:eastAsia="Times New Roman" w:cs="Times New Roman"/>
                <w:sz w:val="20"/>
                <w:szCs w:val="20"/>
                <w:lang w:eastAsia="en-US"/>
              </w:rPr>
            </w:pPr>
          </w:p>
        </w:tc>
        <w:tc>
          <w:tcPr>
            <w:tcW w:w="1078" w:type="dxa"/>
            <w:shd w:val="clear" w:color="auto" w:fill="D9D9D9" w:themeFill="background1" w:themeFillShade="D9"/>
            <w:vAlign w:val="center"/>
          </w:tcPr>
          <w:p w14:paraId="61AEDB30" w14:textId="77777777" w:rsidR="00021755" w:rsidRPr="00566003" w:rsidRDefault="00021755" w:rsidP="003E02F5">
            <w:pPr>
              <w:keepNext/>
              <w:keepLines/>
              <w:spacing w:after="0" w:line="240" w:lineRule="auto"/>
              <w:jc w:val="center"/>
              <w:rPr>
                <w:rFonts w:eastAsia="Times New Roman" w:cs="Times New Roman"/>
                <w:sz w:val="20"/>
                <w:szCs w:val="20"/>
                <w:lang w:eastAsia="en-US"/>
              </w:rPr>
            </w:pPr>
          </w:p>
          <w:p w14:paraId="0C1BAB97" w14:textId="77777777" w:rsidR="00021755" w:rsidRPr="00566003" w:rsidRDefault="00021755" w:rsidP="003E02F5">
            <w:pPr>
              <w:keepNext/>
              <w:keepLines/>
              <w:spacing w:after="0" w:line="240" w:lineRule="auto"/>
              <w:jc w:val="center"/>
              <w:rPr>
                <w:rFonts w:eastAsia="Times New Roman" w:cs="Times New Roman"/>
                <w:sz w:val="20"/>
                <w:szCs w:val="20"/>
                <w:lang w:eastAsia="en-US"/>
              </w:rPr>
            </w:pPr>
            <w:r w:rsidRPr="00566003">
              <w:rPr>
                <w:rFonts w:eastAsia="Times New Roman" w:cs="Times New Roman"/>
                <w:sz w:val="20"/>
                <w:szCs w:val="20"/>
                <w:lang w:eastAsia="en-US"/>
              </w:rPr>
              <w:t>88.1%</w:t>
            </w:r>
          </w:p>
          <w:p w14:paraId="1C926998" w14:textId="77777777" w:rsidR="00021755" w:rsidRPr="00566003" w:rsidRDefault="00021755" w:rsidP="003E02F5">
            <w:pPr>
              <w:keepNext/>
              <w:keepLines/>
              <w:spacing w:after="0" w:line="240" w:lineRule="auto"/>
              <w:jc w:val="center"/>
              <w:rPr>
                <w:rFonts w:eastAsia="Times New Roman" w:cs="Times New Roman"/>
                <w:sz w:val="20"/>
                <w:szCs w:val="20"/>
                <w:lang w:eastAsia="en-US"/>
              </w:rPr>
            </w:pPr>
          </w:p>
        </w:tc>
      </w:tr>
      <w:tr w:rsidR="00021755" w:rsidRPr="00566003" w14:paraId="41E44760" w14:textId="77777777" w:rsidTr="00632439">
        <w:trPr>
          <w:jc w:val="center"/>
        </w:trPr>
        <w:tc>
          <w:tcPr>
            <w:tcW w:w="1607" w:type="dxa"/>
            <w:shd w:val="clear" w:color="auto" w:fill="FFFFFF" w:themeFill="background1"/>
            <w:vAlign w:val="center"/>
          </w:tcPr>
          <w:p w14:paraId="19A015D4" w14:textId="77777777" w:rsidR="00021755" w:rsidRPr="00566003" w:rsidRDefault="00021755" w:rsidP="003E02F5">
            <w:pPr>
              <w:keepNext/>
              <w:keepLines/>
              <w:spacing w:after="0" w:line="240" w:lineRule="auto"/>
              <w:jc w:val="center"/>
              <w:rPr>
                <w:rFonts w:eastAsia="Times New Roman" w:cs="Times New Roman"/>
                <w:sz w:val="20"/>
                <w:szCs w:val="20"/>
                <w:lang w:eastAsia="en-US"/>
              </w:rPr>
            </w:pPr>
            <w:r w:rsidRPr="00566003">
              <w:rPr>
                <w:rFonts w:eastAsia="Times New Roman" w:cs="Times New Roman"/>
                <w:sz w:val="20"/>
                <w:szCs w:val="20"/>
                <w:lang w:eastAsia="en-US"/>
              </w:rPr>
              <w:t>First Arriving ALS Unit</w:t>
            </w:r>
          </w:p>
        </w:tc>
        <w:tc>
          <w:tcPr>
            <w:tcW w:w="1137" w:type="dxa"/>
            <w:shd w:val="clear" w:color="auto" w:fill="FFFFFF" w:themeFill="background1"/>
            <w:vAlign w:val="center"/>
          </w:tcPr>
          <w:p w14:paraId="2D7229E7" w14:textId="77777777" w:rsidR="00021755" w:rsidRPr="00566003" w:rsidRDefault="00021755" w:rsidP="003E02F5">
            <w:pPr>
              <w:keepNext/>
              <w:keepLines/>
              <w:spacing w:after="0" w:line="240" w:lineRule="auto"/>
              <w:jc w:val="center"/>
              <w:rPr>
                <w:rFonts w:eastAsia="Times New Roman" w:cs="Times New Roman"/>
                <w:sz w:val="20"/>
                <w:szCs w:val="20"/>
                <w:lang w:eastAsia="en-US"/>
              </w:rPr>
            </w:pPr>
            <w:r w:rsidRPr="00566003">
              <w:rPr>
                <w:rFonts w:eastAsia="Times New Roman" w:cs="Times New Roman"/>
                <w:sz w:val="20"/>
                <w:szCs w:val="20"/>
                <w:lang w:eastAsia="en-US"/>
              </w:rPr>
              <w:t>2:00</w:t>
            </w:r>
          </w:p>
        </w:tc>
        <w:tc>
          <w:tcPr>
            <w:tcW w:w="1293" w:type="dxa"/>
            <w:shd w:val="clear" w:color="auto" w:fill="FFFFFF" w:themeFill="background1"/>
            <w:vAlign w:val="center"/>
          </w:tcPr>
          <w:p w14:paraId="0FBE4C20" w14:textId="77777777" w:rsidR="00021755" w:rsidRPr="00566003" w:rsidRDefault="00021755" w:rsidP="003E02F5">
            <w:pPr>
              <w:keepNext/>
              <w:keepLines/>
              <w:spacing w:after="0" w:line="240" w:lineRule="auto"/>
              <w:jc w:val="center"/>
              <w:rPr>
                <w:rFonts w:eastAsia="Times New Roman" w:cs="Times New Roman"/>
                <w:sz w:val="20"/>
                <w:szCs w:val="20"/>
                <w:lang w:eastAsia="en-US"/>
              </w:rPr>
            </w:pPr>
            <w:r w:rsidRPr="00566003">
              <w:rPr>
                <w:rFonts w:eastAsia="Times New Roman" w:cs="Times New Roman"/>
                <w:sz w:val="20"/>
                <w:szCs w:val="20"/>
                <w:lang w:eastAsia="en-US"/>
              </w:rPr>
              <w:t>1:52</w:t>
            </w:r>
          </w:p>
        </w:tc>
        <w:tc>
          <w:tcPr>
            <w:tcW w:w="990" w:type="dxa"/>
            <w:shd w:val="clear" w:color="auto" w:fill="FFFFFF" w:themeFill="background1"/>
            <w:vAlign w:val="center"/>
          </w:tcPr>
          <w:p w14:paraId="127B2CDD" w14:textId="77777777" w:rsidR="00021755" w:rsidRPr="00566003" w:rsidRDefault="00021755" w:rsidP="003E02F5">
            <w:pPr>
              <w:keepNext/>
              <w:keepLines/>
              <w:spacing w:after="0" w:line="240" w:lineRule="auto"/>
              <w:jc w:val="center"/>
              <w:rPr>
                <w:rFonts w:eastAsia="Times New Roman" w:cs="Times New Roman"/>
                <w:sz w:val="20"/>
                <w:szCs w:val="20"/>
                <w:lang w:eastAsia="en-US"/>
              </w:rPr>
            </w:pPr>
            <w:r w:rsidRPr="00566003">
              <w:rPr>
                <w:rFonts w:eastAsia="Times New Roman" w:cs="Times New Roman"/>
                <w:sz w:val="20"/>
                <w:szCs w:val="20"/>
                <w:lang w:eastAsia="en-US"/>
              </w:rPr>
              <w:t>93.2%</w:t>
            </w:r>
          </w:p>
        </w:tc>
        <w:tc>
          <w:tcPr>
            <w:tcW w:w="1137" w:type="dxa"/>
            <w:shd w:val="clear" w:color="auto" w:fill="FFFFFF" w:themeFill="background1"/>
            <w:vAlign w:val="center"/>
          </w:tcPr>
          <w:p w14:paraId="1A74C778" w14:textId="77777777" w:rsidR="00021755" w:rsidRPr="00566003" w:rsidRDefault="00021755" w:rsidP="003E02F5">
            <w:pPr>
              <w:keepNext/>
              <w:keepLines/>
              <w:spacing w:after="0" w:line="240" w:lineRule="auto"/>
              <w:jc w:val="center"/>
              <w:rPr>
                <w:rFonts w:eastAsia="Times New Roman" w:cs="Times New Roman"/>
                <w:sz w:val="20"/>
                <w:szCs w:val="20"/>
                <w:lang w:eastAsia="en-US"/>
              </w:rPr>
            </w:pPr>
            <w:r w:rsidRPr="00566003">
              <w:rPr>
                <w:rFonts w:eastAsia="Times New Roman" w:cs="Times New Roman"/>
                <w:sz w:val="20"/>
                <w:szCs w:val="20"/>
                <w:lang w:eastAsia="en-US"/>
              </w:rPr>
              <w:t>6:00</w:t>
            </w:r>
          </w:p>
        </w:tc>
        <w:tc>
          <w:tcPr>
            <w:tcW w:w="1293" w:type="dxa"/>
            <w:shd w:val="clear" w:color="auto" w:fill="FFFFFF" w:themeFill="background1"/>
            <w:vAlign w:val="center"/>
          </w:tcPr>
          <w:p w14:paraId="0D150E61" w14:textId="77777777" w:rsidR="00021755" w:rsidRPr="00566003" w:rsidRDefault="00021755" w:rsidP="003E02F5">
            <w:pPr>
              <w:keepNext/>
              <w:keepLines/>
              <w:spacing w:after="0" w:line="240" w:lineRule="auto"/>
              <w:jc w:val="center"/>
              <w:rPr>
                <w:rFonts w:eastAsia="Times New Roman" w:cs="Times New Roman"/>
                <w:sz w:val="20"/>
                <w:szCs w:val="20"/>
                <w:lang w:eastAsia="en-US"/>
              </w:rPr>
            </w:pPr>
            <w:r w:rsidRPr="00566003">
              <w:rPr>
                <w:rFonts w:eastAsia="Times New Roman" w:cs="Times New Roman"/>
                <w:sz w:val="20"/>
                <w:szCs w:val="20"/>
                <w:lang w:eastAsia="en-US"/>
              </w:rPr>
              <w:t>5:21</w:t>
            </w:r>
          </w:p>
        </w:tc>
        <w:tc>
          <w:tcPr>
            <w:tcW w:w="1078" w:type="dxa"/>
            <w:shd w:val="clear" w:color="auto" w:fill="FFFFFF" w:themeFill="background1"/>
            <w:vAlign w:val="center"/>
          </w:tcPr>
          <w:p w14:paraId="7BD55329" w14:textId="77777777" w:rsidR="00021755" w:rsidRPr="00566003" w:rsidRDefault="00021755" w:rsidP="003E02F5">
            <w:pPr>
              <w:keepNext/>
              <w:keepLines/>
              <w:spacing w:after="0" w:line="240" w:lineRule="auto"/>
              <w:jc w:val="center"/>
              <w:rPr>
                <w:rFonts w:eastAsia="Times New Roman" w:cs="Times New Roman"/>
                <w:sz w:val="20"/>
                <w:szCs w:val="20"/>
                <w:lang w:eastAsia="en-US"/>
              </w:rPr>
            </w:pPr>
            <w:r w:rsidRPr="00566003">
              <w:rPr>
                <w:rFonts w:eastAsia="Times New Roman" w:cs="Times New Roman"/>
                <w:sz w:val="20"/>
                <w:szCs w:val="20"/>
                <w:lang w:eastAsia="en-US"/>
              </w:rPr>
              <w:t>92.9%</w:t>
            </w:r>
          </w:p>
        </w:tc>
      </w:tr>
      <w:tr w:rsidR="00021755" w:rsidRPr="00566003" w14:paraId="5BB30D63" w14:textId="77777777" w:rsidTr="00632439">
        <w:trPr>
          <w:jc w:val="center"/>
        </w:trPr>
        <w:tc>
          <w:tcPr>
            <w:tcW w:w="1607" w:type="dxa"/>
            <w:shd w:val="clear" w:color="auto" w:fill="D9D9D9" w:themeFill="background1" w:themeFillShade="D9"/>
            <w:vAlign w:val="center"/>
          </w:tcPr>
          <w:p w14:paraId="6D9314E6" w14:textId="77777777" w:rsidR="00021755" w:rsidRPr="00566003" w:rsidRDefault="00021755" w:rsidP="003E02F5">
            <w:pPr>
              <w:keepNext/>
              <w:keepLines/>
              <w:spacing w:after="0" w:line="240" w:lineRule="auto"/>
              <w:jc w:val="center"/>
              <w:rPr>
                <w:rFonts w:eastAsia="Times New Roman" w:cs="Times New Roman"/>
                <w:sz w:val="20"/>
                <w:szCs w:val="20"/>
                <w:lang w:eastAsia="en-US"/>
              </w:rPr>
            </w:pPr>
            <w:r w:rsidRPr="00566003">
              <w:rPr>
                <w:rFonts w:eastAsia="Times New Roman" w:cs="Times New Roman"/>
                <w:sz w:val="20"/>
                <w:szCs w:val="20"/>
                <w:lang w:eastAsia="en-US"/>
              </w:rPr>
              <w:t>Hazardous</w:t>
            </w:r>
          </w:p>
          <w:p w14:paraId="3E95B264" w14:textId="77777777" w:rsidR="00021755" w:rsidRPr="00566003" w:rsidRDefault="00021755" w:rsidP="003E02F5">
            <w:pPr>
              <w:keepNext/>
              <w:keepLines/>
              <w:spacing w:after="0" w:line="240" w:lineRule="auto"/>
              <w:jc w:val="center"/>
              <w:rPr>
                <w:rFonts w:eastAsia="Times New Roman" w:cs="Times New Roman"/>
                <w:sz w:val="20"/>
                <w:szCs w:val="20"/>
                <w:lang w:eastAsia="en-US"/>
              </w:rPr>
            </w:pPr>
            <w:r w:rsidRPr="00566003">
              <w:rPr>
                <w:rFonts w:eastAsia="Times New Roman" w:cs="Times New Roman"/>
                <w:sz w:val="20"/>
                <w:szCs w:val="20"/>
                <w:lang w:eastAsia="en-US"/>
              </w:rPr>
              <w:t>Material</w:t>
            </w:r>
          </w:p>
        </w:tc>
        <w:tc>
          <w:tcPr>
            <w:tcW w:w="1137" w:type="dxa"/>
            <w:shd w:val="clear" w:color="auto" w:fill="D9D9D9" w:themeFill="background1" w:themeFillShade="D9"/>
            <w:vAlign w:val="center"/>
          </w:tcPr>
          <w:p w14:paraId="0FE98378" w14:textId="77777777" w:rsidR="00021755" w:rsidRPr="00566003" w:rsidRDefault="00021755" w:rsidP="003E02F5">
            <w:pPr>
              <w:keepNext/>
              <w:keepLines/>
              <w:spacing w:after="0" w:line="240" w:lineRule="auto"/>
              <w:jc w:val="center"/>
              <w:rPr>
                <w:rFonts w:eastAsia="Times New Roman" w:cs="Times New Roman"/>
                <w:sz w:val="20"/>
                <w:szCs w:val="20"/>
                <w:lang w:eastAsia="en-US"/>
              </w:rPr>
            </w:pPr>
            <w:r w:rsidRPr="00566003">
              <w:rPr>
                <w:rFonts w:eastAsia="Times New Roman" w:cs="Times New Roman"/>
                <w:sz w:val="20"/>
                <w:szCs w:val="20"/>
                <w:lang w:eastAsia="en-US"/>
              </w:rPr>
              <w:t>2:00</w:t>
            </w:r>
          </w:p>
        </w:tc>
        <w:tc>
          <w:tcPr>
            <w:tcW w:w="1293" w:type="dxa"/>
            <w:shd w:val="clear" w:color="auto" w:fill="D9D9D9" w:themeFill="background1" w:themeFillShade="D9"/>
            <w:vAlign w:val="center"/>
          </w:tcPr>
          <w:p w14:paraId="0C653D9B" w14:textId="77777777" w:rsidR="00021755" w:rsidRPr="00566003" w:rsidRDefault="00021755" w:rsidP="003E02F5">
            <w:pPr>
              <w:keepNext/>
              <w:keepLines/>
              <w:spacing w:after="0" w:line="240" w:lineRule="auto"/>
              <w:jc w:val="center"/>
              <w:rPr>
                <w:rFonts w:eastAsia="Times New Roman" w:cs="Times New Roman"/>
                <w:sz w:val="20"/>
                <w:szCs w:val="20"/>
                <w:lang w:eastAsia="en-US"/>
              </w:rPr>
            </w:pPr>
          </w:p>
          <w:p w14:paraId="22F920D4" w14:textId="77777777" w:rsidR="00021755" w:rsidRPr="00566003" w:rsidRDefault="00021755" w:rsidP="003E02F5">
            <w:pPr>
              <w:keepNext/>
              <w:keepLines/>
              <w:spacing w:after="0" w:line="240" w:lineRule="auto"/>
              <w:jc w:val="center"/>
              <w:rPr>
                <w:rFonts w:eastAsia="Times New Roman" w:cs="Times New Roman"/>
                <w:sz w:val="20"/>
                <w:szCs w:val="20"/>
                <w:lang w:eastAsia="en-US"/>
              </w:rPr>
            </w:pPr>
            <w:r w:rsidRPr="00566003">
              <w:rPr>
                <w:rFonts w:eastAsia="Times New Roman" w:cs="Times New Roman"/>
                <w:sz w:val="20"/>
                <w:szCs w:val="20"/>
                <w:lang w:eastAsia="en-US"/>
              </w:rPr>
              <w:t>3:14</w:t>
            </w:r>
          </w:p>
          <w:p w14:paraId="4A6D1D5D" w14:textId="77777777" w:rsidR="00021755" w:rsidRPr="00566003" w:rsidRDefault="00021755" w:rsidP="003E02F5">
            <w:pPr>
              <w:keepNext/>
              <w:keepLines/>
              <w:spacing w:after="0" w:line="240" w:lineRule="auto"/>
              <w:jc w:val="center"/>
              <w:rPr>
                <w:rFonts w:eastAsia="Times New Roman" w:cs="Times New Roman"/>
                <w:sz w:val="20"/>
                <w:szCs w:val="20"/>
                <w:lang w:eastAsia="en-US"/>
              </w:rPr>
            </w:pPr>
          </w:p>
        </w:tc>
        <w:tc>
          <w:tcPr>
            <w:tcW w:w="990" w:type="dxa"/>
            <w:shd w:val="clear" w:color="auto" w:fill="D9D9D9" w:themeFill="background1" w:themeFillShade="D9"/>
            <w:vAlign w:val="center"/>
          </w:tcPr>
          <w:p w14:paraId="570C430A" w14:textId="77777777" w:rsidR="00021755" w:rsidRPr="00566003" w:rsidRDefault="00021755" w:rsidP="003E02F5">
            <w:pPr>
              <w:keepNext/>
              <w:keepLines/>
              <w:spacing w:after="0" w:line="240" w:lineRule="auto"/>
              <w:jc w:val="center"/>
              <w:rPr>
                <w:rFonts w:eastAsia="Times New Roman" w:cs="Times New Roman"/>
                <w:sz w:val="20"/>
                <w:szCs w:val="20"/>
                <w:lang w:eastAsia="en-US"/>
              </w:rPr>
            </w:pPr>
          </w:p>
          <w:p w14:paraId="0C74B0B3" w14:textId="77777777" w:rsidR="00021755" w:rsidRPr="00566003" w:rsidRDefault="00021755" w:rsidP="003E02F5">
            <w:pPr>
              <w:keepNext/>
              <w:keepLines/>
              <w:spacing w:after="0" w:line="240" w:lineRule="auto"/>
              <w:jc w:val="center"/>
              <w:rPr>
                <w:rFonts w:eastAsia="Times New Roman" w:cs="Times New Roman"/>
                <w:sz w:val="20"/>
                <w:szCs w:val="20"/>
                <w:lang w:eastAsia="en-US"/>
              </w:rPr>
            </w:pPr>
            <w:r w:rsidRPr="00566003">
              <w:rPr>
                <w:rFonts w:eastAsia="Times New Roman" w:cs="Times New Roman"/>
                <w:sz w:val="20"/>
                <w:szCs w:val="20"/>
                <w:lang w:eastAsia="en-US"/>
              </w:rPr>
              <w:t>50%</w:t>
            </w:r>
          </w:p>
          <w:p w14:paraId="73AB833D" w14:textId="77777777" w:rsidR="00021755" w:rsidRPr="00566003" w:rsidRDefault="00021755" w:rsidP="003E02F5">
            <w:pPr>
              <w:keepNext/>
              <w:keepLines/>
              <w:spacing w:after="0" w:line="240" w:lineRule="auto"/>
              <w:jc w:val="center"/>
              <w:rPr>
                <w:rFonts w:eastAsia="Times New Roman" w:cs="Times New Roman"/>
                <w:sz w:val="20"/>
                <w:szCs w:val="20"/>
                <w:lang w:eastAsia="en-US"/>
              </w:rPr>
            </w:pPr>
          </w:p>
        </w:tc>
        <w:tc>
          <w:tcPr>
            <w:tcW w:w="1137" w:type="dxa"/>
            <w:shd w:val="clear" w:color="auto" w:fill="D9D9D9" w:themeFill="background1" w:themeFillShade="D9"/>
            <w:vAlign w:val="center"/>
          </w:tcPr>
          <w:p w14:paraId="15D6AE8D" w14:textId="77777777" w:rsidR="00021755" w:rsidRPr="00566003" w:rsidRDefault="00021755" w:rsidP="003E02F5">
            <w:pPr>
              <w:keepNext/>
              <w:keepLines/>
              <w:spacing w:after="0" w:line="240" w:lineRule="auto"/>
              <w:jc w:val="center"/>
              <w:rPr>
                <w:rFonts w:eastAsia="Times New Roman" w:cs="Times New Roman"/>
                <w:sz w:val="20"/>
                <w:szCs w:val="20"/>
                <w:lang w:eastAsia="en-US"/>
              </w:rPr>
            </w:pPr>
            <w:r w:rsidRPr="00566003">
              <w:rPr>
                <w:rFonts w:eastAsia="Times New Roman" w:cs="Times New Roman"/>
                <w:sz w:val="20"/>
                <w:szCs w:val="20"/>
                <w:lang w:eastAsia="en-US"/>
              </w:rPr>
              <w:t>6:00</w:t>
            </w:r>
          </w:p>
        </w:tc>
        <w:tc>
          <w:tcPr>
            <w:tcW w:w="1293" w:type="dxa"/>
            <w:shd w:val="clear" w:color="auto" w:fill="D9D9D9" w:themeFill="background1" w:themeFillShade="D9"/>
            <w:vAlign w:val="center"/>
          </w:tcPr>
          <w:p w14:paraId="67F32692" w14:textId="77777777" w:rsidR="00021755" w:rsidRPr="00566003" w:rsidRDefault="00021755" w:rsidP="003E02F5">
            <w:pPr>
              <w:keepNext/>
              <w:keepLines/>
              <w:spacing w:after="0" w:line="240" w:lineRule="auto"/>
              <w:jc w:val="center"/>
              <w:rPr>
                <w:rFonts w:eastAsia="Times New Roman" w:cs="Times New Roman"/>
                <w:sz w:val="20"/>
                <w:szCs w:val="20"/>
                <w:lang w:eastAsia="en-US"/>
              </w:rPr>
            </w:pPr>
          </w:p>
          <w:p w14:paraId="761B9696" w14:textId="77777777" w:rsidR="00021755" w:rsidRPr="00566003" w:rsidRDefault="00021755" w:rsidP="003E02F5">
            <w:pPr>
              <w:keepNext/>
              <w:keepLines/>
              <w:spacing w:after="0" w:line="240" w:lineRule="auto"/>
              <w:jc w:val="center"/>
              <w:rPr>
                <w:rFonts w:eastAsia="Times New Roman" w:cs="Times New Roman"/>
                <w:sz w:val="20"/>
                <w:szCs w:val="20"/>
                <w:lang w:eastAsia="en-US"/>
              </w:rPr>
            </w:pPr>
            <w:r w:rsidRPr="00566003">
              <w:rPr>
                <w:rFonts w:eastAsia="Times New Roman" w:cs="Times New Roman"/>
                <w:sz w:val="20"/>
                <w:szCs w:val="20"/>
                <w:lang w:eastAsia="en-US"/>
              </w:rPr>
              <w:t>5:21</w:t>
            </w:r>
          </w:p>
          <w:p w14:paraId="1B6CF9BF" w14:textId="77777777" w:rsidR="00021755" w:rsidRPr="00566003" w:rsidRDefault="00021755" w:rsidP="003E02F5">
            <w:pPr>
              <w:keepNext/>
              <w:keepLines/>
              <w:spacing w:after="0" w:line="240" w:lineRule="auto"/>
              <w:jc w:val="center"/>
              <w:rPr>
                <w:rFonts w:eastAsia="Times New Roman" w:cs="Times New Roman"/>
                <w:sz w:val="20"/>
                <w:szCs w:val="20"/>
                <w:lang w:eastAsia="en-US"/>
              </w:rPr>
            </w:pPr>
          </w:p>
        </w:tc>
        <w:tc>
          <w:tcPr>
            <w:tcW w:w="1078" w:type="dxa"/>
            <w:shd w:val="clear" w:color="auto" w:fill="D9D9D9" w:themeFill="background1" w:themeFillShade="D9"/>
            <w:vAlign w:val="center"/>
          </w:tcPr>
          <w:p w14:paraId="3EB5D49A" w14:textId="77777777" w:rsidR="00021755" w:rsidRPr="00566003" w:rsidRDefault="00021755" w:rsidP="003E02F5">
            <w:pPr>
              <w:keepNext/>
              <w:keepLines/>
              <w:spacing w:after="0" w:line="240" w:lineRule="auto"/>
              <w:jc w:val="center"/>
              <w:rPr>
                <w:rFonts w:eastAsia="Times New Roman" w:cs="Times New Roman"/>
                <w:sz w:val="20"/>
                <w:szCs w:val="20"/>
                <w:lang w:eastAsia="en-US"/>
              </w:rPr>
            </w:pPr>
          </w:p>
          <w:p w14:paraId="60A9E4F8" w14:textId="77777777" w:rsidR="00021755" w:rsidRPr="00566003" w:rsidRDefault="00021755" w:rsidP="003E02F5">
            <w:pPr>
              <w:keepNext/>
              <w:keepLines/>
              <w:spacing w:after="0" w:line="240" w:lineRule="auto"/>
              <w:jc w:val="center"/>
              <w:rPr>
                <w:rFonts w:eastAsia="Times New Roman" w:cs="Times New Roman"/>
                <w:sz w:val="20"/>
                <w:szCs w:val="20"/>
                <w:lang w:eastAsia="en-US"/>
              </w:rPr>
            </w:pPr>
            <w:r w:rsidRPr="00566003">
              <w:rPr>
                <w:rFonts w:eastAsia="Times New Roman" w:cs="Times New Roman"/>
                <w:sz w:val="20"/>
                <w:szCs w:val="20"/>
                <w:lang w:eastAsia="en-US"/>
              </w:rPr>
              <w:t>92.9%</w:t>
            </w:r>
          </w:p>
          <w:p w14:paraId="70C1F3CE" w14:textId="77777777" w:rsidR="00021755" w:rsidRPr="00566003" w:rsidRDefault="00021755" w:rsidP="003E02F5">
            <w:pPr>
              <w:keepNext/>
              <w:keepLines/>
              <w:spacing w:after="0" w:line="240" w:lineRule="auto"/>
              <w:jc w:val="center"/>
              <w:rPr>
                <w:rFonts w:eastAsia="Times New Roman" w:cs="Times New Roman"/>
                <w:sz w:val="20"/>
                <w:szCs w:val="20"/>
                <w:lang w:eastAsia="en-US"/>
              </w:rPr>
            </w:pPr>
          </w:p>
        </w:tc>
      </w:tr>
      <w:tr w:rsidR="00021755" w:rsidRPr="00566003" w14:paraId="10EB9DF6" w14:textId="77777777" w:rsidTr="00632439">
        <w:trPr>
          <w:jc w:val="center"/>
        </w:trPr>
        <w:tc>
          <w:tcPr>
            <w:tcW w:w="1607" w:type="dxa"/>
            <w:shd w:val="clear" w:color="auto" w:fill="FFFFFF" w:themeFill="background1"/>
            <w:vAlign w:val="center"/>
          </w:tcPr>
          <w:p w14:paraId="7F156A00" w14:textId="77777777" w:rsidR="00021755" w:rsidRPr="00566003" w:rsidRDefault="00021755" w:rsidP="003E02F5">
            <w:pPr>
              <w:keepNext/>
              <w:keepLines/>
              <w:spacing w:after="0" w:line="240" w:lineRule="auto"/>
              <w:jc w:val="center"/>
              <w:rPr>
                <w:rFonts w:eastAsia="Times New Roman" w:cs="Times New Roman"/>
                <w:sz w:val="20"/>
                <w:szCs w:val="20"/>
                <w:lang w:eastAsia="en-US"/>
              </w:rPr>
            </w:pPr>
            <w:r w:rsidRPr="00566003">
              <w:rPr>
                <w:rFonts w:eastAsia="Times New Roman" w:cs="Times New Roman"/>
                <w:sz w:val="20"/>
                <w:szCs w:val="20"/>
                <w:lang w:eastAsia="en-US"/>
              </w:rPr>
              <w:t>Technical</w:t>
            </w:r>
          </w:p>
          <w:p w14:paraId="73907670" w14:textId="77777777" w:rsidR="00021755" w:rsidRPr="00566003" w:rsidRDefault="00021755" w:rsidP="003E02F5">
            <w:pPr>
              <w:keepNext/>
              <w:keepLines/>
              <w:spacing w:after="0" w:line="240" w:lineRule="auto"/>
              <w:jc w:val="center"/>
              <w:rPr>
                <w:rFonts w:eastAsia="Times New Roman" w:cs="Times New Roman"/>
                <w:sz w:val="20"/>
                <w:szCs w:val="20"/>
                <w:lang w:eastAsia="en-US"/>
              </w:rPr>
            </w:pPr>
            <w:r w:rsidRPr="00566003">
              <w:rPr>
                <w:rFonts w:eastAsia="Times New Roman" w:cs="Times New Roman"/>
                <w:sz w:val="20"/>
                <w:szCs w:val="20"/>
                <w:lang w:eastAsia="en-US"/>
              </w:rPr>
              <w:t>Rescue</w:t>
            </w:r>
          </w:p>
        </w:tc>
        <w:tc>
          <w:tcPr>
            <w:tcW w:w="1137" w:type="dxa"/>
            <w:shd w:val="clear" w:color="auto" w:fill="FFFFFF" w:themeFill="background1"/>
            <w:vAlign w:val="center"/>
          </w:tcPr>
          <w:p w14:paraId="081C8B05" w14:textId="77777777" w:rsidR="00021755" w:rsidRPr="00566003" w:rsidRDefault="00021755" w:rsidP="003E02F5">
            <w:pPr>
              <w:keepNext/>
              <w:keepLines/>
              <w:spacing w:after="0" w:line="240" w:lineRule="auto"/>
              <w:jc w:val="center"/>
              <w:rPr>
                <w:rFonts w:eastAsia="Times New Roman" w:cs="Times New Roman"/>
                <w:sz w:val="20"/>
                <w:szCs w:val="20"/>
                <w:lang w:eastAsia="en-US"/>
              </w:rPr>
            </w:pPr>
            <w:r w:rsidRPr="00566003">
              <w:rPr>
                <w:rFonts w:eastAsia="Times New Roman" w:cs="Times New Roman"/>
                <w:sz w:val="20"/>
                <w:szCs w:val="20"/>
                <w:lang w:eastAsia="en-US"/>
              </w:rPr>
              <w:t>2:00</w:t>
            </w:r>
          </w:p>
        </w:tc>
        <w:tc>
          <w:tcPr>
            <w:tcW w:w="1293" w:type="dxa"/>
            <w:shd w:val="clear" w:color="auto" w:fill="FFFFFF" w:themeFill="background1"/>
            <w:vAlign w:val="center"/>
          </w:tcPr>
          <w:p w14:paraId="4A0DFAAF" w14:textId="77777777" w:rsidR="00021755" w:rsidRPr="00566003" w:rsidRDefault="00021755" w:rsidP="003E02F5">
            <w:pPr>
              <w:keepNext/>
              <w:keepLines/>
              <w:spacing w:after="0" w:line="240" w:lineRule="auto"/>
              <w:jc w:val="center"/>
              <w:rPr>
                <w:rFonts w:eastAsia="Times New Roman" w:cs="Times New Roman"/>
                <w:sz w:val="20"/>
                <w:szCs w:val="20"/>
                <w:lang w:eastAsia="en-US"/>
              </w:rPr>
            </w:pPr>
            <w:r w:rsidRPr="00566003">
              <w:rPr>
                <w:rFonts w:eastAsia="Times New Roman" w:cs="Times New Roman"/>
                <w:sz w:val="20"/>
                <w:szCs w:val="20"/>
                <w:lang w:eastAsia="en-US"/>
              </w:rPr>
              <w:t>1:37</w:t>
            </w:r>
          </w:p>
        </w:tc>
        <w:tc>
          <w:tcPr>
            <w:tcW w:w="990" w:type="dxa"/>
            <w:shd w:val="clear" w:color="auto" w:fill="FFFFFF" w:themeFill="background1"/>
            <w:vAlign w:val="center"/>
          </w:tcPr>
          <w:p w14:paraId="1556EA70" w14:textId="77777777" w:rsidR="00021755" w:rsidRPr="00566003" w:rsidRDefault="00021755" w:rsidP="003E02F5">
            <w:pPr>
              <w:keepNext/>
              <w:keepLines/>
              <w:spacing w:after="0" w:line="240" w:lineRule="auto"/>
              <w:jc w:val="center"/>
              <w:rPr>
                <w:rFonts w:eastAsia="Times New Roman" w:cs="Times New Roman"/>
                <w:sz w:val="20"/>
                <w:szCs w:val="20"/>
                <w:lang w:eastAsia="en-US"/>
              </w:rPr>
            </w:pPr>
            <w:r w:rsidRPr="00566003">
              <w:rPr>
                <w:rFonts w:eastAsia="Times New Roman" w:cs="Times New Roman"/>
                <w:sz w:val="20"/>
                <w:szCs w:val="20"/>
                <w:lang w:eastAsia="en-US"/>
              </w:rPr>
              <w:t>91.7%</w:t>
            </w:r>
          </w:p>
        </w:tc>
        <w:tc>
          <w:tcPr>
            <w:tcW w:w="1137" w:type="dxa"/>
            <w:shd w:val="clear" w:color="auto" w:fill="FFFFFF" w:themeFill="background1"/>
            <w:vAlign w:val="center"/>
          </w:tcPr>
          <w:p w14:paraId="426C7C84" w14:textId="77777777" w:rsidR="00021755" w:rsidRPr="00566003" w:rsidRDefault="00021755" w:rsidP="003E02F5">
            <w:pPr>
              <w:keepNext/>
              <w:keepLines/>
              <w:spacing w:after="0" w:line="240" w:lineRule="auto"/>
              <w:jc w:val="center"/>
              <w:rPr>
                <w:rFonts w:eastAsia="Times New Roman" w:cs="Times New Roman"/>
                <w:sz w:val="20"/>
                <w:szCs w:val="20"/>
                <w:lang w:eastAsia="en-US"/>
              </w:rPr>
            </w:pPr>
            <w:r w:rsidRPr="00566003">
              <w:rPr>
                <w:rFonts w:eastAsia="Times New Roman" w:cs="Times New Roman"/>
                <w:sz w:val="20"/>
                <w:szCs w:val="20"/>
                <w:lang w:eastAsia="en-US"/>
              </w:rPr>
              <w:t>6:00</w:t>
            </w:r>
          </w:p>
        </w:tc>
        <w:tc>
          <w:tcPr>
            <w:tcW w:w="1293" w:type="dxa"/>
            <w:shd w:val="clear" w:color="auto" w:fill="FFFFFF" w:themeFill="background1"/>
            <w:vAlign w:val="center"/>
          </w:tcPr>
          <w:p w14:paraId="56F1A5C6" w14:textId="77777777" w:rsidR="00021755" w:rsidRPr="00566003" w:rsidRDefault="00021755" w:rsidP="003E02F5">
            <w:pPr>
              <w:keepNext/>
              <w:keepLines/>
              <w:spacing w:after="0" w:line="240" w:lineRule="auto"/>
              <w:jc w:val="center"/>
              <w:rPr>
                <w:rFonts w:eastAsia="Times New Roman" w:cs="Times New Roman"/>
                <w:sz w:val="20"/>
                <w:szCs w:val="20"/>
                <w:lang w:eastAsia="en-US"/>
              </w:rPr>
            </w:pPr>
            <w:r w:rsidRPr="00566003">
              <w:rPr>
                <w:rFonts w:eastAsia="Times New Roman" w:cs="Times New Roman"/>
                <w:sz w:val="20"/>
                <w:szCs w:val="20"/>
                <w:lang w:eastAsia="en-US"/>
              </w:rPr>
              <w:t>8:11</w:t>
            </w:r>
          </w:p>
        </w:tc>
        <w:tc>
          <w:tcPr>
            <w:tcW w:w="1078" w:type="dxa"/>
            <w:shd w:val="clear" w:color="auto" w:fill="FFFFFF" w:themeFill="background1"/>
            <w:vAlign w:val="center"/>
          </w:tcPr>
          <w:p w14:paraId="0F718442" w14:textId="77777777" w:rsidR="00021755" w:rsidRPr="00566003" w:rsidRDefault="00021755" w:rsidP="003E02F5">
            <w:pPr>
              <w:keepNext/>
              <w:keepLines/>
              <w:spacing w:after="0" w:line="240" w:lineRule="auto"/>
              <w:jc w:val="center"/>
              <w:rPr>
                <w:rFonts w:eastAsia="Times New Roman" w:cs="Times New Roman"/>
                <w:sz w:val="20"/>
                <w:szCs w:val="20"/>
                <w:lang w:eastAsia="en-US"/>
              </w:rPr>
            </w:pPr>
            <w:r w:rsidRPr="00566003">
              <w:rPr>
                <w:rFonts w:eastAsia="Times New Roman" w:cs="Times New Roman"/>
                <w:sz w:val="20"/>
                <w:szCs w:val="20"/>
                <w:lang w:eastAsia="en-US"/>
              </w:rPr>
              <w:t>67.6%</w:t>
            </w:r>
          </w:p>
        </w:tc>
      </w:tr>
      <w:tr w:rsidR="00021755" w:rsidRPr="00566003" w14:paraId="5CF52F9C" w14:textId="77777777" w:rsidTr="00632439">
        <w:trPr>
          <w:jc w:val="center"/>
        </w:trPr>
        <w:tc>
          <w:tcPr>
            <w:tcW w:w="1607" w:type="dxa"/>
            <w:shd w:val="clear" w:color="auto" w:fill="D9D9D9" w:themeFill="background1" w:themeFillShade="D9"/>
            <w:vAlign w:val="center"/>
          </w:tcPr>
          <w:p w14:paraId="3A17B2DF" w14:textId="77777777" w:rsidR="00021755" w:rsidRPr="00566003" w:rsidRDefault="00021755" w:rsidP="003E02F5">
            <w:pPr>
              <w:keepNext/>
              <w:keepLines/>
              <w:spacing w:after="0" w:line="240" w:lineRule="auto"/>
              <w:jc w:val="center"/>
              <w:rPr>
                <w:rFonts w:eastAsia="Times New Roman" w:cs="Times New Roman"/>
                <w:sz w:val="20"/>
                <w:szCs w:val="20"/>
                <w:lang w:eastAsia="en-US"/>
              </w:rPr>
            </w:pPr>
            <w:r w:rsidRPr="00566003">
              <w:rPr>
                <w:rFonts w:eastAsia="Times New Roman" w:cs="Times New Roman"/>
                <w:sz w:val="20"/>
                <w:szCs w:val="20"/>
                <w:lang w:eastAsia="en-US"/>
              </w:rPr>
              <w:t>ARFF</w:t>
            </w:r>
          </w:p>
        </w:tc>
        <w:tc>
          <w:tcPr>
            <w:tcW w:w="1137" w:type="dxa"/>
            <w:shd w:val="clear" w:color="auto" w:fill="D9D9D9" w:themeFill="background1" w:themeFillShade="D9"/>
            <w:vAlign w:val="center"/>
          </w:tcPr>
          <w:p w14:paraId="3A35D9F2" w14:textId="77777777" w:rsidR="00021755" w:rsidRPr="00566003" w:rsidRDefault="00021755" w:rsidP="003E02F5">
            <w:pPr>
              <w:keepNext/>
              <w:keepLines/>
              <w:spacing w:after="0" w:line="240" w:lineRule="auto"/>
              <w:jc w:val="center"/>
              <w:rPr>
                <w:rFonts w:eastAsia="Times New Roman" w:cs="Times New Roman"/>
                <w:sz w:val="20"/>
                <w:szCs w:val="20"/>
                <w:lang w:eastAsia="en-US"/>
              </w:rPr>
            </w:pPr>
            <w:r w:rsidRPr="00566003">
              <w:rPr>
                <w:rFonts w:eastAsia="Times New Roman" w:cs="Times New Roman"/>
                <w:sz w:val="20"/>
                <w:szCs w:val="20"/>
                <w:lang w:eastAsia="en-US"/>
              </w:rPr>
              <w:t>N/A</w:t>
            </w:r>
          </w:p>
        </w:tc>
        <w:tc>
          <w:tcPr>
            <w:tcW w:w="1293" w:type="dxa"/>
            <w:shd w:val="clear" w:color="auto" w:fill="D9D9D9" w:themeFill="background1" w:themeFillShade="D9"/>
            <w:vAlign w:val="center"/>
          </w:tcPr>
          <w:p w14:paraId="3EF6F6F3" w14:textId="77777777" w:rsidR="00021755" w:rsidRPr="00566003" w:rsidRDefault="00021755" w:rsidP="003E02F5">
            <w:pPr>
              <w:keepNext/>
              <w:keepLines/>
              <w:spacing w:after="0" w:line="240" w:lineRule="auto"/>
              <w:jc w:val="center"/>
              <w:rPr>
                <w:rFonts w:eastAsia="Times New Roman" w:cs="Times New Roman"/>
                <w:sz w:val="20"/>
                <w:szCs w:val="20"/>
                <w:lang w:eastAsia="en-US"/>
              </w:rPr>
            </w:pPr>
            <w:r w:rsidRPr="00566003">
              <w:rPr>
                <w:rFonts w:eastAsia="Times New Roman" w:cs="Times New Roman"/>
                <w:sz w:val="20"/>
                <w:szCs w:val="20"/>
                <w:lang w:eastAsia="en-US"/>
              </w:rPr>
              <w:t>N/A</w:t>
            </w:r>
          </w:p>
        </w:tc>
        <w:tc>
          <w:tcPr>
            <w:tcW w:w="990" w:type="dxa"/>
            <w:shd w:val="clear" w:color="auto" w:fill="D9D9D9" w:themeFill="background1" w:themeFillShade="D9"/>
            <w:vAlign w:val="center"/>
          </w:tcPr>
          <w:p w14:paraId="236CA08C" w14:textId="77777777" w:rsidR="00021755" w:rsidRPr="00566003" w:rsidRDefault="00021755" w:rsidP="003E02F5">
            <w:pPr>
              <w:keepNext/>
              <w:keepLines/>
              <w:spacing w:after="0" w:line="240" w:lineRule="auto"/>
              <w:jc w:val="center"/>
              <w:rPr>
                <w:rFonts w:eastAsia="Times New Roman" w:cs="Times New Roman"/>
                <w:sz w:val="20"/>
                <w:szCs w:val="20"/>
                <w:lang w:eastAsia="en-US"/>
              </w:rPr>
            </w:pPr>
            <w:r w:rsidRPr="00566003">
              <w:rPr>
                <w:rFonts w:eastAsia="Times New Roman" w:cs="Times New Roman"/>
                <w:sz w:val="20"/>
                <w:szCs w:val="20"/>
                <w:lang w:eastAsia="en-US"/>
              </w:rPr>
              <w:t>N/A</w:t>
            </w:r>
          </w:p>
        </w:tc>
        <w:tc>
          <w:tcPr>
            <w:tcW w:w="1137" w:type="dxa"/>
            <w:shd w:val="clear" w:color="auto" w:fill="D9D9D9" w:themeFill="background1" w:themeFillShade="D9"/>
            <w:vAlign w:val="center"/>
          </w:tcPr>
          <w:p w14:paraId="1957CD4A" w14:textId="77777777" w:rsidR="00021755" w:rsidRPr="00566003" w:rsidRDefault="00021755" w:rsidP="003E02F5">
            <w:pPr>
              <w:keepNext/>
              <w:keepLines/>
              <w:spacing w:after="0" w:line="240" w:lineRule="auto"/>
              <w:jc w:val="center"/>
              <w:rPr>
                <w:rFonts w:eastAsia="Times New Roman" w:cs="Times New Roman"/>
                <w:sz w:val="20"/>
                <w:szCs w:val="20"/>
                <w:lang w:eastAsia="en-US"/>
              </w:rPr>
            </w:pPr>
            <w:r w:rsidRPr="00566003">
              <w:rPr>
                <w:rFonts w:eastAsia="Times New Roman" w:cs="Times New Roman"/>
                <w:sz w:val="20"/>
                <w:szCs w:val="20"/>
                <w:lang w:eastAsia="en-US"/>
              </w:rPr>
              <w:t>3:00</w:t>
            </w:r>
          </w:p>
        </w:tc>
        <w:tc>
          <w:tcPr>
            <w:tcW w:w="1293" w:type="dxa"/>
            <w:shd w:val="clear" w:color="auto" w:fill="D9D9D9" w:themeFill="background1" w:themeFillShade="D9"/>
            <w:vAlign w:val="center"/>
          </w:tcPr>
          <w:p w14:paraId="586B4CB9" w14:textId="77777777" w:rsidR="00021755" w:rsidRPr="00566003" w:rsidRDefault="00021755" w:rsidP="003E02F5">
            <w:pPr>
              <w:keepNext/>
              <w:keepLines/>
              <w:spacing w:after="0" w:line="240" w:lineRule="auto"/>
              <w:jc w:val="center"/>
              <w:rPr>
                <w:rFonts w:eastAsia="Times New Roman" w:cs="Times New Roman"/>
                <w:sz w:val="20"/>
                <w:szCs w:val="20"/>
                <w:lang w:eastAsia="en-US"/>
              </w:rPr>
            </w:pPr>
          </w:p>
          <w:p w14:paraId="276B41EE" w14:textId="77777777" w:rsidR="00021755" w:rsidRPr="00566003" w:rsidRDefault="00021755" w:rsidP="003E02F5">
            <w:pPr>
              <w:keepNext/>
              <w:keepLines/>
              <w:spacing w:after="0" w:line="240" w:lineRule="auto"/>
              <w:jc w:val="center"/>
              <w:rPr>
                <w:rFonts w:eastAsia="Times New Roman" w:cs="Times New Roman"/>
                <w:sz w:val="20"/>
                <w:szCs w:val="20"/>
                <w:lang w:eastAsia="en-US"/>
              </w:rPr>
            </w:pPr>
            <w:r w:rsidRPr="00566003">
              <w:rPr>
                <w:rFonts w:eastAsia="Times New Roman" w:cs="Times New Roman"/>
                <w:sz w:val="20"/>
                <w:szCs w:val="20"/>
                <w:lang w:eastAsia="en-US"/>
              </w:rPr>
              <w:t>2:15</w:t>
            </w:r>
          </w:p>
          <w:p w14:paraId="58CD1071" w14:textId="77777777" w:rsidR="00021755" w:rsidRPr="00566003" w:rsidRDefault="00021755" w:rsidP="003E02F5">
            <w:pPr>
              <w:keepNext/>
              <w:keepLines/>
              <w:spacing w:after="0" w:line="240" w:lineRule="auto"/>
              <w:jc w:val="center"/>
              <w:rPr>
                <w:rFonts w:eastAsia="Times New Roman" w:cs="Times New Roman"/>
                <w:sz w:val="20"/>
                <w:szCs w:val="20"/>
                <w:lang w:eastAsia="en-US"/>
              </w:rPr>
            </w:pPr>
          </w:p>
        </w:tc>
        <w:tc>
          <w:tcPr>
            <w:tcW w:w="1078" w:type="dxa"/>
            <w:shd w:val="clear" w:color="auto" w:fill="D9D9D9" w:themeFill="background1" w:themeFillShade="D9"/>
            <w:vAlign w:val="center"/>
          </w:tcPr>
          <w:p w14:paraId="4DFC95BE" w14:textId="77777777" w:rsidR="00021755" w:rsidRPr="00566003" w:rsidRDefault="00021755" w:rsidP="003E02F5">
            <w:pPr>
              <w:keepNext/>
              <w:keepLines/>
              <w:spacing w:after="0" w:line="240" w:lineRule="auto"/>
              <w:jc w:val="center"/>
              <w:rPr>
                <w:rFonts w:eastAsia="Times New Roman" w:cs="Times New Roman"/>
                <w:sz w:val="20"/>
                <w:szCs w:val="20"/>
                <w:lang w:eastAsia="en-US"/>
              </w:rPr>
            </w:pPr>
          </w:p>
          <w:p w14:paraId="6E0979EE" w14:textId="77777777" w:rsidR="00021755" w:rsidRPr="00566003" w:rsidRDefault="00021755" w:rsidP="003E02F5">
            <w:pPr>
              <w:keepNext/>
              <w:keepLines/>
              <w:spacing w:after="0" w:line="240" w:lineRule="auto"/>
              <w:jc w:val="center"/>
              <w:rPr>
                <w:rFonts w:eastAsia="Times New Roman" w:cs="Times New Roman"/>
                <w:sz w:val="20"/>
                <w:szCs w:val="20"/>
                <w:lang w:eastAsia="en-US"/>
              </w:rPr>
            </w:pPr>
            <w:r w:rsidRPr="00566003">
              <w:rPr>
                <w:rFonts w:eastAsia="Times New Roman" w:cs="Times New Roman"/>
                <w:sz w:val="20"/>
                <w:szCs w:val="20"/>
                <w:lang w:eastAsia="en-US"/>
              </w:rPr>
              <w:t>100%</w:t>
            </w:r>
          </w:p>
          <w:p w14:paraId="7C978C7A" w14:textId="77777777" w:rsidR="00021755" w:rsidRPr="00566003" w:rsidRDefault="00021755" w:rsidP="003E02F5">
            <w:pPr>
              <w:keepNext/>
              <w:keepLines/>
              <w:spacing w:after="0" w:line="240" w:lineRule="auto"/>
              <w:jc w:val="center"/>
              <w:rPr>
                <w:rFonts w:eastAsia="Times New Roman" w:cs="Times New Roman"/>
                <w:sz w:val="20"/>
                <w:szCs w:val="20"/>
                <w:lang w:eastAsia="en-US"/>
              </w:rPr>
            </w:pPr>
          </w:p>
        </w:tc>
      </w:tr>
      <w:tr w:rsidR="00021755" w:rsidRPr="00566003" w14:paraId="6580AB52" w14:textId="77777777" w:rsidTr="00632439">
        <w:trPr>
          <w:jc w:val="center"/>
        </w:trPr>
        <w:tc>
          <w:tcPr>
            <w:tcW w:w="1607" w:type="dxa"/>
            <w:shd w:val="clear" w:color="auto" w:fill="FFFFFF" w:themeFill="background1"/>
            <w:vAlign w:val="center"/>
          </w:tcPr>
          <w:p w14:paraId="45306749" w14:textId="77777777" w:rsidR="00021755" w:rsidRPr="00566003" w:rsidRDefault="00021755" w:rsidP="003E02F5">
            <w:pPr>
              <w:keepNext/>
              <w:keepLines/>
              <w:spacing w:after="0" w:line="240" w:lineRule="auto"/>
              <w:jc w:val="center"/>
              <w:rPr>
                <w:rFonts w:eastAsia="Times New Roman" w:cs="Times New Roman"/>
                <w:sz w:val="20"/>
                <w:szCs w:val="20"/>
                <w:lang w:eastAsia="en-US"/>
              </w:rPr>
            </w:pPr>
            <w:r w:rsidRPr="00566003">
              <w:rPr>
                <w:rFonts w:eastAsia="Times New Roman" w:cs="Times New Roman"/>
                <w:sz w:val="20"/>
                <w:szCs w:val="20"/>
                <w:lang w:eastAsia="en-US"/>
              </w:rPr>
              <w:t>Wildland</w:t>
            </w:r>
          </w:p>
        </w:tc>
        <w:tc>
          <w:tcPr>
            <w:tcW w:w="1137" w:type="dxa"/>
            <w:shd w:val="clear" w:color="auto" w:fill="FFFFFF" w:themeFill="background1"/>
            <w:vAlign w:val="center"/>
          </w:tcPr>
          <w:p w14:paraId="6CF73FC5" w14:textId="77777777" w:rsidR="00021755" w:rsidRPr="00566003" w:rsidRDefault="00021755" w:rsidP="003E02F5">
            <w:pPr>
              <w:keepNext/>
              <w:keepLines/>
              <w:spacing w:after="0" w:line="240" w:lineRule="auto"/>
              <w:jc w:val="center"/>
              <w:rPr>
                <w:rFonts w:eastAsia="Times New Roman" w:cs="Times New Roman"/>
                <w:sz w:val="20"/>
                <w:szCs w:val="20"/>
                <w:lang w:eastAsia="en-US"/>
              </w:rPr>
            </w:pPr>
            <w:r w:rsidRPr="00566003">
              <w:rPr>
                <w:rFonts w:eastAsia="Times New Roman" w:cs="Times New Roman"/>
                <w:sz w:val="20"/>
                <w:szCs w:val="20"/>
                <w:lang w:eastAsia="en-US"/>
              </w:rPr>
              <w:t>2:00</w:t>
            </w:r>
          </w:p>
        </w:tc>
        <w:tc>
          <w:tcPr>
            <w:tcW w:w="1293" w:type="dxa"/>
            <w:shd w:val="clear" w:color="auto" w:fill="FFFFFF" w:themeFill="background1"/>
            <w:vAlign w:val="center"/>
          </w:tcPr>
          <w:p w14:paraId="64566A1E" w14:textId="77777777" w:rsidR="00021755" w:rsidRPr="00566003" w:rsidRDefault="00021755" w:rsidP="003E02F5">
            <w:pPr>
              <w:keepNext/>
              <w:keepLines/>
              <w:spacing w:after="0" w:line="240" w:lineRule="auto"/>
              <w:jc w:val="center"/>
              <w:rPr>
                <w:rFonts w:eastAsia="Times New Roman" w:cs="Times New Roman"/>
                <w:sz w:val="20"/>
                <w:szCs w:val="20"/>
                <w:lang w:eastAsia="en-US"/>
              </w:rPr>
            </w:pPr>
          </w:p>
          <w:p w14:paraId="6231DCFC" w14:textId="77777777" w:rsidR="00021755" w:rsidRPr="00566003" w:rsidRDefault="00021755" w:rsidP="003E02F5">
            <w:pPr>
              <w:keepNext/>
              <w:keepLines/>
              <w:spacing w:after="0" w:line="240" w:lineRule="auto"/>
              <w:jc w:val="center"/>
              <w:rPr>
                <w:rFonts w:eastAsia="Times New Roman" w:cs="Times New Roman"/>
                <w:sz w:val="20"/>
                <w:szCs w:val="20"/>
                <w:lang w:eastAsia="en-US"/>
              </w:rPr>
            </w:pPr>
            <w:r w:rsidRPr="00566003">
              <w:rPr>
                <w:rFonts w:eastAsia="Times New Roman" w:cs="Times New Roman"/>
                <w:sz w:val="20"/>
                <w:szCs w:val="20"/>
                <w:lang w:eastAsia="en-US"/>
              </w:rPr>
              <w:t>3:28</w:t>
            </w:r>
          </w:p>
          <w:p w14:paraId="2DF79274" w14:textId="77777777" w:rsidR="00021755" w:rsidRPr="00566003" w:rsidRDefault="00021755" w:rsidP="003E02F5">
            <w:pPr>
              <w:keepNext/>
              <w:keepLines/>
              <w:spacing w:after="0" w:line="240" w:lineRule="auto"/>
              <w:jc w:val="center"/>
              <w:rPr>
                <w:rFonts w:eastAsia="Times New Roman" w:cs="Times New Roman"/>
                <w:sz w:val="20"/>
                <w:szCs w:val="20"/>
                <w:lang w:eastAsia="en-US"/>
              </w:rPr>
            </w:pPr>
          </w:p>
        </w:tc>
        <w:tc>
          <w:tcPr>
            <w:tcW w:w="990" w:type="dxa"/>
            <w:shd w:val="clear" w:color="auto" w:fill="FFFFFF" w:themeFill="background1"/>
            <w:vAlign w:val="center"/>
          </w:tcPr>
          <w:p w14:paraId="0DBA3CFE" w14:textId="77777777" w:rsidR="00021755" w:rsidRPr="00566003" w:rsidRDefault="00021755" w:rsidP="003E02F5">
            <w:pPr>
              <w:keepNext/>
              <w:keepLines/>
              <w:spacing w:after="0" w:line="240" w:lineRule="auto"/>
              <w:jc w:val="center"/>
              <w:rPr>
                <w:rFonts w:eastAsia="Times New Roman" w:cs="Times New Roman"/>
                <w:sz w:val="20"/>
                <w:szCs w:val="20"/>
                <w:lang w:eastAsia="en-US"/>
              </w:rPr>
            </w:pPr>
          </w:p>
          <w:p w14:paraId="3CC28F60" w14:textId="77777777" w:rsidR="00021755" w:rsidRPr="00566003" w:rsidRDefault="00021755" w:rsidP="003E02F5">
            <w:pPr>
              <w:keepNext/>
              <w:keepLines/>
              <w:spacing w:after="0" w:line="240" w:lineRule="auto"/>
              <w:jc w:val="center"/>
              <w:rPr>
                <w:rFonts w:eastAsia="Times New Roman" w:cs="Times New Roman"/>
                <w:sz w:val="20"/>
                <w:szCs w:val="20"/>
                <w:lang w:eastAsia="en-US"/>
              </w:rPr>
            </w:pPr>
            <w:r w:rsidRPr="00566003">
              <w:rPr>
                <w:rFonts w:eastAsia="Times New Roman" w:cs="Times New Roman"/>
                <w:sz w:val="20"/>
                <w:szCs w:val="20"/>
                <w:lang w:eastAsia="en-US"/>
              </w:rPr>
              <w:t>58%</w:t>
            </w:r>
          </w:p>
          <w:p w14:paraId="0F032B12" w14:textId="77777777" w:rsidR="00021755" w:rsidRPr="00566003" w:rsidRDefault="00021755" w:rsidP="003E02F5">
            <w:pPr>
              <w:keepNext/>
              <w:keepLines/>
              <w:spacing w:after="0" w:line="240" w:lineRule="auto"/>
              <w:jc w:val="center"/>
              <w:rPr>
                <w:rFonts w:eastAsia="Times New Roman" w:cs="Times New Roman"/>
                <w:sz w:val="20"/>
                <w:szCs w:val="20"/>
                <w:lang w:eastAsia="en-US"/>
              </w:rPr>
            </w:pPr>
          </w:p>
        </w:tc>
        <w:tc>
          <w:tcPr>
            <w:tcW w:w="1137" w:type="dxa"/>
            <w:shd w:val="clear" w:color="auto" w:fill="FFFFFF" w:themeFill="background1"/>
            <w:vAlign w:val="center"/>
          </w:tcPr>
          <w:p w14:paraId="0798192D" w14:textId="77777777" w:rsidR="00021755" w:rsidRPr="00566003" w:rsidRDefault="00021755" w:rsidP="003E02F5">
            <w:pPr>
              <w:keepNext/>
              <w:keepLines/>
              <w:spacing w:after="0" w:line="240" w:lineRule="auto"/>
              <w:jc w:val="center"/>
              <w:rPr>
                <w:rFonts w:eastAsia="Times New Roman" w:cs="Times New Roman"/>
                <w:sz w:val="20"/>
                <w:szCs w:val="20"/>
                <w:lang w:eastAsia="en-US"/>
              </w:rPr>
            </w:pPr>
            <w:r w:rsidRPr="00566003">
              <w:rPr>
                <w:rFonts w:eastAsia="Times New Roman" w:cs="Times New Roman"/>
                <w:sz w:val="20"/>
                <w:szCs w:val="20"/>
                <w:lang w:eastAsia="en-US"/>
              </w:rPr>
              <w:t>6:00</w:t>
            </w:r>
          </w:p>
        </w:tc>
        <w:tc>
          <w:tcPr>
            <w:tcW w:w="1293" w:type="dxa"/>
            <w:shd w:val="clear" w:color="auto" w:fill="FFFFFF" w:themeFill="background1"/>
            <w:vAlign w:val="center"/>
          </w:tcPr>
          <w:p w14:paraId="710A7955" w14:textId="77777777" w:rsidR="00021755" w:rsidRPr="00566003" w:rsidRDefault="00021755" w:rsidP="003E02F5">
            <w:pPr>
              <w:keepNext/>
              <w:keepLines/>
              <w:spacing w:after="0" w:line="240" w:lineRule="auto"/>
              <w:jc w:val="center"/>
              <w:rPr>
                <w:rFonts w:eastAsia="Times New Roman" w:cs="Times New Roman"/>
                <w:sz w:val="20"/>
                <w:szCs w:val="20"/>
                <w:lang w:eastAsia="en-US"/>
              </w:rPr>
            </w:pPr>
            <w:r w:rsidRPr="00566003">
              <w:rPr>
                <w:rFonts w:eastAsia="Times New Roman" w:cs="Times New Roman"/>
                <w:sz w:val="20"/>
                <w:szCs w:val="20"/>
                <w:lang w:eastAsia="en-US"/>
              </w:rPr>
              <w:t>7:48</w:t>
            </w:r>
          </w:p>
        </w:tc>
        <w:tc>
          <w:tcPr>
            <w:tcW w:w="1078" w:type="dxa"/>
            <w:shd w:val="clear" w:color="auto" w:fill="FFFFFF" w:themeFill="background1"/>
            <w:vAlign w:val="center"/>
          </w:tcPr>
          <w:p w14:paraId="39DDB59B" w14:textId="77777777" w:rsidR="00021755" w:rsidRPr="00566003" w:rsidRDefault="00021755" w:rsidP="003E02F5">
            <w:pPr>
              <w:keepNext/>
              <w:keepLines/>
              <w:spacing w:after="0" w:line="240" w:lineRule="auto"/>
              <w:jc w:val="center"/>
              <w:rPr>
                <w:rFonts w:eastAsia="Times New Roman" w:cs="Times New Roman"/>
                <w:sz w:val="20"/>
                <w:szCs w:val="20"/>
                <w:lang w:eastAsia="en-US"/>
              </w:rPr>
            </w:pPr>
          </w:p>
          <w:p w14:paraId="098CBB60" w14:textId="77777777" w:rsidR="00021755" w:rsidRPr="00566003" w:rsidRDefault="00021755" w:rsidP="003E02F5">
            <w:pPr>
              <w:keepNext/>
              <w:keepLines/>
              <w:spacing w:after="0" w:line="240" w:lineRule="auto"/>
              <w:jc w:val="center"/>
              <w:rPr>
                <w:rFonts w:eastAsia="Times New Roman" w:cs="Times New Roman"/>
                <w:sz w:val="20"/>
                <w:szCs w:val="20"/>
                <w:lang w:eastAsia="en-US"/>
              </w:rPr>
            </w:pPr>
            <w:r w:rsidRPr="00566003">
              <w:rPr>
                <w:rFonts w:eastAsia="Times New Roman" w:cs="Times New Roman"/>
                <w:sz w:val="20"/>
                <w:szCs w:val="20"/>
                <w:lang w:eastAsia="en-US"/>
              </w:rPr>
              <w:t>84.6%</w:t>
            </w:r>
          </w:p>
          <w:p w14:paraId="76FD10F6" w14:textId="77777777" w:rsidR="00021755" w:rsidRPr="00566003" w:rsidRDefault="00021755" w:rsidP="003E02F5">
            <w:pPr>
              <w:keepNext/>
              <w:keepLines/>
              <w:spacing w:after="0" w:line="240" w:lineRule="auto"/>
              <w:jc w:val="center"/>
              <w:rPr>
                <w:rFonts w:eastAsia="Times New Roman" w:cs="Times New Roman"/>
                <w:sz w:val="20"/>
                <w:szCs w:val="20"/>
                <w:lang w:eastAsia="en-US"/>
              </w:rPr>
            </w:pPr>
          </w:p>
        </w:tc>
      </w:tr>
      <w:tr w:rsidR="00021755" w:rsidRPr="00566003" w14:paraId="52FD938C" w14:textId="77777777" w:rsidTr="00632439">
        <w:trPr>
          <w:jc w:val="center"/>
        </w:trPr>
        <w:tc>
          <w:tcPr>
            <w:tcW w:w="1607" w:type="dxa"/>
            <w:shd w:val="clear" w:color="auto" w:fill="D9D9D9" w:themeFill="background1" w:themeFillShade="D9"/>
            <w:vAlign w:val="center"/>
          </w:tcPr>
          <w:p w14:paraId="14394FAB" w14:textId="77777777" w:rsidR="00021755" w:rsidRPr="00566003" w:rsidRDefault="00021755" w:rsidP="003E02F5">
            <w:pPr>
              <w:keepNext/>
              <w:keepLines/>
              <w:spacing w:after="0" w:line="240" w:lineRule="auto"/>
              <w:jc w:val="center"/>
              <w:rPr>
                <w:rFonts w:eastAsia="Times New Roman" w:cs="Times New Roman"/>
                <w:sz w:val="20"/>
                <w:szCs w:val="20"/>
                <w:lang w:eastAsia="en-US"/>
              </w:rPr>
            </w:pPr>
            <w:r w:rsidRPr="00566003">
              <w:rPr>
                <w:rFonts w:eastAsia="Times New Roman" w:cs="Times New Roman"/>
                <w:sz w:val="20"/>
                <w:szCs w:val="20"/>
                <w:lang w:eastAsia="en-US"/>
              </w:rPr>
              <w:t>Overall 2015 Response Performance</w:t>
            </w:r>
          </w:p>
        </w:tc>
        <w:tc>
          <w:tcPr>
            <w:tcW w:w="1137" w:type="dxa"/>
            <w:shd w:val="clear" w:color="auto" w:fill="D9D9D9" w:themeFill="background1" w:themeFillShade="D9"/>
            <w:vAlign w:val="center"/>
          </w:tcPr>
          <w:p w14:paraId="75B215A8" w14:textId="77777777" w:rsidR="00021755" w:rsidRPr="00566003" w:rsidRDefault="00021755" w:rsidP="003E02F5">
            <w:pPr>
              <w:keepNext/>
              <w:keepLines/>
              <w:spacing w:after="0" w:line="240" w:lineRule="auto"/>
              <w:jc w:val="center"/>
              <w:rPr>
                <w:rFonts w:eastAsia="Times New Roman" w:cs="Times New Roman"/>
                <w:sz w:val="20"/>
                <w:szCs w:val="20"/>
                <w:lang w:eastAsia="en-US"/>
              </w:rPr>
            </w:pPr>
            <w:r w:rsidRPr="00566003">
              <w:rPr>
                <w:rFonts w:eastAsia="Times New Roman" w:cs="Times New Roman"/>
                <w:sz w:val="20"/>
                <w:szCs w:val="20"/>
                <w:lang w:eastAsia="en-US"/>
              </w:rPr>
              <w:t>2:00</w:t>
            </w:r>
          </w:p>
        </w:tc>
        <w:tc>
          <w:tcPr>
            <w:tcW w:w="1293" w:type="dxa"/>
            <w:shd w:val="clear" w:color="auto" w:fill="D9D9D9" w:themeFill="background1" w:themeFillShade="D9"/>
            <w:vAlign w:val="center"/>
          </w:tcPr>
          <w:p w14:paraId="4BF5B342" w14:textId="77777777" w:rsidR="00021755" w:rsidRPr="00566003" w:rsidRDefault="00021755" w:rsidP="003E02F5">
            <w:pPr>
              <w:keepNext/>
              <w:keepLines/>
              <w:spacing w:after="0" w:line="240" w:lineRule="auto"/>
              <w:jc w:val="center"/>
              <w:rPr>
                <w:rFonts w:eastAsia="Times New Roman" w:cs="Times New Roman"/>
                <w:sz w:val="20"/>
                <w:szCs w:val="20"/>
                <w:lang w:eastAsia="en-US"/>
              </w:rPr>
            </w:pPr>
            <w:r w:rsidRPr="00566003">
              <w:rPr>
                <w:rFonts w:eastAsia="Times New Roman" w:cs="Times New Roman"/>
                <w:sz w:val="20"/>
                <w:szCs w:val="20"/>
                <w:lang w:eastAsia="en-US"/>
              </w:rPr>
              <w:t>2:06</w:t>
            </w:r>
          </w:p>
        </w:tc>
        <w:tc>
          <w:tcPr>
            <w:tcW w:w="990" w:type="dxa"/>
            <w:shd w:val="clear" w:color="auto" w:fill="D9D9D9" w:themeFill="background1" w:themeFillShade="D9"/>
            <w:vAlign w:val="center"/>
          </w:tcPr>
          <w:p w14:paraId="2BEAD41A" w14:textId="77777777" w:rsidR="00021755" w:rsidRPr="00566003" w:rsidRDefault="00021755" w:rsidP="003E02F5">
            <w:pPr>
              <w:keepNext/>
              <w:keepLines/>
              <w:spacing w:after="0" w:line="240" w:lineRule="auto"/>
              <w:jc w:val="center"/>
              <w:rPr>
                <w:rFonts w:eastAsia="Times New Roman" w:cs="Times New Roman"/>
                <w:sz w:val="20"/>
                <w:szCs w:val="20"/>
                <w:lang w:eastAsia="en-US"/>
              </w:rPr>
            </w:pPr>
            <w:r w:rsidRPr="00566003">
              <w:rPr>
                <w:rFonts w:eastAsia="Times New Roman" w:cs="Times New Roman"/>
                <w:sz w:val="20"/>
                <w:szCs w:val="20"/>
                <w:lang w:eastAsia="en-US"/>
              </w:rPr>
              <w:t>88%</w:t>
            </w:r>
          </w:p>
        </w:tc>
        <w:tc>
          <w:tcPr>
            <w:tcW w:w="1137" w:type="dxa"/>
            <w:shd w:val="clear" w:color="auto" w:fill="D9D9D9" w:themeFill="background1" w:themeFillShade="D9"/>
            <w:vAlign w:val="center"/>
          </w:tcPr>
          <w:p w14:paraId="6AD7BD36" w14:textId="77777777" w:rsidR="00021755" w:rsidRPr="00566003" w:rsidRDefault="00021755" w:rsidP="003E02F5">
            <w:pPr>
              <w:keepNext/>
              <w:keepLines/>
              <w:spacing w:after="0" w:line="240" w:lineRule="auto"/>
              <w:jc w:val="center"/>
              <w:rPr>
                <w:rFonts w:eastAsia="Times New Roman" w:cs="Times New Roman"/>
                <w:sz w:val="20"/>
                <w:szCs w:val="20"/>
                <w:lang w:eastAsia="en-US"/>
              </w:rPr>
            </w:pPr>
            <w:r w:rsidRPr="00566003">
              <w:rPr>
                <w:rFonts w:eastAsia="Times New Roman" w:cs="Times New Roman"/>
                <w:sz w:val="20"/>
                <w:szCs w:val="20"/>
                <w:lang w:eastAsia="en-US"/>
              </w:rPr>
              <w:t>6:00</w:t>
            </w:r>
          </w:p>
        </w:tc>
        <w:tc>
          <w:tcPr>
            <w:tcW w:w="1293" w:type="dxa"/>
            <w:shd w:val="clear" w:color="auto" w:fill="D9D9D9" w:themeFill="background1" w:themeFillShade="D9"/>
            <w:vAlign w:val="center"/>
          </w:tcPr>
          <w:p w14:paraId="7182C3AA" w14:textId="77777777" w:rsidR="00021755" w:rsidRPr="00566003" w:rsidRDefault="00021755" w:rsidP="003E02F5">
            <w:pPr>
              <w:keepNext/>
              <w:keepLines/>
              <w:spacing w:after="0" w:line="240" w:lineRule="auto"/>
              <w:jc w:val="center"/>
              <w:rPr>
                <w:rFonts w:eastAsia="Times New Roman" w:cs="Times New Roman"/>
                <w:sz w:val="20"/>
                <w:szCs w:val="20"/>
                <w:lang w:eastAsia="en-US"/>
              </w:rPr>
            </w:pPr>
            <w:r w:rsidRPr="00566003">
              <w:rPr>
                <w:rFonts w:eastAsia="Times New Roman" w:cs="Times New Roman"/>
                <w:sz w:val="20"/>
                <w:szCs w:val="20"/>
                <w:lang w:eastAsia="en-US"/>
              </w:rPr>
              <w:t>6:02</w:t>
            </w:r>
          </w:p>
        </w:tc>
        <w:tc>
          <w:tcPr>
            <w:tcW w:w="1078" w:type="dxa"/>
            <w:shd w:val="clear" w:color="auto" w:fill="D9D9D9" w:themeFill="background1" w:themeFillShade="D9"/>
            <w:vAlign w:val="center"/>
          </w:tcPr>
          <w:p w14:paraId="4099451F" w14:textId="77777777" w:rsidR="00021755" w:rsidRPr="00566003" w:rsidRDefault="00021755" w:rsidP="003E02F5">
            <w:pPr>
              <w:keepNext/>
              <w:keepLines/>
              <w:spacing w:after="0" w:line="240" w:lineRule="auto"/>
              <w:jc w:val="center"/>
              <w:rPr>
                <w:rFonts w:eastAsia="Times New Roman" w:cs="Times New Roman"/>
                <w:sz w:val="20"/>
                <w:szCs w:val="20"/>
                <w:lang w:eastAsia="en-US"/>
              </w:rPr>
            </w:pPr>
            <w:r w:rsidRPr="00566003">
              <w:rPr>
                <w:rFonts w:eastAsia="Times New Roman" w:cs="Times New Roman"/>
                <w:sz w:val="20"/>
                <w:szCs w:val="20"/>
                <w:lang w:eastAsia="en-US"/>
              </w:rPr>
              <w:t>89.8%</w:t>
            </w:r>
          </w:p>
        </w:tc>
      </w:tr>
    </w:tbl>
    <w:p w14:paraId="6512412B" w14:textId="77777777" w:rsidR="00021755" w:rsidRDefault="00021755" w:rsidP="00021755">
      <w:pPr>
        <w:jc w:val="center"/>
        <w:rPr>
          <w:lang w:eastAsia="en-US"/>
        </w:rPr>
      </w:pPr>
    </w:p>
    <w:p w14:paraId="085AEA43" w14:textId="2D1E629A" w:rsidR="00021755" w:rsidRDefault="00021755" w:rsidP="00021755">
      <w:pPr>
        <w:rPr>
          <w:lang w:eastAsia="en-US"/>
        </w:rPr>
      </w:pPr>
      <w:r>
        <w:rPr>
          <w:lang w:eastAsia="en-US"/>
        </w:rPr>
        <w:t>The data displayed in this figure and the PFD Annual Performance Report meets the intent of RCW 35.103</w:t>
      </w:r>
      <w:r w:rsidR="00CC4ADF">
        <w:rPr>
          <w:lang w:eastAsia="en-US"/>
        </w:rPr>
        <w:t xml:space="preserve"> and 35A.92</w:t>
      </w:r>
      <w:r>
        <w:rPr>
          <w:lang w:eastAsia="en-US"/>
        </w:rPr>
        <w:t xml:space="preserve">. RCW 35.103 </w:t>
      </w:r>
      <w:r w:rsidR="00CC4ADF">
        <w:rPr>
          <w:lang w:eastAsia="en-US"/>
        </w:rPr>
        <w:t xml:space="preserve">and 35A.92 </w:t>
      </w:r>
      <w:r>
        <w:rPr>
          <w:lang w:eastAsia="en-US"/>
        </w:rPr>
        <w:t>specif</w:t>
      </w:r>
      <w:r w:rsidR="00CC4ADF">
        <w:rPr>
          <w:lang w:eastAsia="en-US"/>
        </w:rPr>
        <w:t>y</w:t>
      </w:r>
      <w:r>
        <w:rPr>
          <w:lang w:eastAsia="en-US"/>
        </w:rPr>
        <w:t xml:space="preserve"> that fire departments </w:t>
      </w:r>
      <w:r w:rsidR="00CC4ADF">
        <w:rPr>
          <w:lang w:eastAsia="en-US"/>
        </w:rPr>
        <w:t xml:space="preserve">establish levels of service, types of service, and performance objectives (e.g., </w:t>
      </w:r>
      <w:r w:rsidR="00CC4ADF" w:rsidRPr="00CC4ADF">
        <w:rPr>
          <w:lang w:eastAsia="en-US"/>
        </w:rPr>
        <w:t>turnout time and response time</w:t>
      </w:r>
      <w:r w:rsidR="00CC4ADF">
        <w:rPr>
          <w:lang w:eastAsia="en-US"/>
        </w:rPr>
        <w:t>). These elements are to be reported every year</w:t>
      </w:r>
      <w:r>
        <w:rPr>
          <w:lang w:eastAsia="en-US"/>
        </w:rPr>
        <w:t>. Turnout time is defined as</w:t>
      </w:r>
      <w:r w:rsidR="00632439">
        <w:rPr>
          <w:lang w:eastAsia="en-US"/>
        </w:rPr>
        <w:t>,</w:t>
      </w:r>
      <w:r>
        <w:rPr>
          <w:lang w:eastAsia="en-US"/>
        </w:rPr>
        <w:t xml:space="preserve"> “</w:t>
      </w:r>
      <w:r w:rsidR="00632439">
        <w:rPr>
          <w:lang w:eastAsia="en-US"/>
        </w:rPr>
        <w:t>…</w:t>
      </w:r>
      <w:r>
        <w:rPr>
          <w:lang w:eastAsia="en-US"/>
        </w:rPr>
        <w:t>the time beginning when units receive notification of the emergency to the beginning point of response time”. Response time is defined as</w:t>
      </w:r>
      <w:r w:rsidR="00632439">
        <w:rPr>
          <w:lang w:eastAsia="en-US"/>
        </w:rPr>
        <w:t>, “…</w:t>
      </w:r>
      <w:r>
        <w:rPr>
          <w:lang w:eastAsia="en-US"/>
        </w:rPr>
        <w:t>the</w:t>
      </w:r>
      <w:r w:rsidR="00632439">
        <w:rPr>
          <w:lang w:eastAsia="en-US"/>
        </w:rPr>
        <w:t xml:space="preserve"> </w:t>
      </w:r>
      <w:r>
        <w:rPr>
          <w:lang w:eastAsia="en-US"/>
        </w:rPr>
        <w:t xml:space="preserve">time that begins when units are enroute to the emergency incident and ends when the unit arrives on scene”. </w:t>
      </w:r>
    </w:p>
    <w:p w14:paraId="22D9C570" w14:textId="09CF2CC1" w:rsidR="00021755" w:rsidRDefault="00021755" w:rsidP="009277A2">
      <w:pPr>
        <w:spacing w:after="0"/>
        <w:rPr>
          <w:lang w:eastAsia="en-US"/>
        </w:rPr>
      </w:pPr>
      <w:r>
        <w:rPr>
          <w:lang w:eastAsia="en-US"/>
        </w:rPr>
        <w:t xml:space="preserve">Industry best practice documents such as the </w:t>
      </w:r>
      <w:r w:rsidRPr="00BB1F4B">
        <w:rPr>
          <w:rFonts w:asciiTheme="majorHAnsi" w:eastAsia="Calibri" w:hAnsiTheme="majorHAnsi" w:cs="Arial"/>
        </w:rPr>
        <w:t>Center for Public Safety Excellence and the Commission on Fire Accreditation (CPSE/CFAI)</w:t>
      </w:r>
      <w:r>
        <w:rPr>
          <w:rFonts w:asciiTheme="majorHAnsi" w:eastAsia="Calibri" w:hAnsiTheme="majorHAnsi" w:cs="Arial"/>
        </w:rPr>
        <w:t xml:space="preserve"> Standards of Cover</w:t>
      </w:r>
      <w:r>
        <w:rPr>
          <w:lang w:eastAsia="en-US"/>
        </w:rPr>
        <w:t xml:space="preserve"> document and the national consensus standard NFPA 1710</w:t>
      </w:r>
      <w:r>
        <w:rPr>
          <w:rStyle w:val="FootnoteReference"/>
          <w:lang w:eastAsia="en-US"/>
        </w:rPr>
        <w:footnoteReference w:id="37"/>
      </w:r>
      <w:r>
        <w:rPr>
          <w:lang w:eastAsia="en-US"/>
        </w:rPr>
        <w:t xml:space="preserve"> recommend that fire departments track and report all of the components of total response time listed </w:t>
      </w:r>
      <w:r w:rsidR="003E02F5">
        <w:rPr>
          <w:lang w:eastAsia="en-US"/>
        </w:rPr>
        <w:t>as follows</w:t>
      </w:r>
      <w:r>
        <w:rPr>
          <w:lang w:eastAsia="en-US"/>
        </w:rPr>
        <w:t>:</w:t>
      </w:r>
    </w:p>
    <w:p w14:paraId="17781CE7" w14:textId="77777777" w:rsidR="00021755" w:rsidRPr="00720C14" w:rsidRDefault="00021755" w:rsidP="009277A2">
      <w:pPr>
        <w:pStyle w:val="ListParagraph"/>
        <w:numPr>
          <w:ilvl w:val="0"/>
          <w:numId w:val="38"/>
        </w:numPr>
        <w:adjustRightInd/>
        <w:spacing w:after="120" w:line="240" w:lineRule="auto"/>
        <w:contextualSpacing w:val="0"/>
      </w:pPr>
      <w:r w:rsidRPr="00720C14">
        <w:t>Call Processing Time – The amount of time between when a dispatcher answers the 911 call and resources are dispatched.</w:t>
      </w:r>
    </w:p>
    <w:p w14:paraId="75F97AC5" w14:textId="1CD853F9" w:rsidR="00021755" w:rsidRPr="00720C14" w:rsidRDefault="00021755" w:rsidP="009277A2">
      <w:pPr>
        <w:pStyle w:val="ListParagraph"/>
        <w:numPr>
          <w:ilvl w:val="0"/>
          <w:numId w:val="38"/>
        </w:numPr>
        <w:adjustRightInd/>
        <w:spacing w:after="120" w:line="240" w:lineRule="auto"/>
        <w:contextualSpacing w:val="0"/>
      </w:pPr>
      <w:r w:rsidRPr="00720C14">
        <w:t xml:space="preserve">Turnout Time – The time interval between when units are notified of the incident and when the apparatus are enroute. </w:t>
      </w:r>
    </w:p>
    <w:p w14:paraId="7EE7C1E3" w14:textId="77777777" w:rsidR="00021755" w:rsidRPr="00720C14" w:rsidRDefault="00021755" w:rsidP="009277A2">
      <w:pPr>
        <w:pStyle w:val="ListParagraph"/>
        <w:numPr>
          <w:ilvl w:val="0"/>
          <w:numId w:val="38"/>
        </w:numPr>
        <w:adjustRightInd/>
        <w:spacing w:after="120" w:line="240" w:lineRule="auto"/>
        <w:contextualSpacing w:val="0"/>
      </w:pPr>
      <w:r w:rsidRPr="00720C14">
        <w:rPr>
          <w:rFonts w:cs="Calibri"/>
        </w:rPr>
        <w:t>Travel Time – The amount of time the responding unit actually spends travelling to the incident.</w:t>
      </w:r>
    </w:p>
    <w:p w14:paraId="1C061814" w14:textId="77777777" w:rsidR="00021755" w:rsidRDefault="00021755" w:rsidP="009277A2">
      <w:pPr>
        <w:pStyle w:val="ListParagraph"/>
        <w:numPr>
          <w:ilvl w:val="0"/>
          <w:numId w:val="38"/>
        </w:numPr>
        <w:spacing w:line="240" w:lineRule="auto"/>
        <w:contextualSpacing w:val="0"/>
        <w:rPr>
          <w:lang w:eastAsia="en-US"/>
        </w:rPr>
      </w:pPr>
      <w:r w:rsidRPr="00720C14">
        <w:t>Total Response Time – Total Response Time equals the combination of “Processing Time,” “Turnout Time,” and “Travel Time.”</w:t>
      </w:r>
      <w:r>
        <w:rPr>
          <w:lang w:eastAsia="en-US"/>
        </w:rPr>
        <w:t xml:space="preserve"> </w:t>
      </w:r>
    </w:p>
    <w:p w14:paraId="30D67F6C" w14:textId="77777777" w:rsidR="00021755" w:rsidRDefault="00021755" w:rsidP="00021755">
      <w:pPr>
        <w:rPr>
          <w:lang w:eastAsia="en-US"/>
        </w:rPr>
      </w:pPr>
      <w:r>
        <w:rPr>
          <w:lang w:eastAsia="en-US"/>
        </w:rPr>
        <w:t>The following figure displays the performance recommendations from the NFPA 1710 standard.</w:t>
      </w:r>
    </w:p>
    <w:p w14:paraId="2FE32901" w14:textId="16F4C238" w:rsidR="00021755" w:rsidRDefault="00021755" w:rsidP="009277A2">
      <w:pPr>
        <w:pStyle w:val="Caption"/>
      </w:pPr>
      <w:bookmarkStart w:id="255" w:name="_Toc464323719"/>
      <w:r>
        <w:t xml:space="preserve">Figure </w:t>
      </w:r>
      <w:r w:rsidR="00432AD4">
        <w:fldChar w:fldCharType="begin"/>
      </w:r>
      <w:r w:rsidR="00432AD4">
        <w:instrText xml:space="preserve"> SEQ Figure \* ARABIC </w:instrText>
      </w:r>
      <w:r w:rsidR="00432AD4">
        <w:fldChar w:fldCharType="separate"/>
      </w:r>
      <w:r w:rsidR="008209A2">
        <w:rPr>
          <w:noProof/>
        </w:rPr>
        <w:t>77</w:t>
      </w:r>
      <w:r w:rsidR="00432AD4">
        <w:rPr>
          <w:noProof/>
        </w:rPr>
        <w:fldChar w:fldCharType="end"/>
      </w:r>
      <w:r>
        <w:t>: NFPA 1710 Response Performance Recommendations</w:t>
      </w:r>
      <w:bookmarkEnd w:id="255"/>
    </w:p>
    <w:tbl>
      <w:tblPr>
        <w:tblStyle w:val="TableGrid54"/>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9"/>
        <w:gridCol w:w="3301"/>
      </w:tblGrid>
      <w:tr w:rsidR="00021755" w:rsidRPr="007365F6" w14:paraId="707C17A8" w14:textId="77777777" w:rsidTr="009277A2">
        <w:trPr>
          <w:trHeight w:val="360"/>
          <w:jc w:val="center"/>
        </w:trPr>
        <w:tc>
          <w:tcPr>
            <w:tcW w:w="4889" w:type="dxa"/>
            <w:tcBorders>
              <w:bottom w:val="single" w:sz="4" w:space="0" w:color="auto"/>
            </w:tcBorders>
            <w:shd w:val="clear" w:color="auto" w:fill="1F497D" w:themeFill="text2"/>
            <w:vAlign w:val="center"/>
          </w:tcPr>
          <w:p w14:paraId="38A8CBE1" w14:textId="77777777" w:rsidR="00021755" w:rsidRPr="007365F6" w:rsidRDefault="00021755" w:rsidP="00632439">
            <w:pPr>
              <w:keepNext/>
              <w:keepLines/>
              <w:widowControl/>
              <w:spacing w:after="0" w:line="240" w:lineRule="auto"/>
              <w:jc w:val="center"/>
              <w:rPr>
                <w:b/>
                <w:color w:val="FFFFFF"/>
                <w:lang w:eastAsia="en-US"/>
              </w:rPr>
            </w:pPr>
            <w:r w:rsidRPr="007365F6">
              <w:rPr>
                <w:b/>
                <w:color w:val="FFFFFF"/>
                <w:lang w:eastAsia="en-US"/>
              </w:rPr>
              <w:t>Response Element</w:t>
            </w:r>
          </w:p>
        </w:tc>
        <w:tc>
          <w:tcPr>
            <w:tcW w:w="3301" w:type="dxa"/>
            <w:tcBorders>
              <w:bottom w:val="single" w:sz="4" w:space="0" w:color="auto"/>
            </w:tcBorders>
            <w:shd w:val="clear" w:color="auto" w:fill="1F497D" w:themeFill="text2"/>
            <w:vAlign w:val="center"/>
          </w:tcPr>
          <w:p w14:paraId="3EA23946" w14:textId="77777777" w:rsidR="00021755" w:rsidRPr="007365F6" w:rsidRDefault="00021755" w:rsidP="00632439">
            <w:pPr>
              <w:keepNext/>
              <w:keepLines/>
              <w:widowControl/>
              <w:spacing w:after="0" w:line="240" w:lineRule="auto"/>
              <w:jc w:val="center"/>
              <w:rPr>
                <w:b/>
                <w:color w:val="FFFFFF"/>
                <w:lang w:eastAsia="en-US"/>
              </w:rPr>
            </w:pPr>
            <w:r w:rsidRPr="007365F6">
              <w:rPr>
                <w:b/>
                <w:color w:val="FFFFFF"/>
                <w:lang w:eastAsia="en-US"/>
              </w:rPr>
              <w:t>NFPA Recommendation</w:t>
            </w:r>
          </w:p>
        </w:tc>
      </w:tr>
      <w:tr w:rsidR="00021755" w:rsidRPr="007365F6" w14:paraId="4063BF83" w14:textId="77777777" w:rsidTr="00632439">
        <w:trPr>
          <w:trHeight w:val="144"/>
          <w:jc w:val="center"/>
        </w:trPr>
        <w:tc>
          <w:tcPr>
            <w:tcW w:w="4889" w:type="dxa"/>
            <w:tcBorders>
              <w:top w:val="single" w:sz="4" w:space="0" w:color="auto"/>
            </w:tcBorders>
            <w:shd w:val="clear" w:color="auto" w:fill="FFFFFF" w:themeFill="background1"/>
            <w:vAlign w:val="center"/>
          </w:tcPr>
          <w:p w14:paraId="63A47114" w14:textId="77777777" w:rsidR="00021755" w:rsidRPr="007365F6" w:rsidRDefault="00021755" w:rsidP="00632439">
            <w:pPr>
              <w:keepNext/>
              <w:keepLines/>
              <w:widowControl/>
              <w:spacing w:after="0" w:line="240" w:lineRule="auto"/>
              <w:jc w:val="left"/>
              <w:rPr>
                <w:lang w:eastAsia="en-US"/>
              </w:rPr>
            </w:pPr>
            <w:r w:rsidRPr="007365F6">
              <w:rPr>
                <w:lang w:eastAsia="en-US"/>
              </w:rPr>
              <w:t>Call Processing</w:t>
            </w:r>
          </w:p>
        </w:tc>
        <w:tc>
          <w:tcPr>
            <w:tcW w:w="3301" w:type="dxa"/>
            <w:tcBorders>
              <w:top w:val="single" w:sz="4" w:space="0" w:color="auto"/>
            </w:tcBorders>
            <w:shd w:val="clear" w:color="auto" w:fill="FFFFFF" w:themeFill="background1"/>
            <w:vAlign w:val="center"/>
          </w:tcPr>
          <w:p w14:paraId="3692FF95" w14:textId="77777777" w:rsidR="00021755" w:rsidRPr="007365F6" w:rsidRDefault="00021755" w:rsidP="00632439">
            <w:pPr>
              <w:keepNext/>
              <w:keepLines/>
              <w:widowControl/>
              <w:spacing w:after="0" w:line="240" w:lineRule="auto"/>
              <w:jc w:val="right"/>
              <w:rPr>
                <w:lang w:eastAsia="en-US"/>
              </w:rPr>
            </w:pPr>
            <w:r w:rsidRPr="007365F6">
              <w:rPr>
                <w:lang w:eastAsia="en-US"/>
              </w:rPr>
              <w:t>60 Seconds @ 90</w:t>
            </w:r>
            <w:r w:rsidRPr="007365F6">
              <w:rPr>
                <w:vertAlign w:val="superscript"/>
                <w:lang w:eastAsia="en-US"/>
              </w:rPr>
              <w:t>th</w:t>
            </w:r>
            <w:r w:rsidRPr="007365F6">
              <w:rPr>
                <w:lang w:eastAsia="en-US"/>
              </w:rPr>
              <w:t xml:space="preserve"> Percentile</w:t>
            </w:r>
          </w:p>
        </w:tc>
      </w:tr>
      <w:tr w:rsidR="00021755" w:rsidRPr="007365F6" w14:paraId="2D81AC44" w14:textId="77777777" w:rsidTr="00632439">
        <w:trPr>
          <w:trHeight w:val="144"/>
          <w:jc w:val="center"/>
        </w:trPr>
        <w:tc>
          <w:tcPr>
            <w:tcW w:w="4889" w:type="dxa"/>
            <w:shd w:val="clear" w:color="auto" w:fill="D9D9D9" w:themeFill="background1" w:themeFillShade="D9"/>
            <w:vAlign w:val="center"/>
          </w:tcPr>
          <w:p w14:paraId="4DB6C9E6" w14:textId="77777777" w:rsidR="00021755" w:rsidRPr="007365F6" w:rsidRDefault="00021755" w:rsidP="00632439">
            <w:pPr>
              <w:keepNext/>
              <w:keepLines/>
              <w:widowControl/>
              <w:spacing w:after="0" w:line="240" w:lineRule="auto"/>
              <w:jc w:val="left"/>
              <w:rPr>
                <w:lang w:eastAsia="en-US"/>
              </w:rPr>
            </w:pPr>
            <w:r w:rsidRPr="007365F6">
              <w:rPr>
                <w:lang w:eastAsia="en-US"/>
              </w:rPr>
              <w:t>Turnout Time</w:t>
            </w:r>
          </w:p>
        </w:tc>
        <w:tc>
          <w:tcPr>
            <w:tcW w:w="3301" w:type="dxa"/>
            <w:shd w:val="clear" w:color="auto" w:fill="D9D9D9" w:themeFill="background1" w:themeFillShade="D9"/>
            <w:vAlign w:val="center"/>
          </w:tcPr>
          <w:p w14:paraId="786C5711" w14:textId="77777777" w:rsidR="00021755" w:rsidRPr="007365F6" w:rsidRDefault="00021755" w:rsidP="00632439">
            <w:pPr>
              <w:keepNext/>
              <w:keepLines/>
              <w:widowControl/>
              <w:spacing w:after="0" w:line="240" w:lineRule="auto"/>
              <w:jc w:val="right"/>
              <w:rPr>
                <w:lang w:eastAsia="en-US"/>
              </w:rPr>
            </w:pPr>
            <w:r w:rsidRPr="007365F6">
              <w:rPr>
                <w:lang w:eastAsia="en-US"/>
              </w:rPr>
              <w:t>60 Seconds @ 90</w:t>
            </w:r>
            <w:r w:rsidRPr="007365F6">
              <w:rPr>
                <w:vertAlign w:val="superscript"/>
                <w:lang w:eastAsia="en-US"/>
              </w:rPr>
              <w:t>th</w:t>
            </w:r>
            <w:r w:rsidRPr="007365F6">
              <w:rPr>
                <w:lang w:eastAsia="en-US"/>
              </w:rPr>
              <w:t xml:space="preserve"> Percentile for EMS</w:t>
            </w:r>
          </w:p>
          <w:p w14:paraId="6F551132" w14:textId="77777777" w:rsidR="00021755" w:rsidRPr="007365F6" w:rsidRDefault="00021755" w:rsidP="00632439">
            <w:pPr>
              <w:keepNext/>
              <w:keepLines/>
              <w:widowControl/>
              <w:spacing w:after="0" w:line="240" w:lineRule="auto"/>
              <w:jc w:val="right"/>
              <w:rPr>
                <w:lang w:eastAsia="en-US"/>
              </w:rPr>
            </w:pPr>
            <w:r w:rsidRPr="007365F6">
              <w:rPr>
                <w:lang w:eastAsia="en-US"/>
              </w:rPr>
              <w:t>80 Seconds @ 90</w:t>
            </w:r>
            <w:r w:rsidRPr="007365F6">
              <w:rPr>
                <w:vertAlign w:val="superscript"/>
                <w:lang w:eastAsia="en-US"/>
              </w:rPr>
              <w:t>th</w:t>
            </w:r>
            <w:r w:rsidRPr="007365F6">
              <w:rPr>
                <w:lang w:eastAsia="en-US"/>
              </w:rPr>
              <w:t xml:space="preserve"> Percentile for Fire</w:t>
            </w:r>
          </w:p>
        </w:tc>
      </w:tr>
      <w:tr w:rsidR="00021755" w:rsidRPr="007365F6" w14:paraId="43EB30C3" w14:textId="77777777" w:rsidTr="00632439">
        <w:trPr>
          <w:trHeight w:val="144"/>
          <w:jc w:val="center"/>
        </w:trPr>
        <w:tc>
          <w:tcPr>
            <w:tcW w:w="4889" w:type="dxa"/>
            <w:shd w:val="clear" w:color="auto" w:fill="FFFFFF" w:themeFill="background1"/>
            <w:vAlign w:val="center"/>
          </w:tcPr>
          <w:p w14:paraId="62BA8557" w14:textId="77777777" w:rsidR="00021755" w:rsidRPr="007365F6" w:rsidRDefault="00021755" w:rsidP="00632439">
            <w:pPr>
              <w:keepNext/>
              <w:keepLines/>
              <w:widowControl/>
              <w:spacing w:after="0" w:line="240" w:lineRule="auto"/>
              <w:jc w:val="left"/>
              <w:rPr>
                <w:lang w:eastAsia="en-US"/>
              </w:rPr>
            </w:pPr>
            <w:r w:rsidRPr="007365F6">
              <w:rPr>
                <w:lang w:eastAsia="en-US"/>
              </w:rPr>
              <w:t>Travel Time (First unit on scene-Fire or EMS)</w:t>
            </w:r>
          </w:p>
        </w:tc>
        <w:tc>
          <w:tcPr>
            <w:tcW w:w="3301" w:type="dxa"/>
            <w:shd w:val="clear" w:color="auto" w:fill="FFFFFF" w:themeFill="background1"/>
            <w:vAlign w:val="center"/>
          </w:tcPr>
          <w:p w14:paraId="289A563D" w14:textId="77777777" w:rsidR="00021755" w:rsidRPr="007365F6" w:rsidRDefault="00021755" w:rsidP="00632439">
            <w:pPr>
              <w:keepNext/>
              <w:keepLines/>
              <w:widowControl/>
              <w:spacing w:after="0" w:line="240" w:lineRule="auto"/>
              <w:jc w:val="right"/>
              <w:rPr>
                <w:lang w:eastAsia="en-US"/>
              </w:rPr>
            </w:pPr>
            <w:r w:rsidRPr="007365F6">
              <w:rPr>
                <w:lang w:eastAsia="en-US"/>
              </w:rPr>
              <w:t>4 Minutes @ 90</w:t>
            </w:r>
            <w:r w:rsidRPr="007365F6">
              <w:rPr>
                <w:vertAlign w:val="superscript"/>
                <w:lang w:eastAsia="en-US"/>
              </w:rPr>
              <w:t>th</w:t>
            </w:r>
            <w:r w:rsidRPr="007365F6">
              <w:rPr>
                <w:lang w:eastAsia="en-US"/>
              </w:rPr>
              <w:t xml:space="preserve"> Percentile</w:t>
            </w:r>
          </w:p>
        </w:tc>
      </w:tr>
      <w:tr w:rsidR="00021755" w:rsidRPr="007365F6" w14:paraId="75EE692F" w14:textId="77777777" w:rsidTr="00632439">
        <w:trPr>
          <w:trHeight w:val="144"/>
          <w:jc w:val="center"/>
        </w:trPr>
        <w:tc>
          <w:tcPr>
            <w:tcW w:w="4889" w:type="dxa"/>
            <w:shd w:val="clear" w:color="auto" w:fill="D9D9D9" w:themeFill="background1" w:themeFillShade="D9"/>
            <w:vAlign w:val="center"/>
          </w:tcPr>
          <w:p w14:paraId="30BA7112" w14:textId="77777777" w:rsidR="00021755" w:rsidRPr="007365F6" w:rsidRDefault="00021755" w:rsidP="00632439">
            <w:pPr>
              <w:keepNext/>
              <w:keepLines/>
              <w:widowControl/>
              <w:spacing w:after="0" w:line="240" w:lineRule="auto"/>
              <w:jc w:val="left"/>
              <w:rPr>
                <w:lang w:eastAsia="en-US"/>
              </w:rPr>
            </w:pPr>
            <w:r>
              <w:rPr>
                <w:lang w:eastAsia="en-US"/>
              </w:rPr>
              <w:t>Travel Time (First arriving ALS unit)</w:t>
            </w:r>
          </w:p>
        </w:tc>
        <w:tc>
          <w:tcPr>
            <w:tcW w:w="3301" w:type="dxa"/>
            <w:shd w:val="clear" w:color="auto" w:fill="D9D9D9" w:themeFill="background1" w:themeFillShade="D9"/>
            <w:vAlign w:val="center"/>
          </w:tcPr>
          <w:p w14:paraId="7B909D45" w14:textId="77777777" w:rsidR="00021755" w:rsidRPr="007365F6" w:rsidRDefault="00021755" w:rsidP="00632439">
            <w:pPr>
              <w:keepNext/>
              <w:keepLines/>
              <w:widowControl/>
              <w:spacing w:after="0" w:line="240" w:lineRule="auto"/>
              <w:jc w:val="right"/>
              <w:rPr>
                <w:lang w:eastAsia="en-US"/>
              </w:rPr>
            </w:pPr>
            <w:r>
              <w:rPr>
                <w:lang w:eastAsia="en-US"/>
              </w:rPr>
              <w:t>8 Minutes @ 90</w:t>
            </w:r>
            <w:r w:rsidRPr="0091765C">
              <w:rPr>
                <w:vertAlign w:val="superscript"/>
                <w:lang w:eastAsia="en-US"/>
              </w:rPr>
              <w:t>th</w:t>
            </w:r>
            <w:r>
              <w:rPr>
                <w:lang w:eastAsia="en-US"/>
              </w:rPr>
              <w:t xml:space="preserve"> Percentile</w:t>
            </w:r>
          </w:p>
        </w:tc>
      </w:tr>
      <w:tr w:rsidR="00021755" w:rsidRPr="007365F6" w14:paraId="58F300BA" w14:textId="77777777" w:rsidTr="00632439">
        <w:trPr>
          <w:trHeight w:val="144"/>
          <w:jc w:val="center"/>
        </w:trPr>
        <w:tc>
          <w:tcPr>
            <w:tcW w:w="4889" w:type="dxa"/>
            <w:shd w:val="clear" w:color="auto" w:fill="D9D9D9" w:themeFill="background1" w:themeFillShade="D9"/>
            <w:vAlign w:val="center"/>
          </w:tcPr>
          <w:p w14:paraId="5646197F" w14:textId="77777777" w:rsidR="00021755" w:rsidRPr="007365F6" w:rsidRDefault="00021755" w:rsidP="00632439">
            <w:pPr>
              <w:keepNext/>
              <w:keepLines/>
              <w:widowControl/>
              <w:spacing w:after="0" w:line="240" w:lineRule="auto"/>
              <w:jc w:val="left"/>
              <w:rPr>
                <w:lang w:eastAsia="en-US"/>
              </w:rPr>
            </w:pPr>
            <w:r w:rsidRPr="007365F6">
              <w:rPr>
                <w:lang w:eastAsia="en-US"/>
              </w:rPr>
              <w:t>Travel Time-Full First Alarm (Moderate risk-structure fire)</w:t>
            </w:r>
          </w:p>
        </w:tc>
        <w:tc>
          <w:tcPr>
            <w:tcW w:w="3301" w:type="dxa"/>
            <w:shd w:val="clear" w:color="auto" w:fill="D9D9D9" w:themeFill="background1" w:themeFillShade="D9"/>
            <w:vAlign w:val="center"/>
          </w:tcPr>
          <w:p w14:paraId="5A4D0CDB" w14:textId="77777777" w:rsidR="00021755" w:rsidRPr="007365F6" w:rsidRDefault="00021755" w:rsidP="00632439">
            <w:pPr>
              <w:keepNext/>
              <w:keepLines/>
              <w:widowControl/>
              <w:spacing w:after="0" w:line="240" w:lineRule="auto"/>
              <w:jc w:val="right"/>
              <w:rPr>
                <w:lang w:eastAsia="en-US"/>
              </w:rPr>
            </w:pPr>
            <w:r w:rsidRPr="007365F6">
              <w:rPr>
                <w:lang w:eastAsia="en-US"/>
              </w:rPr>
              <w:t>8 Minutes @ 90</w:t>
            </w:r>
            <w:r w:rsidRPr="007365F6">
              <w:rPr>
                <w:vertAlign w:val="superscript"/>
                <w:lang w:eastAsia="en-US"/>
              </w:rPr>
              <w:t>th</w:t>
            </w:r>
            <w:r w:rsidRPr="007365F6">
              <w:rPr>
                <w:lang w:eastAsia="en-US"/>
              </w:rPr>
              <w:t xml:space="preserve"> Percentile</w:t>
            </w:r>
          </w:p>
        </w:tc>
      </w:tr>
    </w:tbl>
    <w:p w14:paraId="7D6FD13C" w14:textId="77777777" w:rsidR="00021755" w:rsidRDefault="00021755" w:rsidP="009277A2">
      <w:pPr>
        <w:spacing w:after="0"/>
        <w:jc w:val="center"/>
        <w:rPr>
          <w:lang w:eastAsia="en-US"/>
        </w:rPr>
      </w:pPr>
    </w:p>
    <w:p w14:paraId="45BAD9B1" w14:textId="77777777" w:rsidR="00021755" w:rsidRDefault="00021755" w:rsidP="00021755">
      <w:pPr>
        <w:pStyle w:val="Heading4"/>
        <w:rPr>
          <w:lang w:eastAsia="en-US"/>
        </w:rPr>
      </w:pPr>
      <w:r>
        <w:rPr>
          <w:lang w:eastAsia="en-US"/>
        </w:rPr>
        <w:t>Call Processing Time</w:t>
      </w:r>
    </w:p>
    <w:p w14:paraId="2C3E2E8C" w14:textId="1A24B4A6" w:rsidR="00021755" w:rsidRDefault="00021755" w:rsidP="00021755">
      <w:pPr>
        <w:rPr>
          <w:lang w:eastAsia="en-US"/>
        </w:rPr>
      </w:pPr>
      <w:r>
        <w:rPr>
          <w:lang w:eastAsia="en-US"/>
        </w:rPr>
        <w:t xml:space="preserve">In Franklin County, the Franklin County Communications Center serves as the public safety answering point (PSAP) for 911 emergency calls. The communications center is also responsible for dispatching police, fire, and EMS agencies in Franklin County. As part of the annual performance report, PFD reports call processing time performance data provided by the county communications center. In 2015, the dispatch center met the </w:t>
      </w:r>
      <w:r w:rsidRPr="009277A2">
        <w:rPr>
          <w:i/>
          <w:lang w:eastAsia="en-US"/>
        </w:rPr>
        <w:t>NFPA 1710</w:t>
      </w:r>
      <w:r>
        <w:rPr>
          <w:lang w:eastAsia="en-US"/>
        </w:rPr>
        <w:t xml:space="preserve"> criteria for call processing time (60 seconds) approximately 53.3 percent of the time. </w:t>
      </w:r>
      <w:r w:rsidR="009277A2">
        <w:rPr>
          <w:lang w:eastAsia="en-US"/>
        </w:rPr>
        <w:t>As reported, 90 percent</w:t>
      </w:r>
      <w:r>
        <w:rPr>
          <w:lang w:eastAsia="en-US"/>
        </w:rPr>
        <w:t xml:space="preserve"> of PFD incidents were dispatched in 116 seconds or less.  The Franklin County Dispatch Center is a countywide multidisciplinary agency and call processing time is not under the direct control of the </w:t>
      </w:r>
      <w:r w:rsidR="009277A2">
        <w:rPr>
          <w:lang w:eastAsia="en-US"/>
        </w:rPr>
        <w:t>PFD</w:t>
      </w:r>
      <w:r>
        <w:rPr>
          <w:lang w:eastAsia="en-US"/>
        </w:rPr>
        <w:t xml:space="preserve">. However, </w:t>
      </w:r>
      <w:r w:rsidR="009277A2">
        <w:rPr>
          <w:lang w:eastAsia="en-US"/>
        </w:rPr>
        <w:t xml:space="preserve">Department </w:t>
      </w:r>
      <w:r>
        <w:rPr>
          <w:lang w:eastAsia="en-US"/>
        </w:rPr>
        <w:t xml:space="preserve">leaders need to be aware of call processing time performance. ESCI commends PFD for monitoring call processing performance and encourages the </w:t>
      </w:r>
      <w:r w:rsidR="009277A2">
        <w:rPr>
          <w:lang w:eastAsia="en-US"/>
        </w:rPr>
        <w:t xml:space="preserve">Department </w:t>
      </w:r>
      <w:r>
        <w:rPr>
          <w:lang w:eastAsia="en-US"/>
        </w:rPr>
        <w:t>to work cooperatively with the dispatch center to work toward meeting the national standard.</w:t>
      </w:r>
    </w:p>
    <w:p w14:paraId="688C8321" w14:textId="77777777" w:rsidR="00021755" w:rsidRDefault="00021755" w:rsidP="00021755">
      <w:pPr>
        <w:pStyle w:val="Heading4"/>
        <w:rPr>
          <w:lang w:eastAsia="en-US"/>
        </w:rPr>
      </w:pPr>
      <w:r>
        <w:rPr>
          <w:lang w:eastAsia="en-US"/>
        </w:rPr>
        <w:t>Turnout Time</w:t>
      </w:r>
    </w:p>
    <w:p w14:paraId="718F73C2" w14:textId="1A5E5173" w:rsidR="00021755" w:rsidRDefault="00021755" w:rsidP="00021755">
      <w:pPr>
        <w:rPr>
          <w:lang w:eastAsia="en-US"/>
        </w:rPr>
      </w:pPr>
      <w:r>
        <w:rPr>
          <w:lang w:eastAsia="en-US"/>
        </w:rPr>
        <w:t xml:space="preserve">As displayed in </w:t>
      </w:r>
      <w:r>
        <w:rPr>
          <w:lang w:eastAsia="en-US"/>
        </w:rPr>
        <w:fldChar w:fldCharType="begin"/>
      </w:r>
      <w:r>
        <w:rPr>
          <w:lang w:eastAsia="en-US"/>
        </w:rPr>
        <w:instrText xml:space="preserve"> REF _Ref455400779 \h </w:instrText>
      </w:r>
      <w:r>
        <w:rPr>
          <w:lang w:eastAsia="en-US"/>
        </w:rPr>
      </w:r>
      <w:r>
        <w:rPr>
          <w:lang w:eastAsia="en-US"/>
        </w:rPr>
        <w:fldChar w:fldCharType="separate"/>
      </w:r>
      <w:r w:rsidR="008209A2">
        <w:t xml:space="preserve">Figure </w:t>
      </w:r>
      <w:r w:rsidR="008209A2">
        <w:rPr>
          <w:noProof/>
        </w:rPr>
        <w:t>76</w:t>
      </w:r>
      <w:r>
        <w:rPr>
          <w:lang w:eastAsia="en-US"/>
        </w:rPr>
        <w:fldChar w:fldCharType="end"/>
      </w:r>
      <w:r>
        <w:rPr>
          <w:lang w:eastAsia="en-US"/>
        </w:rPr>
        <w:t>, the PFD turnout time standard is two minutes (120 seconds) or less for all types of emergency incident</w:t>
      </w:r>
      <w:r w:rsidR="009277A2">
        <w:rPr>
          <w:lang w:eastAsia="en-US"/>
        </w:rPr>
        <w:t xml:space="preserve">s (measured at 90 percent). </w:t>
      </w:r>
      <w:r w:rsidRPr="009277A2">
        <w:rPr>
          <w:i/>
          <w:lang w:eastAsia="en-US"/>
        </w:rPr>
        <w:t>NFPA 1710</w:t>
      </w:r>
      <w:r w:rsidR="009277A2">
        <w:rPr>
          <w:lang w:eastAsia="en-US"/>
        </w:rPr>
        <w:t xml:space="preserve"> </w:t>
      </w:r>
      <w:r>
        <w:rPr>
          <w:lang w:eastAsia="en-US"/>
        </w:rPr>
        <w:t xml:space="preserve">calls for turnout times of 60 seconds for EMS emergencies and 80 seconds for fire emergencies. Overall, PFD apparatus were enroute to 90 percent of emergency incidents in </w:t>
      </w:r>
      <w:r w:rsidR="009277A2">
        <w:rPr>
          <w:lang w:eastAsia="en-US"/>
        </w:rPr>
        <w:t>2</w:t>
      </w:r>
      <w:r>
        <w:rPr>
          <w:lang w:eastAsia="en-US"/>
        </w:rPr>
        <w:t xml:space="preserve"> minutes </w:t>
      </w:r>
      <w:r w:rsidR="009277A2">
        <w:rPr>
          <w:lang w:eastAsia="en-US"/>
        </w:rPr>
        <w:t>6</w:t>
      </w:r>
      <w:r>
        <w:rPr>
          <w:lang w:eastAsia="en-US"/>
        </w:rPr>
        <w:t xml:space="preserve"> seconds or less.  Further examination of the data in </w:t>
      </w:r>
      <w:r>
        <w:rPr>
          <w:lang w:eastAsia="en-US"/>
        </w:rPr>
        <w:fldChar w:fldCharType="begin"/>
      </w:r>
      <w:r>
        <w:rPr>
          <w:lang w:eastAsia="en-US"/>
        </w:rPr>
        <w:instrText xml:space="preserve"> REF _Ref455400779 \h </w:instrText>
      </w:r>
      <w:r>
        <w:rPr>
          <w:lang w:eastAsia="en-US"/>
        </w:rPr>
      </w:r>
      <w:r>
        <w:rPr>
          <w:lang w:eastAsia="en-US"/>
        </w:rPr>
        <w:fldChar w:fldCharType="separate"/>
      </w:r>
      <w:r w:rsidR="008209A2">
        <w:t xml:space="preserve">Figure </w:t>
      </w:r>
      <w:r w:rsidR="008209A2">
        <w:rPr>
          <w:noProof/>
        </w:rPr>
        <w:t>76</w:t>
      </w:r>
      <w:r>
        <w:rPr>
          <w:lang w:eastAsia="en-US"/>
        </w:rPr>
        <w:fldChar w:fldCharType="end"/>
      </w:r>
      <w:r>
        <w:rPr>
          <w:lang w:eastAsia="en-US"/>
        </w:rPr>
        <w:t xml:space="preserve"> reveals </w:t>
      </w:r>
      <w:proofErr w:type="gramStart"/>
      <w:r>
        <w:rPr>
          <w:lang w:eastAsia="en-US"/>
        </w:rPr>
        <w:t>that for certain</w:t>
      </w:r>
      <w:proofErr w:type="gramEnd"/>
      <w:r>
        <w:rPr>
          <w:lang w:eastAsia="en-US"/>
        </w:rPr>
        <w:t xml:space="preserve"> types of incidents (structure fires, wildland fires, hazmat), PFD turnout time performance exceeds the adopted goal by nearly 60 to 90 seconds. </w:t>
      </w:r>
    </w:p>
    <w:p w14:paraId="2758D376" w14:textId="5ED7F229" w:rsidR="00021755" w:rsidRDefault="00021755" w:rsidP="00021755">
      <w:pPr>
        <w:rPr>
          <w:rFonts w:asciiTheme="majorHAnsi" w:eastAsia="Calibri" w:hAnsiTheme="majorHAnsi" w:cs="Arial"/>
        </w:rPr>
      </w:pPr>
      <w:r w:rsidRPr="00BB1F4B">
        <w:rPr>
          <w:rFonts w:asciiTheme="majorHAnsi" w:eastAsia="Calibri" w:hAnsiTheme="majorHAnsi" w:cs="Arial"/>
        </w:rPr>
        <w:t xml:space="preserve">Turnout time is one area of the overall response </w:t>
      </w:r>
      <w:r>
        <w:rPr>
          <w:rFonts w:asciiTheme="majorHAnsi" w:eastAsia="Calibri" w:hAnsiTheme="majorHAnsi" w:cs="Arial"/>
        </w:rPr>
        <w:t>performance</w:t>
      </w:r>
      <w:r w:rsidRPr="00BB1F4B">
        <w:rPr>
          <w:rFonts w:asciiTheme="majorHAnsi" w:eastAsia="Calibri" w:hAnsiTheme="majorHAnsi" w:cs="Arial"/>
        </w:rPr>
        <w:t xml:space="preserve"> that field personnel have at</w:t>
      </w:r>
      <w:r>
        <w:rPr>
          <w:rFonts w:asciiTheme="majorHAnsi" w:eastAsia="Calibri" w:hAnsiTheme="majorHAnsi" w:cs="Arial"/>
        </w:rPr>
        <w:t xml:space="preserve"> least some ability to control; given good training, information concerning current performance, and facilities that allow for rapid and efficient movement of personnel. PFD has identified turnout time performance as an area for improvement.</w:t>
      </w:r>
    </w:p>
    <w:p w14:paraId="15B5249F" w14:textId="77777777" w:rsidR="00021755" w:rsidRDefault="00021755" w:rsidP="00021755">
      <w:pPr>
        <w:pStyle w:val="Heading4"/>
        <w:rPr>
          <w:rFonts w:eastAsia="Calibri"/>
        </w:rPr>
      </w:pPr>
      <w:r>
        <w:rPr>
          <w:rFonts w:eastAsia="Calibri"/>
        </w:rPr>
        <w:t>Travel Time</w:t>
      </w:r>
    </w:p>
    <w:p w14:paraId="614A9790" w14:textId="1D976D08" w:rsidR="00021755" w:rsidRDefault="00021755" w:rsidP="00021755">
      <w:r>
        <w:t>The P</w:t>
      </w:r>
      <w:r w:rsidR="00A172E5">
        <w:t>asco City Council</w:t>
      </w:r>
      <w:r>
        <w:t xml:space="preserve"> adopted travel time standard is six </w:t>
      </w:r>
      <w:r w:rsidR="004D79EC">
        <w:t>minutes or less travel time</w:t>
      </w:r>
      <w:r>
        <w:t xml:space="preserve"> for the arrival of the first unit on scene at any type of emergency inciden</w:t>
      </w:r>
      <w:r w:rsidR="002D1417">
        <w:t xml:space="preserve">t (measured at 90 percent). </w:t>
      </w:r>
      <w:r w:rsidRPr="002D1417">
        <w:rPr>
          <w:i/>
        </w:rPr>
        <w:t>NFPA 1710</w:t>
      </w:r>
      <w:r>
        <w:t xml:space="preserve"> standard specifies a travel time of four minutes or less for the arrival of the first unit on scene at fire or EMS emergencies. Overall in 2015, the first PFD apparatus on scene required </w:t>
      </w:r>
      <w:r w:rsidR="002D1417">
        <w:t>6</w:t>
      </w:r>
      <w:r>
        <w:t xml:space="preserve"> minutes </w:t>
      </w:r>
      <w:r w:rsidR="002D1417">
        <w:t>2</w:t>
      </w:r>
      <w:r>
        <w:t xml:space="preserve"> seconds to travel to 90 percent of incidents. Note that the PFD travel time standard for ARFF incidents at the Pasco </w:t>
      </w:r>
      <w:r w:rsidR="002D1417">
        <w:t xml:space="preserve">Airport </w:t>
      </w:r>
      <w:r>
        <w:t>is three minutes; PFD met the standard for 100 percent of ARFF incidents in 2015.</w:t>
      </w:r>
    </w:p>
    <w:p w14:paraId="05A56B2C" w14:textId="2DFB1238" w:rsidR="00021755" w:rsidRDefault="00021755" w:rsidP="00021755">
      <w:r>
        <w:t>In addition to the performance standards for the arrival of the first unit on scene, PFD identifies travel time performance goals for the arrival of a full first al</w:t>
      </w:r>
      <w:r w:rsidR="002D1417">
        <w:t>arm at a fire suppression event</w:t>
      </w:r>
      <w:r>
        <w:t xml:space="preserve"> and the arrival of the first advanced life support (ALS) unit at an EMS incident. As displayed in </w:t>
      </w:r>
      <w:r>
        <w:fldChar w:fldCharType="begin"/>
      </w:r>
      <w:r>
        <w:instrText xml:space="preserve"> REF _Ref455400779 \h </w:instrText>
      </w:r>
      <w:r>
        <w:fldChar w:fldCharType="separate"/>
      </w:r>
      <w:r w:rsidR="008209A2">
        <w:t xml:space="preserve">Figure </w:t>
      </w:r>
      <w:r w:rsidR="008209A2">
        <w:rPr>
          <w:noProof/>
        </w:rPr>
        <w:t>76</w:t>
      </w:r>
      <w:r>
        <w:fldChar w:fldCharType="end"/>
      </w:r>
      <w:r>
        <w:t xml:space="preserve">, PFD only meets the standard for a full first alarm 50 percent of the time. PFD ALS apparatus arrive at nearly 93 percent (92.9 percent) of ALS EMS emergencies in six </w:t>
      </w:r>
      <w:r w:rsidR="004D79EC">
        <w:t>minutes or less travel time</w:t>
      </w:r>
      <w:r>
        <w:t xml:space="preserve">. Note that the NFPA travel time standard for the arrival of an ALS unit is eight </w:t>
      </w:r>
      <w:r w:rsidR="004D79EC">
        <w:t>minutes or less travel time</w:t>
      </w:r>
      <w:r w:rsidR="00632439">
        <w:t xml:space="preserve"> if </w:t>
      </w:r>
      <w:r w:rsidR="00B62D51">
        <w:t xml:space="preserve">part of a </w:t>
      </w:r>
      <w:r w:rsidR="00632439">
        <w:t xml:space="preserve">first responder BLS system </w:t>
      </w:r>
      <w:r w:rsidR="00B62D51">
        <w:t xml:space="preserve">that </w:t>
      </w:r>
      <w:r w:rsidR="00632439">
        <w:t>provides a travel time of four minutes or less</w:t>
      </w:r>
      <w:r>
        <w:t>.</w:t>
      </w:r>
    </w:p>
    <w:p w14:paraId="360D3420" w14:textId="77777777" w:rsidR="00021755" w:rsidRDefault="00021755" w:rsidP="00021755">
      <w:r w:rsidRPr="00364BC1">
        <w:t>Travel time is potentially the longest component of total response time. The distance between the fire station and the location of the emergency influences total response time the most. The quality and connectivity of streets, traffic congestion, and geography all play crucial roles in travel time</w:t>
      </w:r>
      <w:r>
        <w:t xml:space="preserve"> performance</w:t>
      </w:r>
      <w:r w:rsidRPr="00364BC1">
        <w:t>.</w:t>
      </w:r>
      <w:r>
        <w:t xml:space="preserve"> The use of traffic control technology (signal pre-emption devices), closest unit dispatch using automatic vehicle location (AVL), and mobile data terminals with vehicle routing software are examples of using modern technology to reduce the travel time and improve response performance. Note that PFD is pursuing all of these technological means to improve response performance. ESCI commends PFD and City of Pasco leaders for these efforts.</w:t>
      </w:r>
    </w:p>
    <w:p w14:paraId="339591DB" w14:textId="43846B13" w:rsidR="00021755" w:rsidRDefault="00021755" w:rsidP="00021755">
      <w:r>
        <w:t xml:space="preserve">The travel time models in the </w:t>
      </w:r>
      <w:r w:rsidRPr="002D1417">
        <w:rPr>
          <w:i/>
        </w:rPr>
        <w:t>Distribution Study</w:t>
      </w:r>
      <w:r>
        <w:t xml:space="preserve"> demonstrate that PFD apparatus have the potential to reach over 90 percent of service demand in six </w:t>
      </w:r>
      <w:r w:rsidR="005C4E67">
        <w:t>minutes or less travel time</w:t>
      </w:r>
      <w:r>
        <w:t xml:space="preserve">. </w:t>
      </w:r>
      <w:r>
        <w:fldChar w:fldCharType="begin"/>
      </w:r>
      <w:r>
        <w:instrText xml:space="preserve"> REF _Ref455400779 \h </w:instrText>
      </w:r>
      <w:r>
        <w:fldChar w:fldCharType="separate"/>
      </w:r>
      <w:r w:rsidR="008209A2">
        <w:t xml:space="preserve">Figure </w:t>
      </w:r>
      <w:r w:rsidR="008209A2">
        <w:rPr>
          <w:noProof/>
        </w:rPr>
        <w:t>76</w:t>
      </w:r>
      <w:r>
        <w:fldChar w:fldCharType="end"/>
      </w:r>
      <w:r>
        <w:t xml:space="preserve"> shows that PFD overall actual travel time performance is slightly over six minutes (06:02 at 90 percent</w:t>
      </w:r>
      <w:r w:rsidRPr="005C4E67">
        <w:t>). However, PFD is unable to assemble adequate resources from the three currently staffed stations to assemble a full first alarm assignment to mitigate a fire suppression event beyond the capabilities of a single engine. Additionally, as discussed elsewhere in this report, future growth and increasing service demand will negatively affect travel time performance in the future.</w:t>
      </w:r>
    </w:p>
    <w:p w14:paraId="0C095D6C" w14:textId="77777777" w:rsidR="00021755" w:rsidRDefault="00021755" w:rsidP="00021755">
      <w:pPr>
        <w:pStyle w:val="Heading4"/>
      </w:pPr>
      <w:r>
        <w:t>Total Response Time</w:t>
      </w:r>
    </w:p>
    <w:p w14:paraId="5E51AA0F" w14:textId="384E9719" w:rsidR="00021755" w:rsidRDefault="002D1417" w:rsidP="00021755">
      <w:pPr>
        <w:rPr>
          <w:rFonts w:asciiTheme="majorHAnsi" w:eastAsia="Calibri" w:hAnsiTheme="majorHAnsi" w:cs="Arial"/>
        </w:rPr>
      </w:pPr>
      <w:r>
        <w:t>I</w:t>
      </w:r>
      <w:r w:rsidR="00021755">
        <w:t>ndustry best practices recommend tracking and recording the individual components of total response time</w:t>
      </w:r>
      <w:r w:rsidR="00021755" w:rsidRPr="00BB1F4B">
        <w:rPr>
          <w:rFonts w:asciiTheme="majorHAnsi" w:eastAsia="Calibri" w:hAnsiTheme="majorHAnsi" w:cs="Arial"/>
        </w:rPr>
        <w:t>.</w:t>
      </w:r>
      <w:r w:rsidR="00021755">
        <w:rPr>
          <w:rFonts w:asciiTheme="majorHAnsi" w:eastAsia="Calibri" w:hAnsiTheme="majorHAnsi" w:cs="Arial"/>
        </w:rPr>
        <w:t xml:space="preserve"> </w:t>
      </w:r>
      <w:r w:rsidR="00021755" w:rsidRPr="00BB1F4B">
        <w:rPr>
          <w:rFonts w:asciiTheme="majorHAnsi" w:eastAsia="Calibri" w:hAnsiTheme="majorHAnsi" w:cs="Arial"/>
        </w:rPr>
        <w:t xml:space="preserve">By tracking the individual components of total response time, </w:t>
      </w:r>
      <w:r w:rsidR="00021755">
        <w:rPr>
          <w:rFonts w:asciiTheme="majorHAnsi" w:eastAsia="Calibri" w:hAnsiTheme="majorHAnsi" w:cs="Arial"/>
        </w:rPr>
        <w:t>fire jurisdictions</w:t>
      </w:r>
      <w:r w:rsidR="00021755" w:rsidRPr="00BB1F4B">
        <w:rPr>
          <w:rFonts w:asciiTheme="majorHAnsi" w:eastAsia="Calibri" w:hAnsiTheme="majorHAnsi" w:cs="Arial"/>
        </w:rPr>
        <w:t xml:space="preserve"> </w:t>
      </w:r>
      <w:r w:rsidR="00021755">
        <w:rPr>
          <w:rFonts w:asciiTheme="majorHAnsi" w:eastAsia="Calibri" w:hAnsiTheme="majorHAnsi" w:cs="Arial"/>
        </w:rPr>
        <w:t>are able</w:t>
      </w:r>
      <w:r w:rsidR="00021755" w:rsidRPr="00BB1F4B">
        <w:rPr>
          <w:rFonts w:asciiTheme="majorHAnsi" w:eastAsia="Calibri" w:hAnsiTheme="majorHAnsi" w:cs="Arial"/>
        </w:rPr>
        <w:t xml:space="preserve"> to identify and correct specific deficiencies.</w:t>
      </w:r>
      <w:r w:rsidR="00021755">
        <w:rPr>
          <w:rFonts w:asciiTheme="majorHAnsi" w:eastAsia="Calibri" w:hAnsiTheme="majorHAnsi" w:cs="Arial"/>
        </w:rPr>
        <w:t xml:space="preserve"> PFD appropriately follows the </w:t>
      </w:r>
      <w:r w:rsidR="00B62D51">
        <w:rPr>
          <w:rFonts w:asciiTheme="majorHAnsi" w:eastAsia="Calibri" w:hAnsiTheme="majorHAnsi" w:cs="Arial"/>
        </w:rPr>
        <w:t>provisions</w:t>
      </w:r>
      <w:r w:rsidR="00021755">
        <w:rPr>
          <w:rFonts w:asciiTheme="majorHAnsi" w:eastAsia="Calibri" w:hAnsiTheme="majorHAnsi" w:cs="Arial"/>
        </w:rPr>
        <w:t xml:space="preserve"> of RCW 35.103</w:t>
      </w:r>
      <w:r w:rsidR="00B62D51">
        <w:rPr>
          <w:rFonts w:asciiTheme="majorHAnsi" w:eastAsia="Calibri" w:hAnsiTheme="majorHAnsi" w:cs="Arial"/>
        </w:rPr>
        <w:t xml:space="preserve">/RCW 35A.92 </w:t>
      </w:r>
      <w:r w:rsidR="00021755" w:rsidRPr="001D7C84">
        <w:rPr>
          <w:rFonts w:asciiTheme="majorHAnsi" w:eastAsia="Calibri" w:hAnsiTheme="majorHAnsi" w:cs="Arial"/>
          <w:i/>
        </w:rPr>
        <w:t>Fire Departments: Performance Measures</w:t>
      </w:r>
      <w:r w:rsidR="00021755">
        <w:rPr>
          <w:rFonts w:asciiTheme="majorHAnsi" w:eastAsia="Calibri" w:hAnsiTheme="majorHAnsi" w:cs="Arial"/>
        </w:rPr>
        <w:t xml:space="preserve">, </w:t>
      </w:r>
      <w:r w:rsidR="00B62D51">
        <w:rPr>
          <w:rFonts w:asciiTheme="majorHAnsi" w:eastAsia="Calibri" w:hAnsiTheme="majorHAnsi" w:cs="Arial"/>
        </w:rPr>
        <w:t>in</w:t>
      </w:r>
      <w:r w:rsidR="00021755">
        <w:rPr>
          <w:rFonts w:asciiTheme="majorHAnsi" w:eastAsia="Calibri" w:hAnsiTheme="majorHAnsi" w:cs="Arial"/>
        </w:rPr>
        <w:t xml:space="preserve"> establish</w:t>
      </w:r>
      <w:r w:rsidR="00B62D51">
        <w:rPr>
          <w:rFonts w:asciiTheme="majorHAnsi" w:eastAsia="Calibri" w:hAnsiTheme="majorHAnsi" w:cs="Arial"/>
        </w:rPr>
        <w:t xml:space="preserve">ing the metrics of </w:t>
      </w:r>
      <w:r>
        <w:rPr>
          <w:rFonts w:asciiTheme="majorHAnsi" w:eastAsia="Calibri" w:hAnsiTheme="majorHAnsi" w:cs="Arial"/>
        </w:rPr>
        <w:t>its</w:t>
      </w:r>
      <w:r w:rsidR="00021755">
        <w:rPr>
          <w:rFonts w:asciiTheme="majorHAnsi" w:eastAsia="Calibri" w:hAnsiTheme="majorHAnsi" w:cs="Arial"/>
        </w:rPr>
        <w:t xml:space="preserve"> performance. The following figure displays PFD overall emergency response performance for 2014 through 2015. Non-emergent incidents, mutual or automatic aid responses given outside of Pasco, cancelled calls, data outliers, and invalid data points </w:t>
      </w:r>
      <w:r>
        <w:rPr>
          <w:rFonts w:asciiTheme="majorHAnsi" w:eastAsia="Calibri" w:hAnsiTheme="majorHAnsi" w:cs="Arial"/>
        </w:rPr>
        <w:t>have been</w:t>
      </w:r>
      <w:r w:rsidR="00021755">
        <w:rPr>
          <w:rFonts w:asciiTheme="majorHAnsi" w:eastAsia="Calibri" w:hAnsiTheme="majorHAnsi" w:cs="Arial"/>
        </w:rPr>
        <w:t xml:space="preserve"> removed from the data set.    </w:t>
      </w:r>
    </w:p>
    <w:p w14:paraId="7DF5F9A1" w14:textId="2BF2AD96" w:rsidR="00021755" w:rsidRDefault="00021755" w:rsidP="002D1417">
      <w:pPr>
        <w:pStyle w:val="Caption"/>
      </w:pPr>
      <w:bookmarkStart w:id="256" w:name="_Toc464323720"/>
      <w:r>
        <w:t xml:space="preserve">Figure </w:t>
      </w:r>
      <w:r w:rsidR="00432AD4">
        <w:fldChar w:fldCharType="begin"/>
      </w:r>
      <w:r w:rsidR="00432AD4">
        <w:instrText xml:space="preserve"> SEQ Figure \* ARABIC </w:instrText>
      </w:r>
      <w:r w:rsidR="00432AD4">
        <w:fldChar w:fldCharType="separate"/>
      </w:r>
      <w:r w:rsidR="008209A2">
        <w:rPr>
          <w:noProof/>
        </w:rPr>
        <w:t>78</w:t>
      </w:r>
      <w:r w:rsidR="00432AD4">
        <w:rPr>
          <w:noProof/>
        </w:rPr>
        <w:fldChar w:fldCharType="end"/>
      </w:r>
      <w:r>
        <w:t>: PFD Overall Response Performance, 2014-2015</w:t>
      </w:r>
      <w:bookmarkEnd w:id="256"/>
    </w:p>
    <w:p w14:paraId="6076A32D" w14:textId="77777777" w:rsidR="00021755" w:rsidRDefault="00021755" w:rsidP="00021755">
      <w:pPr>
        <w:jc w:val="center"/>
      </w:pPr>
      <w:r>
        <w:rPr>
          <w:noProof/>
          <w:lang w:eastAsia="en-US"/>
        </w:rPr>
        <w:drawing>
          <wp:inline distT="0" distB="0" distL="0" distR="0" wp14:anchorId="6429B362" wp14:editId="764E0A74">
            <wp:extent cx="5212080" cy="3200400"/>
            <wp:effectExtent l="0" t="0" r="7620" b="0"/>
            <wp:docPr id="64" name="Chart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425EE1C5" w14:textId="38FFFDCE" w:rsidR="00021755" w:rsidRDefault="00021755" w:rsidP="00021755">
      <w:pPr>
        <w:rPr>
          <w:rFonts w:asciiTheme="majorHAnsi" w:eastAsia="Calibri" w:hAnsiTheme="majorHAnsi" w:cs="Arial"/>
        </w:rPr>
      </w:pPr>
      <w:r>
        <w:rPr>
          <w:rFonts w:asciiTheme="majorHAnsi" w:eastAsia="Calibri" w:hAnsiTheme="majorHAnsi" w:cs="Arial"/>
        </w:rPr>
        <w:t>Note that call processing time is not included in the calculation of response time in this figure. Although PFD monitors call processing time, the data provided to ESCI did not include the time the 911 center received the initial call, therefore response performance is measured from the time PFD is dispatched to the arrival of the first unit on scene. This is a commonly used measurement of response time, espe</w:t>
      </w:r>
      <w:r w:rsidR="002D1417">
        <w:rPr>
          <w:rFonts w:asciiTheme="majorHAnsi" w:eastAsia="Calibri" w:hAnsiTheme="majorHAnsi" w:cs="Arial"/>
        </w:rPr>
        <w:t>cially for agencies such as PFD that are</w:t>
      </w:r>
      <w:r>
        <w:rPr>
          <w:rFonts w:asciiTheme="majorHAnsi" w:eastAsia="Calibri" w:hAnsiTheme="majorHAnsi" w:cs="Arial"/>
        </w:rPr>
        <w:t xml:space="preserve"> dispatched by a separate dispatch center.</w:t>
      </w:r>
    </w:p>
    <w:p w14:paraId="4D081609" w14:textId="0A1904E1" w:rsidR="00021755" w:rsidRDefault="00021755" w:rsidP="00021755">
      <w:pPr>
        <w:rPr>
          <w:rFonts w:asciiTheme="majorHAnsi" w:eastAsia="Calibri" w:hAnsiTheme="majorHAnsi" w:cs="Arial"/>
        </w:rPr>
      </w:pPr>
      <w:r>
        <w:rPr>
          <w:rFonts w:asciiTheme="majorHAnsi" w:eastAsia="Calibri" w:hAnsiTheme="majorHAnsi" w:cs="Arial"/>
        </w:rPr>
        <w:t xml:space="preserve">The most frequent response time in the data displayed above occurred between five and six minutes. Cumulatively, PFD units arrived at over 73 percent (73.2 percent) of emergency incidents in six minutes or less from the time PFD was dispatched to the incident. The first unit on scene arrived at 90 percent of emergency incidents in </w:t>
      </w:r>
      <w:r w:rsidR="002D1417">
        <w:rPr>
          <w:rFonts w:asciiTheme="majorHAnsi" w:eastAsia="Calibri" w:hAnsiTheme="majorHAnsi" w:cs="Arial"/>
        </w:rPr>
        <w:t>7</w:t>
      </w:r>
      <w:r>
        <w:rPr>
          <w:rFonts w:asciiTheme="majorHAnsi" w:eastAsia="Calibri" w:hAnsiTheme="majorHAnsi" w:cs="Arial"/>
        </w:rPr>
        <w:t xml:space="preserve"> minutes </w:t>
      </w:r>
      <w:r w:rsidR="002D1417">
        <w:rPr>
          <w:rFonts w:asciiTheme="majorHAnsi" w:eastAsia="Calibri" w:hAnsiTheme="majorHAnsi" w:cs="Arial"/>
        </w:rPr>
        <w:t>15</w:t>
      </w:r>
      <w:r>
        <w:rPr>
          <w:rFonts w:asciiTheme="majorHAnsi" w:eastAsia="Calibri" w:hAnsiTheme="majorHAnsi" w:cs="Arial"/>
        </w:rPr>
        <w:t xml:space="preserve"> seconds or less from the time units were dispatched.</w:t>
      </w:r>
    </w:p>
    <w:p w14:paraId="4A423E72" w14:textId="7CDCEF3F" w:rsidR="00021755" w:rsidRDefault="00021755" w:rsidP="00021755">
      <w:pPr>
        <w:rPr>
          <w:rFonts w:asciiTheme="majorHAnsi" w:eastAsia="Calibri" w:hAnsiTheme="majorHAnsi" w:cs="Arial"/>
        </w:rPr>
      </w:pPr>
      <w:r>
        <w:rPr>
          <w:rFonts w:asciiTheme="majorHAnsi" w:eastAsia="Calibri" w:hAnsiTheme="majorHAnsi" w:cs="Arial"/>
        </w:rPr>
        <w:t xml:space="preserve">In ESCI’s experience, Pasco Fire Department’s response performance compares favorably to that of similarly configured fire jurisdictions, which provide similar services to comparable service areas and population. PFD is to be commended for providing a high level of service with a relatively low number of resources when compared to other fire jurisdictions. </w:t>
      </w:r>
    </w:p>
    <w:p w14:paraId="6A6279D2" w14:textId="5DA0ECE6" w:rsidR="00021755" w:rsidRDefault="00021755" w:rsidP="00021755">
      <w:pPr>
        <w:rPr>
          <w:rFonts w:asciiTheme="majorHAnsi" w:eastAsia="Calibri" w:hAnsiTheme="majorHAnsi" w:cs="Arial"/>
        </w:rPr>
      </w:pPr>
      <w:r>
        <w:rPr>
          <w:rFonts w:asciiTheme="majorHAnsi" w:eastAsia="Calibri" w:hAnsiTheme="majorHAnsi" w:cs="Arial"/>
        </w:rPr>
        <w:t>PFD has appropriately established performance standards that meet the requirements of the Revised Code of Washington and allow PFD leaders to identify deficiencies and areas for improvement. Additionally, PFD performance goals are achievable, fiscally responsible, and appear to meet commu</w:t>
      </w:r>
      <w:r w:rsidR="002D1417">
        <w:rPr>
          <w:rFonts w:asciiTheme="majorHAnsi" w:eastAsia="Calibri" w:hAnsiTheme="majorHAnsi" w:cs="Arial"/>
        </w:rPr>
        <w:t>nity expectations. Note that</w:t>
      </w:r>
      <w:r>
        <w:rPr>
          <w:rFonts w:asciiTheme="majorHAnsi" w:eastAsia="Calibri" w:hAnsiTheme="majorHAnsi" w:cs="Arial"/>
        </w:rPr>
        <w:t xml:space="preserve"> </w:t>
      </w:r>
      <w:r w:rsidRPr="002D1417">
        <w:rPr>
          <w:rFonts w:asciiTheme="majorHAnsi" w:eastAsia="Calibri" w:hAnsiTheme="majorHAnsi" w:cs="Arial"/>
          <w:i/>
        </w:rPr>
        <w:t>NFPA 1710</w:t>
      </w:r>
      <w:r>
        <w:rPr>
          <w:rFonts w:asciiTheme="majorHAnsi" w:eastAsia="Calibri" w:hAnsiTheme="majorHAnsi" w:cs="Arial"/>
        </w:rPr>
        <w:t xml:space="preserve"> </w:t>
      </w:r>
      <w:r w:rsidR="002D1417">
        <w:rPr>
          <w:rFonts w:asciiTheme="majorHAnsi" w:eastAsia="Calibri" w:hAnsiTheme="majorHAnsi" w:cs="Arial"/>
        </w:rPr>
        <w:t>as</w:t>
      </w:r>
      <w:r>
        <w:rPr>
          <w:rFonts w:asciiTheme="majorHAnsi" w:eastAsia="Calibri" w:hAnsiTheme="majorHAnsi" w:cs="Arial"/>
        </w:rPr>
        <w:t xml:space="preserve"> referenced throughout the </w:t>
      </w:r>
      <w:r w:rsidRPr="002D1417">
        <w:rPr>
          <w:rFonts w:asciiTheme="majorHAnsi" w:eastAsia="Calibri" w:hAnsiTheme="majorHAnsi" w:cs="Arial"/>
          <w:i/>
        </w:rPr>
        <w:t>Response Performance Summary</w:t>
      </w:r>
      <w:r>
        <w:rPr>
          <w:rFonts w:asciiTheme="majorHAnsi" w:eastAsia="Calibri" w:hAnsiTheme="majorHAnsi" w:cs="Arial"/>
        </w:rPr>
        <w:t xml:space="preserve"> is simply a point of reference. The NFPA standard is not a mandate or codified. However, </w:t>
      </w:r>
      <w:r w:rsidRPr="002D1417">
        <w:rPr>
          <w:rFonts w:asciiTheme="majorHAnsi" w:eastAsia="Calibri" w:hAnsiTheme="majorHAnsi" w:cs="Arial"/>
          <w:i/>
        </w:rPr>
        <w:t>NFPA 1710</w:t>
      </w:r>
      <w:r>
        <w:rPr>
          <w:rFonts w:asciiTheme="majorHAnsi" w:eastAsia="Calibri" w:hAnsiTheme="majorHAnsi" w:cs="Arial"/>
        </w:rPr>
        <w:t xml:space="preserve"> is a national consensus standard and should be viewed as a desirable goal. </w:t>
      </w:r>
    </w:p>
    <w:p w14:paraId="5EE86865" w14:textId="6A8B0376" w:rsidR="00021755" w:rsidRDefault="00021755" w:rsidP="00021755">
      <w:pPr>
        <w:rPr>
          <w:rFonts w:asciiTheme="majorHAnsi" w:eastAsia="Calibri" w:hAnsiTheme="majorHAnsi" w:cs="Arial"/>
        </w:rPr>
      </w:pPr>
      <w:r>
        <w:rPr>
          <w:rFonts w:asciiTheme="majorHAnsi" w:eastAsia="Calibri" w:hAnsiTheme="majorHAnsi" w:cs="Arial"/>
        </w:rPr>
        <w:t>Looking to the future from a response performance perspective</w:t>
      </w:r>
      <w:r w:rsidR="002D1417">
        <w:rPr>
          <w:rFonts w:asciiTheme="majorHAnsi" w:eastAsia="Calibri" w:hAnsiTheme="majorHAnsi" w:cs="Arial"/>
        </w:rPr>
        <w:t>,</w:t>
      </w:r>
      <w:r>
        <w:rPr>
          <w:rFonts w:asciiTheme="majorHAnsi" w:eastAsia="Calibri" w:hAnsiTheme="majorHAnsi" w:cs="Arial"/>
        </w:rPr>
        <w:t xml:space="preserve"> the Pasco Fire Department faces t</w:t>
      </w:r>
      <w:r w:rsidR="0009125C">
        <w:rPr>
          <w:rFonts w:asciiTheme="majorHAnsi" w:eastAsia="Calibri" w:hAnsiTheme="majorHAnsi" w:cs="Arial"/>
        </w:rPr>
        <w:t>hree</w:t>
      </w:r>
      <w:r>
        <w:rPr>
          <w:rFonts w:asciiTheme="majorHAnsi" w:eastAsia="Calibri" w:hAnsiTheme="majorHAnsi" w:cs="Arial"/>
        </w:rPr>
        <w:t xml:space="preserve"> challenges. The first challenge is to maintain or improve on the currently adopted PFD response performance standards. The second challenge is to reduce the time required to assemble adequate resources to handle higher risk incidents or provide additional resources to deal with multiple simultaneous incidents. </w:t>
      </w:r>
      <w:r w:rsidR="0009125C">
        <w:rPr>
          <w:rFonts w:asciiTheme="majorHAnsi" w:eastAsia="Calibri" w:hAnsiTheme="majorHAnsi" w:cs="Arial"/>
        </w:rPr>
        <w:t>The third challenge is to increase the assembly of resources to achieve an effective response force.</w:t>
      </w:r>
    </w:p>
    <w:p w14:paraId="14F9D53E" w14:textId="77777777" w:rsidR="00021755" w:rsidRDefault="00021755" w:rsidP="00021755">
      <w:pPr>
        <w:pStyle w:val="Heading3"/>
        <w:rPr>
          <w:rFonts w:eastAsia="Calibri"/>
        </w:rPr>
      </w:pPr>
      <w:bookmarkStart w:id="257" w:name="_Toc464323607"/>
      <w:r>
        <w:rPr>
          <w:rFonts w:eastAsia="Calibri"/>
        </w:rPr>
        <w:t>Mutual and Automatic Aid Systems</w:t>
      </w:r>
      <w:bookmarkEnd w:id="257"/>
    </w:p>
    <w:p w14:paraId="4F766A3D" w14:textId="667A5995" w:rsidR="00021755" w:rsidRDefault="00021755" w:rsidP="00021755">
      <w:pPr>
        <w:rPr>
          <w:rFonts w:cs="Calibri"/>
        </w:rPr>
      </w:pPr>
      <w:r w:rsidRPr="00D247B3">
        <w:rPr>
          <w:rFonts w:cs="Calibri"/>
        </w:rPr>
        <w:t xml:space="preserve">There are numerous mutual aid agreements, both formal and informal, in place between fire, police, and emergency medical agencies in </w:t>
      </w:r>
      <w:r w:rsidR="008F4E63">
        <w:rPr>
          <w:rFonts w:cs="Calibri"/>
        </w:rPr>
        <w:t xml:space="preserve">the </w:t>
      </w:r>
      <w:r>
        <w:rPr>
          <w:rFonts w:cs="Calibri"/>
        </w:rPr>
        <w:t>Tri</w:t>
      </w:r>
      <w:r w:rsidR="008F4E63">
        <w:rPr>
          <w:rFonts w:cs="Calibri"/>
        </w:rPr>
        <w:t>-</w:t>
      </w:r>
      <w:r>
        <w:rPr>
          <w:rFonts w:cs="Calibri"/>
        </w:rPr>
        <w:t>Cities area</w:t>
      </w:r>
      <w:r w:rsidRPr="00D247B3">
        <w:rPr>
          <w:rFonts w:cs="Calibri"/>
        </w:rPr>
        <w:t xml:space="preserve">.  Mutual aid is typically employed on an “as needed” basis where units are called for and specified one by one through an </w:t>
      </w:r>
      <w:r w:rsidR="008F4E63" w:rsidRPr="00D247B3">
        <w:rPr>
          <w:rFonts w:cs="Calibri"/>
        </w:rPr>
        <w:t>incident comm</w:t>
      </w:r>
      <w:r w:rsidRPr="00D247B3">
        <w:rPr>
          <w:rFonts w:cs="Calibri"/>
        </w:rPr>
        <w:t>ander.</w:t>
      </w:r>
    </w:p>
    <w:p w14:paraId="0CD68147" w14:textId="1F0C9456" w:rsidR="00021755" w:rsidRDefault="00021755" w:rsidP="00021755">
      <w:pPr>
        <w:rPr>
          <w:rFonts w:cs="Calibri"/>
        </w:rPr>
      </w:pPr>
      <w:r w:rsidRPr="00D247B3">
        <w:rPr>
          <w:rFonts w:cs="Calibri"/>
        </w:rPr>
        <w:t>Automatic aid agreements differ from mutual aid agreements in that under certain mutually agreed upon criteria, resources from the assisting agency are automatically dispatched as part of the initial response.  These agreements facilitate closest unit dispatch to emergencies in boundary areas and allow for the dispatch of additional apparatus and personnel to specific predefined emergencies.</w:t>
      </w:r>
      <w:r>
        <w:rPr>
          <w:rFonts w:cs="Calibri"/>
        </w:rPr>
        <w:t xml:space="preserve"> The following figure displays PFD mutual and automatic aid activity </w:t>
      </w:r>
      <w:r w:rsidR="00C12FCA">
        <w:rPr>
          <w:rFonts w:cs="Calibri"/>
        </w:rPr>
        <w:t xml:space="preserve">by </w:t>
      </w:r>
      <w:r w:rsidR="00732211">
        <w:rPr>
          <w:rFonts w:cs="Calibri"/>
        </w:rPr>
        <w:t>frequency</w:t>
      </w:r>
      <w:r w:rsidR="00C12FCA">
        <w:rPr>
          <w:rFonts w:cs="Calibri"/>
        </w:rPr>
        <w:t xml:space="preserve"> </w:t>
      </w:r>
      <w:r w:rsidR="00564367">
        <w:rPr>
          <w:rFonts w:cs="Calibri"/>
        </w:rPr>
        <w:t xml:space="preserve">and by hours </w:t>
      </w:r>
      <w:r>
        <w:rPr>
          <w:rFonts w:cs="Calibri"/>
        </w:rPr>
        <w:t>in 2015.</w:t>
      </w:r>
    </w:p>
    <w:p w14:paraId="1C2A2F7A" w14:textId="1D8C0FF6" w:rsidR="00021755" w:rsidRDefault="00021755" w:rsidP="00564367">
      <w:pPr>
        <w:pStyle w:val="Caption"/>
        <w:spacing w:after="60"/>
      </w:pPr>
      <w:bookmarkStart w:id="258" w:name="_Toc464323721"/>
      <w:r>
        <w:t xml:space="preserve">Figure </w:t>
      </w:r>
      <w:r w:rsidR="00432AD4">
        <w:fldChar w:fldCharType="begin"/>
      </w:r>
      <w:r w:rsidR="00432AD4">
        <w:instrText xml:space="preserve"> SEQ Figure \* ARABIC </w:instrText>
      </w:r>
      <w:r w:rsidR="00432AD4">
        <w:fldChar w:fldCharType="separate"/>
      </w:r>
      <w:r w:rsidR="008209A2">
        <w:rPr>
          <w:noProof/>
        </w:rPr>
        <w:t>79</w:t>
      </w:r>
      <w:r w:rsidR="00432AD4">
        <w:rPr>
          <w:noProof/>
        </w:rPr>
        <w:fldChar w:fldCharType="end"/>
      </w:r>
      <w:r w:rsidR="008F4E63">
        <w:t xml:space="preserve">: </w:t>
      </w:r>
      <w:r>
        <w:t>Mutual and Automatic Aid, 2015</w:t>
      </w:r>
      <w:bookmarkEnd w:id="258"/>
    </w:p>
    <w:p w14:paraId="370DA6D8" w14:textId="7579086B" w:rsidR="00564367" w:rsidRPr="00564367" w:rsidRDefault="00732211" w:rsidP="00193270">
      <w:pPr>
        <w:jc w:val="center"/>
      </w:pPr>
      <w:r w:rsidRPr="00732211">
        <w:rPr>
          <w:noProof/>
          <w:lang w:eastAsia="en-US"/>
        </w:rPr>
        <w:drawing>
          <wp:inline distT="0" distB="0" distL="0" distR="0" wp14:anchorId="17682217" wp14:editId="0D6EF9FD">
            <wp:extent cx="2447925" cy="714375"/>
            <wp:effectExtent l="0" t="0" r="9525" b="952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447925" cy="714375"/>
                    </a:xfrm>
                    <a:prstGeom prst="rect">
                      <a:avLst/>
                    </a:prstGeom>
                    <a:noFill/>
                    <a:ln>
                      <a:noFill/>
                    </a:ln>
                  </pic:spPr>
                </pic:pic>
              </a:graphicData>
            </a:graphic>
          </wp:inline>
        </w:drawing>
      </w:r>
    </w:p>
    <w:p w14:paraId="14968DE0" w14:textId="460F28ED" w:rsidR="00C12FCA" w:rsidRDefault="00021755" w:rsidP="00193270">
      <w:pPr>
        <w:spacing w:before="240"/>
      </w:pPr>
      <w:r>
        <w:t xml:space="preserve">Examination of the data reveals that approximately 61 percent of aid received by PFD involved fire incidents. Approximately 66 percent of the aid given by PFD </w:t>
      </w:r>
      <w:r w:rsidR="008F4E63">
        <w:t>involved</w:t>
      </w:r>
      <w:r>
        <w:t xml:space="preserve"> EMS incidents. </w:t>
      </w:r>
      <w:r w:rsidR="00564367">
        <w:t>The frequency of assistance PFD provides other departments is much higher than PFD receives, but the time spent providing assistance versus the time spent receiving assistance tells another story</w:t>
      </w:r>
      <w:r w:rsidR="00C12FCA">
        <w:t>.</w:t>
      </w:r>
      <w:r w:rsidR="00564367">
        <w:t xml:space="preserve">  </w:t>
      </w:r>
      <w:r w:rsidR="00732211">
        <w:t>The frequency of aid given by PFD is high relative to what it receives, but the amount of time PFD commits to providing assistance to others is significantly lower than it receives from others.</w:t>
      </w:r>
    </w:p>
    <w:p w14:paraId="75427DA7" w14:textId="77777777" w:rsidR="008F4E63" w:rsidRDefault="00021755" w:rsidP="00021755">
      <w:pPr>
        <w:rPr>
          <w:rFonts w:asciiTheme="majorHAnsi" w:eastAsia="Calibri" w:hAnsiTheme="majorHAnsi" w:cs="Arial"/>
          <w:szCs w:val="24"/>
        </w:rPr>
      </w:pPr>
      <w:r w:rsidRPr="00BB1F4B">
        <w:rPr>
          <w:rFonts w:asciiTheme="majorHAnsi" w:eastAsia="Calibri" w:hAnsiTheme="majorHAnsi" w:cs="Arial"/>
          <w:szCs w:val="24"/>
        </w:rPr>
        <w:t xml:space="preserve">One primary purpose of mutual or automatic aid agreements is to improve the regional application of resources and staffing. Cooperative efforts between jurisdictions </w:t>
      </w:r>
      <w:r>
        <w:rPr>
          <w:rFonts w:asciiTheme="majorHAnsi" w:eastAsia="Calibri" w:hAnsiTheme="majorHAnsi" w:cs="Arial"/>
          <w:szCs w:val="24"/>
        </w:rPr>
        <w:t>are an effective means</w:t>
      </w:r>
      <w:r w:rsidRPr="00BB1F4B">
        <w:rPr>
          <w:rFonts w:asciiTheme="majorHAnsi" w:eastAsia="Calibri" w:hAnsiTheme="majorHAnsi" w:cs="Arial"/>
          <w:szCs w:val="24"/>
        </w:rPr>
        <w:t xml:space="preserve"> to bolster a community’s fire protection resources or to reduce unnecessary redundancy and overlap between communities.</w:t>
      </w:r>
      <w:r>
        <w:rPr>
          <w:rFonts w:asciiTheme="majorHAnsi" w:eastAsia="Calibri" w:hAnsiTheme="majorHAnsi" w:cs="Arial"/>
          <w:szCs w:val="24"/>
        </w:rPr>
        <w:t xml:space="preserve"> This is especially important in an area such as the Tri-Cities. As a metropolitan area with an estimated population of over 270,000, demand for emergency services is amplified in the individual communities that make up the Tri-Cities.  </w:t>
      </w:r>
    </w:p>
    <w:p w14:paraId="2EC6DC05" w14:textId="78816B28" w:rsidR="00021755" w:rsidRDefault="00021755" w:rsidP="00021755">
      <w:pPr>
        <w:rPr>
          <w:rFonts w:asciiTheme="majorHAnsi" w:eastAsia="Calibri" w:hAnsiTheme="majorHAnsi" w:cs="Arial"/>
          <w:szCs w:val="24"/>
        </w:rPr>
      </w:pPr>
      <w:r>
        <w:rPr>
          <w:rFonts w:asciiTheme="majorHAnsi" w:eastAsia="Calibri" w:hAnsiTheme="majorHAnsi" w:cs="Arial"/>
          <w:szCs w:val="24"/>
        </w:rPr>
        <w:t xml:space="preserve">Technological issues </w:t>
      </w:r>
      <w:r w:rsidR="0009125C">
        <w:rPr>
          <w:rFonts w:asciiTheme="majorHAnsi" w:eastAsia="Calibri" w:hAnsiTheme="majorHAnsi" w:cs="Arial"/>
          <w:szCs w:val="24"/>
        </w:rPr>
        <w:t xml:space="preserve">related to </w:t>
      </w:r>
      <w:r>
        <w:rPr>
          <w:rFonts w:asciiTheme="majorHAnsi" w:eastAsia="Calibri" w:hAnsiTheme="majorHAnsi" w:cs="Arial"/>
          <w:szCs w:val="24"/>
        </w:rPr>
        <w:t xml:space="preserve">passing emergency dispatch information between the Franklin and Benton County Communications Centers hampers effective automatic aid between Tri-Cities fire jurisdictions. ESCI encourages PFD to work cooperatively with other Tri-Cities fire jurisdictions and the county dispatch centers to resolve technological barriers. Also, consider establishing a </w:t>
      </w:r>
      <w:r w:rsidR="008F4E63">
        <w:rPr>
          <w:rFonts w:asciiTheme="majorHAnsi" w:eastAsia="Calibri" w:hAnsiTheme="majorHAnsi" w:cs="Arial"/>
          <w:szCs w:val="24"/>
        </w:rPr>
        <w:t>single regional dispatch center</w:t>
      </w:r>
      <w:r>
        <w:rPr>
          <w:rFonts w:asciiTheme="majorHAnsi" w:eastAsia="Calibri" w:hAnsiTheme="majorHAnsi" w:cs="Arial"/>
          <w:szCs w:val="24"/>
        </w:rPr>
        <w:t xml:space="preserve"> which </w:t>
      </w:r>
      <w:r w:rsidR="008F4E63">
        <w:rPr>
          <w:rFonts w:asciiTheme="majorHAnsi" w:eastAsia="Calibri" w:hAnsiTheme="majorHAnsi" w:cs="Arial"/>
          <w:szCs w:val="24"/>
        </w:rPr>
        <w:t xml:space="preserve">would </w:t>
      </w:r>
      <w:r>
        <w:rPr>
          <w:rFonts w:asciiTheme="majorHAnsi" w:eastAsia="Calibri" w:hAnsiTheme="majorHAnsi" w:cs="Arial"/>
          <w:szCs w:val="24"/>
        </w:rPr>
        <w:t>handle emergency communications for all Tri-Cities emergency service providers.</w:t>
      </w:r>
    </w:p>
    <w:p w14:paraId="1DF3782C" w14:textId="77777777" w:rsidR="00021755" w:rsidRDefault="00021755" w:rsidP="00021755">
      <w:pPr>
        <w:pStyle w:val="Heading3"/>
        <w:rPr>
          <w:rFonts w:eastAsia="Calibri"/>
        </w:rPr>
      </w:pPr>
      <w:bookmarkStart w:id="259" w:name="_Toc464323608"/>
      <w:r>
        <w:rPr>
          <w:rFonts w:eastAsia="Calibri"/>
        </w:rPr>
        <w:t>Incident Control and Management</w:t>
      </w:r>
      <w:bookmarkEnd w:id="259"/>
    </w:p>
    <w:p w14:paraId="2055E6FC" w14:textId="1ACEB31B" w:rsidR="00021755" w:rsidRPr="00BB1F4B" w:rsidRDefault="00021755" w:rsidP="00021755">
      <w:pPr>
        <w:rPr>
          <w:rFonts w:asciiTheme="majorHAnsi" w:eastAsia="Calibri" w:hAnsiTheme="majorHAnsi" w:cs="Arial"/>
        </w:rPr>
      </w:pPr>
      <w:r>
        <w:rPr>
          <w:rFonts w:asciiTheme="majorHAnsi" w:eastAsia="Calibri" w:hAnsiTheme="majorHAnsi" w:cs="Arial"/>
        </w:rPr>
        <w:t>PFD</w:t>
      </w:r>
      <w:r w:rsidRPr="00BB1F4B">
        <w:rPr>
          <w:rFonts w:asciiTheme="majorHAnsi" w:eastAsia="Calibri" w:hAnsiTheme="majorHAnsi" w:cs="Arial"/>
        </w:rPr>
        <w:t xml:space="preserve"> uses the Incident Command System (ICS) for tactical incident </w:t>
      </w:r>
      <w:r w:rsidR="0009125C">
        <w:rPr>
          <w:rFonts w:asciiTheme="majorHAnsi" w:eastAsia="Calibri" w:hAnsiTheme="majorHAnsi" w:cs="Arial"/>
        </w:rPr>
        <w:t>control</w:t>
      </w:r>
      <w:r w:rsidRPr="00BB1F4B">
        <w:rPr>
          <w:rFonts w:asciiTheme="majorHAnsi" w:eastAsia="Calibri" w:hAnsiTheme="majorHAnsi" w:cs="Arial"/>
        </w:rPr>
        <w:t xml:space="preserve"> and the National Incident Management System (NIMS) as </w:t>
      </w:r>
      <w:r w:rsidR="008F4E63">
        <w:rPr>
          <w:rFonts w:asciiTheme="majorHAnsi" w:eastAsia="Calibri" w:hAnsiTheme="majorHAnsi" w:cs="Arial"/>
        </w:rPr>
        <w:t>its</w:t>
      </w:r>
      <w:r w:rsidRPr="00BB1F4B">
        <w:rPr>
          <w:rFonts w:asciiTheme="majorHAnsi" w:eastAsia="Calibri" w:hAnsiTheme="majorHAnsi" w:cs="Arial"/>
        </w:rPr>
        <w:t xml:space="preserve"> standard management protocol.  These methodologies for managing emergency incidents are widely acce</w:t>
      </w:r>
      <w:r>
        <w:rPr>
          <w:rFonts w:asciiTheme="majorHAnsi" w:eastAsia="Calibri" w:hAnsiTheme="majorHAnsi" w:cs="Arial"/>
        </w:rPr>
        <w:t xml:space="preserve">pted industry standards and are </w:t>
      </w:r>
      <w:r w:rsidRPr="00BB1F4B">
        <w:rPr>
          <w:rFonts w:asciiTheme="majorHAnsi" w:eastAsia="Calibri" w:hAnsiTheme="majorHAnsi" w:cs="Arial"/>
        </w:rPr>
        <w:t xml:space="preserve">incorporated appropriately into </w:t>
      </w:r>
      <w:r>
        <w:rPr>
          <w:rFonts w:asciiTheme="majorHAnsi" w:eastAsia="Calibri" w:hAnsiTheme="majorHAnsi" w:cs="Arial"/>
        </w:rPr>
        <w:t xml:space="preserve">PFD </w:t>
      </w:r>
      <w:r w:rsidRPr="00BB1F4B">
        <w:rPr>
          <w:rFonts w:asciiTheme="majorHAnsi" w:eastAsia="Calibri" w:hAnsiTheme="majorHAnsi" w:cs="Arial"/>
        </w:rPr>
        <w:t>emergency and daily operations.</w:t>
      </w:r>
    </w:p>
    <w:p w14:paraId="1A8B1177" w14:textId="6430AAB7" w:rsidR="00021755" w:rsidRPr="00670501" w:rsidRDefault="00021755" w:rsidP="00021755">
      <w:r w:rsidRPr="00BB1F4B">
        <w:rPr>
          <w:rFonts w:asciiTheme="majorHAnsi" w:eastAsia="Calibri" w:hAnsiTheme="majorHAnsi" w:cs="Arial"/>
        </w:rPr>
        <w:t xml:space="preserve">The </w:t>
      </w:r>
      <w:r w:rsidR="008F4E63">
        <w:rPr>
          <w:rFonts w:asciiTheme="majorHAnsi" w:eastAsia="Calibri" w:hAnsiTheme="majorHAnsi" w:cs="Arial"/>
        </w:rPr>
        <w:t xml:space="preserve">Department’s </w:t>
      </w:r>
      <w:r>
        <w:rPr>
          <w:rFonts w:asciiTheme="majorHAnsi" w:eastAsia="Calibri" w:hAnsiTheme="majorHAnsi" w:cs="Arial"/>
        </w:rPr>
        <w:t>SOG manual</w:t>
      </w:r>
      <w:r w:rsidRPr="00BB1F4B">
        <w:rPr>
          <w:rFonts w:asciiTheme="majorHAnsi" w:eastAsia="Calibri" w:hAnsiTheme="majorHAnsi" w:cs="Arial"/>
        </w:rPr>
        <w:t xml:space="preserve"> addresses the use of the incident command system</w:t>
      </w:r>
      <w:r w:rsidR="008F4E63">
        <w:rPr>
          <w:rFonts w:asciiTheme="majorHAnsi" w:eastAsia="Calibri" w:hAnsiTheme="majorHAnsi" w:cs="Arial"/>
        </w:rPr>
        <w:t xml:space="preserve"> (ICS)</w:t>
      </w:r>
      <w:r w:rsidRPr="00BB1F4B">
        <w:rPr>
          <w:rFonts w:asciiTheme="majorHAnsi" w:eastAsia="Calibri" w:hAnsiTheme="majorHAnsi" w:cs="Arial"/>
        </w:rPr>
        <w:t xml:space="preserve"> on emergency scenes. ICS training is included in the annual training schedule. An emergency scene accountability system </w:t>
      </w:r>
      <w:r>
        <w:rPr>
          <w:rFonts w:asciiTheme="majorHAnsi" w:eastAsia="Calibri" w:hAnsiTheme="majorHAnsi" w:cs="Arial"/>
        </w:rPr>
        <w:t>(P</w:t>
      </w:r>
      <w:r w:rsidR="00230016">
        <w:rPr>
          <w:rFonts w:asciiTheme="majorHAnsi" w:eastAsia="Calibri" w:hAnsiTheme="majorHAnsi" w:cs="Arial"/>
        </w:rPr>
        <w:t>assp</w:t>
      </w:r>
      <w:r>
        <w:rPr>
          <w:rFonts w:asciiTheme="majorHAnsi" w:eastAsia="Calibri" w:hAnsiTheme="majorHAnsi" w:cs="Arial"/>
        </w:rPr>
        <w:t xml:space="preserve">ort System) </w:t>
      </w:r>
      <w:r w:rsidRPr="00BB1F4B">
        <w:rPr>
          <w:rFonts w:asciiTheme="majorHAnsi" w:eastAsia="Calibri" w:hAnsiTheme="majorHAnsi" w:cs="Arial"/>
        </w:rPr>
        <w:t xml:space="preserve">is utilized to insure firefighter safety and accountability. </w:t>
      </w:r>
      <w:r>
        <w:rPr>
          <w:rFonts w:asciiTheme="majorHAnsi" w:eastAsia="Calibri" w:hAnsiTheme="majorHAnsi" w:cs="Arial"/>
        </w:rPr>
        <w:t>P</w:t>
      </w:r>
      <w:r w:rsidRPr="00BB1F4B">
        <w:rPr>
          <w:rFonts w:asciiTheme="majorHAnsi" w:eastAsia="Calibri" w:hAnsiTheme="majorHAnsi" w:cs="Arial"/>
        </w:rPr>
        <w:t xml:space="preserve">FD effectively utilizes the ICS and NIMS for emergency and non-emergency operations. </w:t>
      </w:r>
      <w:r>
        <w:t xml:space="preserve"> </w:t>
      </w:r>
    </w:p>
    <w:p w14:paraId="12446812" w14:textId="0B95CA03" w:rsidR="0009125C" w:rsidRDefault="0009125C">
      <w:pPr>
        <w:spacing w:after="200"/>
        <w:jc w:val="left"/>
        <w:rPr>
          <w:rFonts w:eastAsiaTheme="majorEastAsia" w:cstheme="majorBidi"/>
          <w:b/>
          <w:bCs/>
          <w:color w:val="808080" w:themeColor="background1" w:themeShade="80"/>
          <w:sz w:val="28"/>
          <w:szCs w:val="28"/>
          <w:lang w:eastAsia="en-US"/>
        </w:rPr>
      </w:pPr>
    </w:p>
    <w:p w14:paraId="4653BF78" w14:textId="77777777" w:rsidR="00223EE0" w:rsidRDefault="00223EE0" w:rsidP="00A775DE">
      <w:pPr>
        <w:pStyle w:val="Heading1"/>
        <w:sectPr w:rsidR="00223EE0" w:rsidSect="00160980">
          <w:headerReference w:type="default" r:id="rId94"/>
          <w:type w:val="oddPage"/>
          <w:pgSz w:w="12240" w:h="15840"/>
          <w:pgMar w:top="1440" w:right="1440" w:bottom="1440" w:left="1440" w:header="720" w:footer="720" w:gutter="0"/>
          <w:cols w:space="720"/>
          <w:docGrid w:linePitch="299"/>
        </w:sectPr>
      </w:pPr>
    </w:p>
    <w:p w14:paraId="79D8DC2C" w14:textId="0C738220" w:rsidR="00A775DE" w:rsidRDefault="00A775DE" w:rsidP="00A775DE">
      <w:pPr>
        <w:pStyle w:val="Heading1"/>
      </w:pPr>
      <w:bookmarkStart w:id="260" w:name="_Toc464323609"/>
      <w:r w:rsidRPr="00A904DE">
        <w:t>Future System Demand Projections</w:t>
      </w:r>
      <w:bookmarkEnd w:id="246"/>
      <w:bookmarkEnd w:id="260"/>
    </w:p>
    <w:p w14:paraId="0F837EF2" w14:textId="17003CFF" w:rsidR="00A775DE" w:rsidRPr="003C1E38" w:rsidRDefault="00A775DE" w:rsidP="00A775DE">
      <w:pPr>
        <w:rPr>
          <w:lang w:eastAsia="en-US"/>
        </w:rPr>
      </w:pPr>
      <w:r w:rsidRPr="00BB1F4B">
        <w:rPr>
          <w:rFonts w:asciiTheme="majorHAnsi" w:eastAsia="Calibri" w:hAnsiTheme="majorHAnsi" w:cs="Arial"/>
          <w:lang w:eastAsia="en-US"/>
        </w:rPr>
        <w:t xml:space="preserve">In this section, ESCI projects and analyzes future system demand in the </w:t>
      </w:r>
      <w:r>
        <w:rPr>
          <w:rFonts w:asciiTheme="majorHAnsi" w:eastAsia="Calibri" w:hAnsiTheme="majorHAnsi" w:cs="Arial"/>
          <w:lang w:eastAsia="en-US"/>
        </w:rPr>
        <w:t>PFD</w:t>
      </w:r>
      <w:r w:rsidRPr="00BB1F4B">
        <w:rPr>
          <w:rFonts w:asciiTheme="majorHAnsi" w:eastAsia="Calibri" w:hAnsiTheme="majorHAnsi" w:cs="Arial"/>
          <w:lang w:eastAsia="en-US"/>
        </w:rPr>
        <w:t xml:space="preserve"> service area. </w:t>
      </w:r>
      <w:r w:rsidRPr="00BB1F4B">
        <w:rPr>
          <w:rFonts w:asciiTheme="majorHAnsi" w:eastAsia="Calibri" w:hAnsiTheme="majorHAnsi" w:cs="Arial"/>
          <w:color w:val="000000"/>
          <w:szCs w:val="20"/>
        </w:rPr>
        <w:t>Future demand is largely dependent on changes over time to population, demographics, economics, and the local infrastructure. This analysis utilizes data from the U</w:t>
      </w:r>
      <w:r w:rsidR="00223EE0">
        <w:rPr>
          <w:rFonts w:asciiTheme="majorHAnsi" w:eastAsia="Calibri" w:hAnsiTheme="majorHAnsi" w:cs="Arial"/>
          <w:color w:val="000000"/>
          <w:szCs w:val="20"/>
        </w:rPr>
        <w:t>.</w:t>
      </w:r>
      <w:r w:rsidRPr="00BB1F4B">
        <w:rPr>
          <w:rFonts w:asciiTheme="majorHAnsi" w:eastAsia="Calibri" w:hAnsiTheme="majorHAnsi" w:cs="Arial"/>
          <w:color w:val="000000"/>
          <w:szCs w:val="20"/>
        </w:rPr>
        <w:t>S</w:t>
      </w:r>
      <w:r w:rsidR="00223EE0">
        <w:rPr>
          <w:rFonts w:asciiTheme="majorHAnsi" w:eastAsia="Calibri" w:hAnsiTheme="majorHAnsi" w:cs="Arial"/>
          <w:color w:val="000000"/>
          <w:szCs w:val="20"/>
        </w:rPr>
        <w:t>.</w:t>
      </w:r>
      <w:r w:rsidRPr="00BB1F4B">
        <w:rPr>
          <w:rFonts w:asciiTheme="majorHAnsi" w:eastAsia="Calibri" w:hAnsiTheme="majorHAnsi" w:cs="Arial"/>
          <w:color w:val="000000"/>
          <w:szCs w:val="20"/>
        </w:rPr>
        <w:t xml:space="preserve"> Census Bureau, the Washington Office of Financial Management (OFM),</w:t>
      </w:r>
      <w:r>
        <w:rPr>
          <w:rFonts w:asciiTheme="majorHAnsi" w:eastAsia="Calibri" w:hAnsiTheme="majorHAnsi" w:cs="Arial"/>
          <w:color w:val="000000"/>
          <w:szCs w:val="20"/>
        </w:rPr>
        <w:t xml:space="preserve"> and the City of Pasco Comprehensive Plan.</w:t>
      </w:r>
    </w:p>
    <w:p w14:paraId="42A9C03D" w14:textId="77777777" w:rsidR="00A775DE" w:rsidRDefault="00A775DE" w:rsidP="00A775DE">
      <w:pPr>
        <w:pStyle w:val="Heading2"/>
      </w:pPr>
      <w:bookmarkStart w:id="261" w:name="_Toc392664852"/>
      <w:bookmarkStart w:id="262" w:name="_Toc464323610"/>
      <w:r w:rsidRPr="00C57178">
        <w:t xml:space="preserve">Population </w:t>
      </w:r>
      <w:bookmarkEnd w:id="261"/>
      <w:r>
        <w:t>Growth Projection</w:t>
      </w:r>
      <w:bookmarkEnd w:id="262"/>
    </w:p>
    <w:p w14:paraId="0540B217" w14:textId="77777777" w:rsidR="00A775DE" w:rsidRDefault="00A775DE" w:rsidP="00A775DE">
      <w:pPr>
        <w:pStyle w:val="Heading3"/>
      </w:pPr>
      <w:bookmarkStart w:id="263" w:name="_Toc464323611"/>
      <w:r>
        <w:t>Population History</w:t>
      </w:r>
      <w:bookmarkEnd w:id="263"/>
    </w:p>
    <w:p w14:paraId="197B5CC5" w14:textId="33ED97A5" w:rsidR="00DA3FAB" w:rsidRDefault="00DA3FAB" w:rsidP="00DA3FAB">
      <w:r>
        <w:t>The Washington Office of Financial Management (OFM) estimates the 2016 population of Pasco as approximately 70,560 as of July 201</w:t>
      </w:r>
      <w:r w:rsidR="00064231">
        <w:t>6</w:t>
      </w:r>
      <w:r>
        <w:t>. The following figure illustrates historical population change in Pasco from 1980 through 2016.</w:t>
      </w:r>
    </w:p>
    <w:p w14:paraId="2CA2B454" w14:textId="6B7E3681" w:rsidR="00DA3FAB" w:rsidRDefault="00DA3FAB" w:rsidP="00223EE0">
      <w:pPr>
        <w:pStyle w:val="Caption"/>
      </w:pPr>
      <w:bookmarkStart w:id="264" w:name="_Toc464323722"/>
      <w:r>
        <w:t xml:space="preserve">Figure </w:t>
      </w:r>
      <w:r w:rsidR="00432AD4">
        <w:fldChar w:fldCharType="begin"/>
      </w:r>
      <w:r w:rsidR="00432AD4">
        <w:instrText xml:space="preserve"> SEQ Figure \* ARABIC </w:instrText>
      </w:r>
      <w:r w:rsidR="00432AD4">
        <w:fldChar w:fldCharType="separate"/>
      </w:r>
      <w:r w:rsidR="008209A2">
        <w:rPr>
          <w:noProof/>
        </w:rPr>
        <w:t>80</w:t>
      </w:r>
      <w:r w:rsidR="00432AD4">
        <w:rPr>
          <w:noProof/>
        </w:rPr>
        <w:fldChar w:fldCharType="end"/>
      </w:r>
      <w:r>
        <w:t>: City of Pasco Population History, U</w:t>
      </w:r>
      <w:r w:rsidR="00223EE0">
        <w:t>.</w:t>
      </w:r>
      <w:r>
        <w:t>S</w:t>
      </w:r>
      <w:r w:rsidR="00223EE0">
        <w:t>.</w:t>
      </w:r>
      <w:r>
        <w:t xml:space="preserve"> Census and Washington OFM Data</w:t>
      </w:r>
      <w:r w:rsidR="00223EE0">
        <w:t>,</w:t>
      </w:r>
      <w:r>
        <w:t xml:space="preserve"> 1980-2016</w:t>
      </w:r>
      <w:bookmarkEnd w:id="264"/>
    </w:p>
    <w:p w14:paraId="78ECCE48" w14:textId="77777777" w:rsidR="00DA3FAB" w:rsidRDefault="00DA3FAB" w:rsidP="00DA3FAB">
      <w:pPr>
        <w:jc w:val="center"/>
      </w:pPr>
      <w:r>
        <w:rPr>
          <w:noProof/>
          <w:lang w:eastAsia="en-US"/>
        </w:rPr>
        <w:drawing>
          <wp:inline distT="0" distB="0" distL="0" distR="0" wp14:anchorId="5FE4C471" wp14:editId="2AF408B1">
            <wp:extent cx="5212080" cy="2743200"/>
            <wp:effectExtent l="0" t="0" r="7620" b="0"/>
            <wp:docPr id="65" name="Chart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14:paraId="2FB2A335" w14:textId="77777777" w:rsidR="00DA3FAB" w:rsidRDefault="00DA3FAB" w:rsidP="00DA3FAB">
      <w:r>
        <w:t xml:space="preserve">This figure demonstrates the rapid growth in Pasco, especially between 1990 and 2010. Although the average annual growth rate has slowed, the population of Pasco grew by over 18 percent between 2010 and 2016. The following figure uses OFM estimates from 2010 through 2016 to examine the annual growth rate in the Tri-Cities (Pasco, Kennewick, and Richland) area. </w:t>
      </w:r>
    </w:p>
    <w:p w14:paraId="732BF640" w14:textId="347B480F" w:rsidR="00DA3FAB" w:rsidRDefault="00DA3FAB" w:rsidP="00223EE0">
      <w:pPr>
        <w:pStyle w:val="Caption"/>
      </w:pPr>
      <w:bookmarkStart w:id="265" w:name="_Toc464323723"/>
      <w:r>
        <w:t xml:space="preserve">Figure </w:t>
      </w:r>
      <w:r w:rsidR="00432AD4">
        <w:fldChar w:fldCharType="begin"/>
      </w:r>
      <w:r w:rsidR="00432AD4">
        <w:instrText xml:space="preserve"> SEQ Figure \* ARABIC </w:instrText>
      </w:r>
      <w:r w:rsidR="00432AD4">
        <w:fldChar w:fldCharType="separate"/>
      </w:r>
      <w:r w:rsidR="008209A2">
        <w:rPr>
          <w:noProof/>
        </w:rPr>
        <w:t>81</w:t>
      </w:r>
      <w:r w:rsidR="00432AD4">
        <w:rPr>
          <w:noProof/>
        </w:rPr>
        <w:fldChar w:fldCharType="end"/>
      </w:r>
      <w:r>
        <w:t>: Tri-Cities Annual Population Change, 2010-2016 OFM Estimates</w:t>
      </w:r>
      <w:bookmarkEnd w:id="265"/>
    </w:p>
    <w:p w14:paraId="7892F8D2" w14:textId="77777777" w:rsidR="00DA3FAB" w:rsidRPr="003C1E38" w:rsidRDefault="00DA3FAB" w:rsidP="00DA3FAB">
      <w:pPr>
        <w:jc w:val="center"/>
      </w:pPr>
      <w:r>
        <w:rPr>
          <w:noProof/>
          <w:lang w:eastAsia="en-US"/>
        </w:rPr>
        <w:drawing>
          <wp:inline distT="0" distB="0" distL="0" distR="0" wp14:anchorId="4D94F665" wp14:editId="6EFE39C0">
            <wp:extent cx="4572000" cy="2743200"/>
            <wp:effectExtent l="0" t="0" r="0" b="0"/>
            <wp:docPr id="66" name="Chart 66"/>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39608EFE" w14:textId="5B18733A" w:rsidR="00DA3FAB" w:rsidRDefault="00DA3FAB" w:rsidP="00DA3FAB">
      <w:r>
        <w:t>Pasco demonstrates the greatest population growth in the Tri-Cities area during the time period displayed in this figure. This may be attributed to factors such as annexation of portions of the unincorporated islands of Franklin County into the City of Pasco</w:t>
      </w:r>
      <w:r w:rsidR="0077715C">
        <w:t xml:space="preserve"> or</w:t>
      </w:r>
      <w:r>
        <w:t xml:space="preserve"> new development </w:t>
      </w:r>
      <w:r w:rsidR="0077715C">
        <w:t>given</w:t>
      </w:r>
      <w:r>
        <w:t xml:space="preserve"> the amount of land available for development inside the City</w:t>
      </w:r>
      <w:r w:rsidR="00223EE0">
        <w:t>.</w:t>
      </w:r>
    </w:p>
    <w:p w14:paraId="485A861B" w14:textId="77777777" w:rsidR="00DA3FAB" w:rsidRDefault="00DA3FAB" w:rsidP="00DA3FAB">
      <w:pPr>
        <w:pStyle w:val="Heading3"/>
      </w:pPr>
      <w:bookmarkStart w:id="266" w:name="_Toc464323612"/>
      <w:r>
        <w:t>Population Projections</w:t>
      </w:r>
      <w:bookmarkEnd w:id="266"/>
      <w:r>
        <w:t xml:space="preserve"> </w:t>
      </w:r>
    </w:p>
    <w:p w14:paraId="53D79FDC" w14:textId="05FC9949" w:rsidR="00DA3FAB" w:rsidRDefault="00DA3FAB" w:rsidP="00DA3FAB">
      <w:pPr>
        <w:rPr>
          <w:rFonts w:asciiTheme="majorHAnsi" w:eastAsia="Calibri" w:hAnsiTheme="majorHAnsi" w:cs="Arial"/>
        </w:rPr>
      </w:pPr>
      <w:r w:rsidRPr="00BB1F4B">
        <w:rPr>
          <w:rFonts w:asciiTheme="majorHAnsi" w:eastAsia="Calibri" w:hAnsiTheme="majorHAnsi" w:cs="Arial"/>
        </w:rPr>
        <w:t>The Washington State Growth Management Act (Chapter 36.70A,</w:t>
      </w:r>
      <w:r>
        <w:rPr>
          <w:rFonts w:asciiTheme="majorHAnsi" w:eastAsia="Calibri" w:hAnsiTheme="majorHAnsi" w:cs="Arial"/>
        </w:rPr>
        <w:t xml:space="preserve"> </w:t>
      </w:r>
      <w:r w:rsidRPr="00BB1F4B">
        <w:rPr>
          <w:rFonts w:asciiTheme="majorHAnsi" w:eastAsia="Calibri" w:hAnsiTheme="majorHAnsi" w:cs="Arial"/>
        </w:rPr>
        <w:t>RCW) authorizes the Washington OFM to produce a range of population forecasts at the county level.</w:t>
      </w:r>
      <w:r>
        <w:rPr>
          <w:rFonts w:asciiTheme="majorHAnsi" w:eastAsia="Calibri" w:hAnsiTheme="majorHAnsi" w:cs="Arial"/>
        </w:rPr>
        <w:t xml:space="preserve"> </w:t>
      </w:r>
      <w:r w:rsidRPr="00BB1F4B">
        <w:rPr>
          <w:rFonts w:asciiTheme="majorHAnsi" w:eastAsia="Calibri" w:hAnsiTheme="majorHAnsi" w:cs="Arial"/>
        </w:rPr>
        <w:t xml:space="preserve">City and county planners </w:t>
      </w:r>
      <w:r>
        <w:rPr>
          <w:rFonts w:asciiTheme="majorHAnsi" w:eastAsia="Calibri" w:hAnsiTheme="majorHAnsi" w:cs="Arial"/>
        </w:rPr>
        <w:t xml:space="preserve">use the OFM projections </w:t>
      </w:r>
      <w:r w:rsidRPr="00BB1F4B">
        <w:rPr>
          <w:rFonts w:asciiTheme="majorHAnsi" w:eastAsia="Calibri" w:hAnsiTheme="majorHAnsi" w:cs="Arial"/>
        </w:rPr>
        <w:t>to coordinate planning for growth within their respective jurisdictions.</w:t>
      </w:r>
      <w:r>
        <w:rPr>
          <w:rFonts w:asciiTheme="majorHAnsi" w:eastAsia="Calibri" w:hAnsiTheme="majorHAnsi" w:cs="Arial"/>
        </w:rPr>
        <w:t xml:space="preserve"> The </w:t>
      </w:r>
      <w:r w:rsidR="00223EE0">
        <w:rPr>
          <w:rFonts w:asciiTheme="majorHAnsi" w:eastAsia="Calibri" w:hAnsiTheme="majorHAnsi" w:cs="Arial"/>
        </w:rPr>
        <w:t xml:space="preserve">following </w:t>
      </w:r>
      <w:r>
        <w:rPr>
          <w:rFonts w:asciiTheme="majorHAnsi" w:eastAsia="Calibri" w:hAnsiTheme="majorHAnsi" w:cs="Arial"/>
        </w:rPr>
        <w:t>figure displays the most recent OFM population projection for Franklin County and a projection for the City of Pasco based on the OFM population projection for the county.</w:t>
      </w:r>
    </w:p>
    <w:p w14:paraId="121CA3E6" w14:textId="098803BF" w:rsidR="00DA3FAB" w:rsidRDefault="00DA3FAB" w:rsidP="00223EE0">
      <w:pPr>
        <w:pStyle w:val="Caption"/>
      </w:pPr>
      <w:bookmarkStart w:id="267" w:name="_Ref455731992"/>
      <w:bookmarkStart w:id="268" w:name="_Toc464323724"/>
      <w:r>
        <w:t xml:space="preserve">Figure </w:t>
      </w:r>
      <w:r w:rsidR="00432AD4">
        <w:fldChar w:fldCharType="begin"/>
      </w:r>
      <w:r w:rsidR="00432AD4">
        <w:instrText xml:space="preserve"> SEQ Figure \* ARABIC </w:instrText>
      </w:r>
      <w:r w:rsidR="00432AD4">
        <w:fldChar w:fldCharType="separate"/>
      </w:r>
      <w:r w:rsidR="008209A2">
        <w:rPr>
          <w:noProof/>
        </w:rPr>
        <w:t>82</w:t>
      </w:r>
      <w:r w:rsidR="00432AD4">
        <w:rPr>
          <w:noProof/>
        </w:rPr>
        <w:fldChar w:fldCharType="end"/>
      </w:r>
      <w:bookmarkEnd w:id="267"/>
      <w:r>
        <w:t>: Franklin County and City of Pasco Population Projection</w:t>
      </w:r>
      <w:bookmarkEnd w:id="268"/>
    </w:p>
    <w:p w14:paraId="6FC87463" w14:textId="77777777" w:rsidR="00DA3FAB" w:rsidRDefault="00DA3FAB" w:rsidP="00DA3FAB">
      <w:pPr>
        <w:jc w:val="center"/>
      </w:pPr>
      <w:r>
        <w:rPr>
          <w:noProof/>
          <w:lang w:eastAsia="en-US"/>
        </w:rPr>
        <w:drawing>
          <wp:inline distT="0" distB="0" distL="0" distR="0" wp14:anchorId="08FC2872" wp14:editId="29FA7795">
            <wp:extent cx="4572000" cy="2743200"/>
            <wp:effectExtent l="0" t="0" r="0" b="0"/>
            <wp:docPr id="67" name="Chart 67"/>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7825DEE4" w14:textId="3B6D3EAD" w:rsidR="00DA3FAB" w:rsidRDefault="00DA3FAB" w:rsidP="00DA3FAB">
      <w:r>
        <w:t xml:space="preserve">Currently the population of Pasco represents approximately 79 percent of the population of Franklin County. The City of Pasco Comprehensive Plan estimates that the population of the city will represent 80 to 85 percent of the </w:t>
      </w:r>
      <w:r w:rsidR="00223EE0">
        <w:t xml:space="preserve">county </w:t>
      </w:r>
      <w:r>
        <w:t>population by 2027 (the planning period of the current Comprehensive Plan). In the City of Pasco projection displayed above, ESCI applies a value of 80 percent to arrive at a population of 92,114 in Pasco by 2025 (a</w:t>
      </w:r>
      <w:r w:rsidR="00223EE0">
        <w:t>pproximately 35 percent growth)</w:t>
      </w:r>
      <w:r>
        <w:t xml:space="preserve"> and demonstrates the population nearly doubling by 2040 (nearly 91 percent growth by 2040). Note that this analysis uses the OFM “Moderate Growth Rate”, which appears to correspond closely to the actual growth in Franklin County. </w:t>
      </w:r>
    </w:p>
    <w:p w14:paraId="02A53146" w14:textId="77777777" w:rsidR="00A775DE" w:rsidRDefault="00A775DE" w:rsidP="00A775DE">
      <w:pPr>
        <w:pStyle w:val="Heading2"/>
      </w:pPr>
      <w:bookmarkStart w:id="269" w:name="_Toc464323613"/>
      <w:r>
        <w:t>Service Demand Projection</w:t>
      </w:r>
      <w:bookmarkEnd w:id="269"/>
      <w:r>
        <w:t xml:space="preserve"> </w:t>
      </w:r>
    </w:p>
    <w:p w14:paraId="165FF0A5" w14:textId="77777777" w:rsidR="00A775DE" w:rsidRDefault="00A775DE" w:rsidP="00A775DE">
      <w:pPr>
        <w:rPr>
          <w:rFonts w:asciiTheme="majorHAnsi" w:eastAsia="Calibri" w:hAnsiTheme="majorHAnsi" w:cs="Arial"/>
        </w:rPr>
      </w:pPr>
      <w:r w:rsidRPr="00BB1F4B">
        <w:rPr>
          <w:rFonts w:asciiTheme="majorHAnsi" w:eastAsia="Calibri" w:hAnsiTheme="majorHAnsi" w:cs="Arial"/>
        </w:rPr>
        <w:t xml:space="preserve">In evaluating the deployment of facilities, resources, and staffing, it is imperative </w:t>
      </w:r>
      <w:r>
        <w:rPr>
          <w:rFonts w:asciiTheme="majorHAnsi" w:eastAsia="Calibri" w:hAnsiTheme="majorHAnsi" w:cs="Arial"/>
        </w:rPr>
        <w:t>to consider</w:t>
      </w:r>
      <w:r w:rsidRPr="00BB1F4B">
        <w:rPr>
          <w:rFonts w:asciiTheme="majorHAnsi" w:eastAsia="Calibri" w:hAnsiTheme="majorHAnsi" w:cs="Arial"/>
        </w:rPr>
        <w:t xml:space="preserve"> potential changes, such as population growth, that can directly affect emergency workload.  Changes in service demand may require changes and adjustments in the deployment of staffing and capital assets in order to maintain acceptable levels of performance. For the purposes of this study, ESCI uses the population forecast </w:t>
      </w:r>
      <w:r>
        <w:rPr>
          <w:rFonts w:asciiTheme="majorHAnsi" w:eastAsia="Calibri" w:hAnsiTheme="majorHAnsi" w:cs="Arial"/>
        </w:rPr>
        <w:t xml:space="preserve">for the City of Pasco </w:t>
      </w:r>
      <w:r w:rsidRPr="00BB1F4B">
        <w:rPr>
          <w:rFonts w:asciiTheme="majorHAnsi" w:eastAsia="Calibri" w:hAnsiTheme="majorHAnsi" w:cs="Arial"/>
        </w:rPr>
        <w:t>presented above and multipl</w:t>
      </w:r>
      <w:r>
        <w:rPr>
          <w:rFonts w:asciiTheme="majorHAnsi" w:eastAsia="Calibri" w:hAnsiTheme="majorHAnsi" w:cs="Arial"/>
        </w:rPr>
        <w:t>i</w:t>
      </w:r>
      <w:r w:rsidRPr="00BB1F4B">
        <w:rPr>
          <w:rFonts w:asciiTheme="majorHAnsi" w:eastAsia="Calibri" w:hAnsiTheme="majorHAnsi" w:cs="Arial"/>
        </w:rPr>
        <w:t xml:space="preserve">es this by a per capita incident rate derived from historical service demand for </w:t>
      </w:r>
      <w:r>
        <w:rPr>
          <w:rFonts w:asciiTheme="majorHAnsi" w:eastAsia="Calibri" w:hAnsiTheme="majorHAnsi" w:cs="Arial"/>
        </w:rPr>
        <w:t>2014 and 2015</w:t>
      </w:r>
      <w:r w:rsidRPr="00BB1F4B">
        <w:rPr>
          <w:rFonts w:asciiTheme="majorHAnsi" w:eastAsia="Calibri" w:hAnsiTheme="majorHAnsi" w:cs="Arial"/>
        </w:rPr>
        <w:t xml:space="preserve">. This analysis provides a picture of potential service demand through 2040, based on population growth in </w:t>
      </w:r>
      <w:r>
        <w:rPr>
          <w:rFonts w:asciiTheme="majorHAnsi" w:eastAsia="Calibri" w:hAnsiTheme="majorHAnsi" w:cs="Arial"/>
        </w:rPr>
        <w:t>the PFD service area</w:t>
      </w:r>
      <w:r w:rsidRPr="00BB1F4B">
        <w:rPr>
          <w:rFonts w:asciiTheme="majorHAnsi" w:eastAsia="Calibri" w:hAnsiTheme="majorHAnsi" w:cs="Arial"/>
        </w:rPr>
        <w:t>. The results are displayed in the following figure.</w:t>
      </w:r>
    </w:p>
    <w:p w14:paraId="799FB5D8" w14:textId="3436B5B1" w:rsidR="00A775DE" w:rsidRDefault="00A775DE" w:rsidP="00223EE0">
      <w:pPr>
        <w:pStyle w:val="Caption"/>
      </w:pPr>
      <w:bookmarkStart w:id="270" w:name="_Toc464323725"/>
      <w:r>
        <w:t xml:space="preserve">Figure </w:t>
      </w:r>
      <w:r w:rsidR="00432AD4">
        <w:fldChar w:fldCharType="begin"/>
      </w:r>
      <w:r w:rsidR="00432AD4">
        <w:instrText xml:space="preserve"> SEQ Figure \* ARABIC </w:instrText>
      </w:r>
      <w:r w:rsidR="00432AD4">
        <w:fldChar w:fldCharType="separate"/>
      </w:r>
      <w:r w:rsidR="008209A2">
        <w:rPr>
          <w:noProof/>
        </w:rPr>
        <w:t>83</w:t>
      </w:r>
      <w:r w:rsidR="00432AD4">
        <w:rPr>
          <w:noProof/>
        </w:rPr>
        <w:fldChar w:fldCharType="end"/>
      </w:r>
      <w:r w:rsidR="00223EE0">
        <w:t xml:space="preserve">: </w:t>
      </w:r>
      <w:r>
        <w:t>Projected Service Demand, 2015 through 2040</w:t>
      </w:r>
      <w:bookmarkEnd w:id="270"/>
    </w:p>
    <w:p w14:paraId="7F101062" w14:textId="77777777" w:rsidR="00A775DE" w:rsidRDefault="00A775DE" w:rsidP="00A775DE">
      <w:pPr>
        <w:jc w:val="center"/>
        <w:rPr>
          <w:rFonts w:asciiTheme="majorHAnsi" w:eastAsia="Calibri" w:hAnsiTheme="majorHAnsi" w:cs="Arial"/>
        </w:rPr>
      </w:pPr>
      <w:r>
        <w:rPr>
          <w:noProof/>
          <w:lang w:eastAsia="en-US"/>
        </w:rPr>
        <w:drawing>
          <wp:inline distT="0" distB="0" distL="0" distR="0" wp14:anchorId="56376E2A" wp14:editId="08CA5A49">
            <wp:extent cx="4572000" cy="2743200"/>
            <wp:effectExtent l="0" t="0" r="0" b="0"/>
            <wp:docPr id="56" name="Chart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14:paraId="2651759E" w14:textId="6C1604B8" w:rsidR="00A775DE" w:rsidRDefault="00A775DE" w:rsidP="00A775DE">
      <w:pPr>
        <w:rPr>
          <w:rFonts w:asciiTheme="majorHAnsi" w:eastAsia="Calibri" w:hAnsiTheme="majorHAnsi" w:cs="Arial"/>
        </w:rPr>
      </w:pPr>
      <w:r>
        <w:t xml:space="preserve">PFD service demand grew by over 20 percent in the last five years. Based on projected population growth, PFD can expect to see service demand continue to increase. </w:t>
      </w:r>
      <w:r w:rsidRPr="00BB1F4B">
        <w:rPr>
          <w:rFonts w:asciiTheme="majorHAnsi" w:eastAsia="Calibri" w:hAnsiTheme="majorHAnsi" w:cs="Arial"/>
        </w:rPr>
        <w:t>Fires (</w:t>
      </w:r>
      <w:r w:rsidR="00497E4A">
        <w:rPr>
          <w:rFonts w:asciiTheme="majorHAnsi" w:eastAsia="Calibri" w:hAnsiTheme="majorHAnsi" w:cs="Arial"/>
        </w:rPr>
        <w:t xml:space="preserve">of </w:t>
      </w:r>
      <w:r w:rsidRPr="00BB1F4B">
        <w:rPr>
          <w:rFonts w:asciiTheme="majorHAnsi" w:eastAsia="Calibri" w:hAnsiTheme="majorHAnsi" w:cs="Arial"/>
        </w:rPr>
        <w:t xml:space="preserve">all types) demonstrate the lowest rate of increase. This reflects a national trend and can be attributed to improvements in building codes and fire prevention over the last several decades. EMS is expected to continue to be the predominant factor affecting service demand. Other </w:t>
      </w:r>
      <w:r w:rsidR="00223EE0">
        <w:rPr>
          <w:rFonts w:asciiTheme="majorHAnsi" w:eastAsia="Calibri" w:hAnsiTheme="majorHAnsi" w:cs="Arial"/>
        </w:rPr>
        <w:t xml:space="preserve">incidents </w:t>
      </w:r>
      <w:r w:rsidRPr="00BB1F4B">
        <w:rPr>
          <w:rFonts w:asciiTheme="majorHAnsi" w:eastAsia="Calibri" w:hAnsiTheme="majorHAnsi" w:cs="Arial"/>
        </w:rPr>
        <w:t>(includ</w:t>
      </w:r>
      <w:r w:rsidR="00223EE0">
        <w:rPr>
          <w:rFonts w:asciiTheme="majorHAnsi" w:eastAsia="Calibri" w:hAnsiTheme="majorHAnsi" w:cs="Arial"/>
        </w:rPr>
        <w:t>ing</w:t>
      </w:r>
      <w:r w:rsidRPr="00BB1F4B">
        <w:rPr>
          <w:rFonts w:asciiTheme="majorHAnsi" w:eastAsia="Calibri" w:hAnsiTheme="majorHAnsi" w:cs="Arial"/>
        </w:rPr>
        <w:t xml:space="preserve"> haz</w:t>
      </w:r>
      <w:r w:rsidR="00223EE0">
        <w:rPr>
          <w:rFonts w:asciiTheme="majorHAnsi" w:eastAsia="Calibri" w:hAnsiTheme="majorHAnsi" w:cs="Arial"/>
        </w:rPr>
        <w:t>-</w:t>
      </w:r>
      <w:r w:rsidRPr="00BB1F4B">
        <w:rPr>
          <w:rFonts w:asciiTheme="majorHAnsi" w:eastAsia="Calibri" w:hAnsiTheme="majorHAnsi" w:cs="Arial"/>
        </w:rPr>
        <w:t>mat, alarm sounding, and service calls) not involving actual fires are predicted to increase in part due to the use of automatic alarm systems</w:t>
      </w:r>
      <w:r w:rsidR="00223EE0">
        <w:rPr>
          <w:rFonts w:asciiTheme="majorHAnsi" w:eastAsia="Calibri" w:hAnsiTheme="majorHAnsi" w:cs="Arial"/>
        </w:rPr>
        <w:t>,</w:t>
      </w:r>
      <w:r w:rsidRPr="00BB1F4B">
        <w:rPr>
          <w:rFonts w:asciiTheme="majorHAnsi" w:eastAsia="Calibri" w:hAnsiTheme="majorHAnsi" w:cs="Arial"/>
        </w:rPr>
        <w:t xml:space="preserve"> which decrease the number of actual fires but increase service demand.</w:t>
      </w:r>
    </w:p>
    <w:p w14:paraId="1E19E52C" w14:textId="77777777" w:rsidR="00A775DE" w:rsidRDefault="00A775DE" w:rsidP="00A775DE">
      <w:pPr>
        <w:rPr>
          <w:rFonts w:asciiTheme="majorHAnsi" w:eastAsia="Calibri" w:hAnsiTheme="majorHAnsi" w:cs="Arial"/>
        </w:rPr>
      </w:pPr>
      <w:r w:rsidRPr="00BB1F4B">
        <w:rPr>
          <w:rFonts w:asciiTheme="majorHAnsi" w:eastAsia="Calibri" w:hAnsiTheme="majorHAnsi" w:cs="Arial"/>
        </w:rPr>
        <w:t>It is not the intent of this study to be a definitive authority for the projection of future population in the service area but rather to base recommendations for future fire protection needs on a reasonable association with projected service demand. Since population growth and human activity is a primary driver of emergency service demand, it is important to have a projection of the future size of the community. Although population projections can vary, and may change over time</w:t>
      </w:r>
      <w:r>
        <w:rPr>
          <w:rFonts w:asciiTheme="majorHAnsi" w:eastAsia="Calibri" w:hAnsiTheme="majorHAnsi" w:cs="Arial"/>
        </w:rPr>
        <w:t>,</w:t>
      </w:r>
      <w:r w:rsidRPr="00BB1F4B">
        <w:rPr>
          <w:rFonts w:asciiTheme="majorHAnsi" w:eastAsia="Calibri" w:hAnsiTheme="majorHAnsi" w:cs="Arial"/>
        </w:rPr>
        <w:t xml:space="preserve"> it is clear that </w:t>
      </w:r>
      <w:r>
        <w:rPr>
          <w:rFonts w:asciiTheme="majorHAnsi" w:eastAsia="Calibri" w:hAnsiTheme="majorHAnsi" w:cs="Arial"/>
        </w:rPr>
        <w:t>PFD</w:t>
      </w:r>
      <w:r w:rsidRPr="00BB1F4B">
        <w:rPr>
          <w:rFonts w:asciiTheme="majorHAnsi" w:eastAsia="Calibri" w:hAnsiTheme="majorHAnsi" w:cs="Arial"/>
        </w:rPr>
        <w:t xml:space="preserve"> will continue to be an emergency service provider to a growing population. Planning </w:t>
      </w:r>
      <w:r>
        <w:rPr>
          <w:rFonts w:asciiTheme="majorHAnsi" w:eastAsia="Calibri" w:hAnsiTheme="majorHAnsi" w:cs="Arial"/>
        </w:rPr>
        <w:t xml:space="preserve">should </w:t>
      </w:r>
      <w:r w:rsidRPr="00BB1F4B">
        <w:rPr>
          <w:rFonts w:asciiTheme="majorHAnsi" w:eastAsia="Calibri" w:hAnsiTheme="majorHAnsi" w:cs="Arial"/>
        </w:rPr>
        <w:t>begin now to maintain the resources needed to meet the continuing demand for services.</w:t>
      </w:r>
    </w:p>
    <w:p w14:paraId="18F2339D" w14:textId="77777777" w:rsidR="00223EE0" w:rsidRDefault="00223EE0">
      <w:pPr>
        <w:spacing w:after="200"/>
        <w:jc w:val="left"/>
        <w:rPr>
          <w:rFonts w:eastAsia="Calibri" w:cstheme="majorBidi"/>
          <w:bCs/>
          <w:caps/>
          <w:color w:val="808080" w:themeColor="background1" w:themeShade="80"/>
          <w:sz w:val="24"/>
          <w:szCs w:val="26"/>
        </w:rPr>
      </w:pPr>
      <w:bookmarkStart w:id="271" w:name="_Toc445193559"/>
      <w:bookmarkStart w:id="272" w:name="_Toc357084189"/>
      <w:r>
        <w:rPr>
          <w:rFonts w:eastAsia="Calibri"/>
        </w:rPr>
        <w:br w:type="page"/>
      </w:r>
    </w:p>
    <w:p w14:paraId="4D5D836A" w14:textId="23C007A6" w:rsidR="001C4073" w:rsidRDefault="001C4073" w:rsidP="001C4073">
      <w:pPr>
        <w:pStyle w:val="Heading2"/>
        <w:rPr>
          <w:rFonts w:eastAsia="Calibri"/>
        </w:rPr>
      </w:pPr>
      <w:bookmarkStart w:id="273" w:name="_Toc464323614"/>
      <w:r>
        <w:rPr>
          <w:rFonts w:eastAsia="Calibri"/>
        </w:rPr>
        <w:t>Community Risk Analysis</w:t>
      </w:r>
      <w:bookmarkEnd w:id="273"/>
    </w:p>
    <w:p w14:paraId="178761E3" w14:textId="479FE5E8" w:rsidR="001C4073" w:rsidRDefault="001C4073" w:rsidP="001C4073">
      <w:r w:rsidRPr="009A45E8">
        <w:t xml:space="preserve">Community risk is assessed based on a number of factors: the service area population and population density, the demographics of the population, local land use and development, and the geography and natural risks present within the community. These factors affect the number and type of resources (both personnel and apparatus) necessary to mitigate an emergency. The </w:t>
      </w:r>
      <w:r>
        <w:t>following figure</w:t>
      </w:r>
      <w:r w:rsidRPr="009A45E8">
        <w:t xml:space="preserve"> examines population density in the </w:t>
      </w:r>
      <w:r>
        <w:t>P</w:t>
      </w:r>
      <w:r w:rsidRPr="009A45E8">
        <w:t>FD service area.</w:t>
      </w:r>
    </w:p>
    <w:p w14:paraId="3FC2F5EA" w14:textId="4D0A0960" w:rsidR="001C4073" w:rsidRDefault="001C4073" w:rsidP="00223EE0">
      <w:pPr>
        <w:pStyle w:val="Caption"/>
      </w:pPr>
      <w:bookmarkStart w:id="274" w:name="_Ref455822138"/>
      <w:bookmarkStart w:id="275" w:name="_Toc464323726"/>
      <w:r>
        <w:t xml:space="preserve">Figure </w:t>
      </w:r>
      <w:r w:rsidR="00432AD4">
        <w:fldChar w:fldCharType="begin"/>
      </w:r>
      <w:r w:rsidR="00432AD4">
        <w:instrText xml:space="preserve"> SEQ Figure \* ARABIC </w:instrText>
      </w:r>
      <w:r w:rsidR="00432AD4">
        <w:fldChar w:fldCharType="separate"/>
      </w:r>
      <w:r w:rsidR="008209A2">
        <w:rPr>
          <w:noProof/>
        </w:rPr>
        <w:t>84</w:t>
      </w:r>
      <w:r w:rsidR="00432AD4">
        <w:rPr>
          <w:noProof/>
        </w:rPr>
        <w:fldChar w:fldCharType="end"/>
      </w:r>
      <w:bookmarkEnd w:id="274"/>
      <w:r w:rsidR="00223EE0">
        <w:t xml:space="preserve">: </w:t>
      </w:r>
      <w:r>
        <w:t>Population Density, OFM 2015 Traffic Analysis Zone Data</w:t>
      </w:r>
      <w:bookmarkEnd w:id="275"/>
    </w:p>
    <w:p w14:paraId="3560F18B" w14:textId="77777777" w:rsidR="001C4073" w:rsidRDefault="001C4073" w:rsidP="001C4073">
      <w:pPr>
        <w:jc w:val="center"/>
        <w:rPr>
          <w:rFonts w:asciiTheme="majorHAnsi" w:eastAsia="Calibri" w:hAnsiTheme="majorHAnsi" w:cs="Arial"/>
        </w:rPr>
      </w:pPr>
      <w:r>
        <w:rPr>
          <w:rFonts w:asciiTheme="majorHAnsi" w:eastAsia="Calibri" w:hAnsiTheme="majorHAnsi" w:cs="Arial"/>
          <w:noProof/>
          <w:lang w:eastAsia="en-US"/>
        </w:rPr>
        <w:drawing>
          <wp:inline distT="0" distB="0" distL="0" distR="0" wp14:anchorId="68D6277B" wp14:editId="7AB583C7">
            <wp:extent cx="5943600" cy="4245610"/>
            <wp:effectExtent l="0" t="0" r="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FD Pop Density_NFPA criteria.jpg"/>
                    <pic:cNvPicPr/>
                  </pic:nvPicPr>
                  <pic:blipFill>
                    <a:blip r:embed="rId83">
                      <a:extLst>
                        <a:ext uri="{28A0092B-C50C-407E-A947-70E740481C1C}">
                          <a14:useLocalDpi xmlns:a14="http://schemas.microsoft.com/office/drawing/2010/main" val="0"/>
                        </a:ext>
                      </a:extLst>
                    </a:blip>
                    <a:stretch>
                      <a:fillRect/>
                    </a:stretch>
                  </pic:blipFill>
                  <pic:spPr>
                    <a:xfrm>
                      <a:off x="0" y="0"/>
                      <a:ext cx="5943600" cy="4245610"/>
                    </a:xfrm>
                    <a:prstGeom prst="rect">
                      <a:avLst/>
                    </a:prstGeom>
                  </pic:spPr>
                </pic:pic>
              </a:graphicData>
            </a:graphic>
          </wp:inline>
        </w:drawing>
      </w:r>
    </w:p>
    <w:p w14:paraId="631F2BAC" w14:textId="5AE8A327" w:rsidR="001C4073" w:rsidRDefault="001C4073" w:rsidP="001C4073">
      <w:r w:rsidRPr="009A45E8">
        <w:t xml:space="preserve">As </w:t>
      </w:r>
      <w:r w:rsidR="00223EE0">
        <w:t>noted earlier</w:t>
      </w:r>
      <w:r w:rsidRPr="009A45E8">
        <w:t xml:space="preserve">, the population density within the current </w:t>
      </w:r>
      <w:r>
        <w:t>P</w:t>
      </w:r>
      <w:r w:rsidRPr="009A45E8">
        <w:t>FD service area is predominantly urban.</w:t>
      </w:r>
      <w:r>
        <w:t xml:space="preserve"> Approximately 79 percent of the population of Franklin County resides in Pasco. Comparing </w:t>
      </w:r>
      <w:r>
        <w:fldChar w:fldCharType="begin"/>
      </w:r>
      <w:r>
        <w:instrText xml:space="preserve"> REF _Ref455822138 \h </w:instrText>
      </w:r>
      <w:r>
        <w:fldChar w:fldCharType="separate"/>
      </w:r>
      <w:r w:rsidR="008209A2">
        <w:t xml:space="preserve">Figure </w:t>
      </w:r>
      <w:r w:rsidR="008209A2">
        <w:rPr>
          <w:noProof/>
        </w:rPr>
        <w:t>84</w:t>
      </w:r>
      <w:r>
        <w:fldChar w:fldCharType="end"/>
      </w:r>
      <w:r>
        <w:t xml:space="preserve"> to the incident density maps in the </w:t>
      </w:r>
      <w:r w:rsidRPr="00223EE0">
        <w:rPr>
          <w:i/>
        </w:rPr>
        <w:t>Service Demand</w:t>
      </w:r>
      <w:r>
        <w:t xml:space="preserve"> </w:t>
      </w:r>
      <w:r w:rsidR="00223EE0" w:rsidRPr="00223EE0">
        <w:rPr>
          <w:i/>
        </w:rPr>
        <w:t>Analysis</w:t>
      </w:r>
      <w:r w:rsidR="00223EE0">
        <w:t xml:space="preserve"> </w:t>
      </w:r>
      <w:r>
        <w:t xml:space="preserve">demonstrates the </w:t>
      </w:r>
      <w:r w:rsidR="00497E4A">
        <w:t xml:space="preserve">strong </w:t>
      </w:r>
      <w:r>
        <w:t xml:space="preserve">correlation between service demand and population density. </w:t>
      </w:r>
    </w:p>
    <w:p w14:paraId="3DDB5EF2" w14:textId="77777777" w:rsidR="001C4073" w:rsidRDefault="001C4073" w:rsidP="001C4073">
      <w:pPr>
        <w:pStyle w:val="Heading4"/>
      </w:pPr>
      <w:r>
        <w:t>Demographics</w:t>
      </w:r>
    </w:p>
    <w:p w14:paraId="23D62E40" w14:textId="3DA568B8" w:rsidR="001C4073" w:rsidRDefault="001C4073" w:rsidP="001C4073">
      <w:r>
        <w:t xml:space="preserve">The Washington State Growth Management Act (GMA) and the City of Pasco Comprehensive </w:t>
      </w:r>
      <w:r w:rsidR="00497E4A">
        <w:t xml:space="preserve">Land Use </w:t>
      </w:r>
      <w:r>
        <w:t xml:space="preserve">Plan ensure that the projected population growth in Pasco will occur inside the city limits or urban growth boundary. Infill and development of currently undeveloped land inside the Pasco UGB will increase the population density (human activity) and community risk in the PFD service area.  </w:t>
      </w:r>
    </w:p>
    <w:p w14:paraId="6AB919E6" w14:textId="15F758BA" w:rsidR="001C4073" w:rsidRDefault="001C4073" w:rsidP="001C4073">
      <w:r w:rsidRPr="009A45E8">
        <w:t xml:space="preserve">In addition to the distribution of the population, the demographics of the population can affect the amount of service demand and the risk within a community. The </w:t>
      </w:r>
      <w:r>
        <w:t>following figure</w:t>
      </w:r>
      <w:r w:rsidRPr="009A45E8">
        <w:t xml:space="preserve"> displays the population by age group within the </w:t>
      </w:r>
      <w:r>
        <w:t>City of Pasco</w:t>
      </w:r>
      <w:r w:rsidRPr="009A45E8">
        <w:t xml:space="preserve"> service area</w:t>
      </w:r>
      <w:r>
        <w:t xml:space="preserve"> compared to Washington</w:t>
      </w:r>
      <w:r w:rsidR="00BB11F4">
        <w:t xml:space="preserve"> State</w:t>
      </w:r>
      <w:r>
        <w:t>.</w:t>
      </w:r>
    </w:p>
    <w:p w14:paraId="5A2385CA" w14:textId="48956C41" w:rsidR="001C4073" w:rsidRDefault="001C4073" w:rsidP="001C4073">
      <w:pPr>
        <w:pStyle w:val="ESCICaption"/>
      </w:pPr>
      <w:bookmarkStart w:id="276" w:name="_Toc464323727"/>
      <w:r>
        <w:t xml:space="preserve">Figure </w:t>
      </w:r>
      <w:r w:rsidR="00432AD4">
        <w:fldChar w:fldCharType="begin"/>
      </w:r>
      <w:r w:rsidR="00432AD4">
        <w:instrText xml:space="preserve"> SEQ Figure \* ARABIC </w:instrText>
      </w:r>
      <w:r w:rsidR="00432AD4">
        <w:fldChar w:fldCharType="separate"/>
      </w:r>
      <w:r w:rsidR="008209A2">
        <w:rPr>
          <w:noProof/>
        </w:rPr>
        <w:t>85</w:t>
      </w:r>
      <w:r w:rsidR="00432AD4">
        <w:rPr>
          <w:noProof/>
        </w:rPr>
        <w:fldChar w:fldCharType="end"/>
      </w:r>
      <w:r w:rsidR="00BB11F4">
        <w:t xml:space="preserve">: </w:t>
      </w:r>
      <w:r>
        <w:t>Study Area Population by Age, 2014 U</w:t>
      </w:r>
      <w:r w:rsidR="00BB11F4">
        <w:t>.</w:t>
      </w:r>
      <w:r>
        <w:t>S</w:t>
      </w:r>
      <w:r w:rsidR="00BB11F4">
        <w:t>.</w:t>
      </w:r>
      <w:r>
        <w:t xml:space="preserve"> Census American Community Survey (ACS)</w:t>
      </w:r>
      <w:bookmarkEnd w:id="276"/>
    </w:p>
    <w:p w14:paraId="1FD06C2E" w14:textId="77777777" w:rsidR="001C4073" w:rsidRDefault="001C4073" w:rsidP="001C4073">
      <w:pPr>
        <w:jc w:val="center"/>
      </w:pPr>
      <w:r>
        <w:rPr>
          <w:noProof/>
          <w:lang w:eastAsia="en-US"/>
        </w:rPr>
        <w:drawing>
          <wp:inline distT="0" distB="0" distL="0" distR="0" wp14:anchorId="208D714A" wp14:editId="55F65D1D">
            <wp:extent cx="4572000" cy="2743200"/>
            <wp:effectExtent l="0" t="0" r="0" b="0"/>
            <wp:docPr id="53" name="Chart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19D2D35D" w14:textId="4EA9B4D3" w:rsidR="001C4073" w:rsidRDefault="001C4073" w:rsidP="001C4073">
      <w:r>
        <w:t>The 2014 Census Bureau American Community Survey (ACS) estimates the median age in Pasco as 28.3 year</w:t>
      </w:r>
      <w:r w:rsidR="00BB11F4">
        <w:t>s. The estimated median age in</w:t>
      </w:r>
      <w:r>
        <w:t xml:space="preserve"> Washington</w:t>
      </w:r>
      <w:r w:rsidR="00BB11F4">
        <w:t xml:space="preserve"> State</w:t>
      </w:r>
      <w:r>
        <w:t xml:space="preserve"> is approximately 37.4 years. Compared to the state, the percentage of the population over 65 is significantly lower in Pasco. However, the population group over age 65 is the fastest growing age group in the nation. National medical industry studies suggest that patients over 65 years of age are three times more likely to access local emergency services than other age groups. </w:t>
      </w:r>
      <w:r w:rsidR="00BB11F4">
        <w:t>N</w:t>
      </w:r>
      <w:r w:rsidRPr="009A45E8">
        <w:t>FPA studies indicate the population</w:t>
      </w:r>
      <w:r w:rsidR="00BB11F4">
        <w:t xml:space="preserve"> segments</w:t>
      </w:r>
      <w:r w:rsidRPr="009A45E8">
        <w:t xml:space="preserve"> over 65 or less than 5 </w:t>
      </w:r>
      <w:r w:rsidR="00BB11F4">
        <w:t>are</w:t>
      </w:r>
      <w:r w:rsidRPr="009A45E8">
        <w:t xml:space="preserve"> at higher risk for fatalities in residential fires.</w:t>
      </w:r>
      <w:r>
        <w:t xml:space="preserve"> The following figure displays additional demographic factors that can affect community risk in the PFD service area.</w:t>
      </w:r>
    </w:p>
    <w:p w14:paraId="48036888" w14:textId="1F190C43" w:rsidR="001C4073" w:rsidRDefault="001C4073" w:rsidP="00BB11F4">
      <w:pPr>
        <w:pStyle w:val="Caption"/>
      </w:pPr>
      <w:bookmarkStart w:id="277" w:name="_Toc464323728"/>
      <w:r>
        <w:t xml:space="preserve">Figure </w:t>
      </w:r>
      <w:r w:rsidR="00432AD4">
        <w:fldChar w:fldCharType="begin"/>
      </w:r>
      <w:r w:rsidR="00432AD4">
        <w:instrText xml:space="preserve"> SEQ Figure \* ARABIC </w:instrText>
      </w:r>
      <w:r w:rsidR="00432AD4">
        <w:fldChar w:fldCharType="separate"/>
      </w:r>
      <w:r w:rsidR="008209A2">
        <w:rPr>
          <w:noProof/>
        </w:rPr>
        <w:t>86</w:t>
      </w:r>
      <w:r w:rsidR="00432AD4">
        <w:rPr>
          <w:noProof/>
        </w:rPr>
        <w:fldChar w:fldCharType="end"/>
      </w:r>
      <w:r>
        <w:t>: PFD Study Area Demographics, 2014 2014 US Census American Community Survey (ACS)</w:t>
      </w:r>
      <w:bookmarkEnd w:id="277"/>
    </w:p>
    <w:tbl>
      <w:tblPr>
        <w:tblW w:w="6359" w:type="dxa"/>
        <w:jc w:val="center"/>
        <w:tblLook w:val="04A0" w:firstRow="1" w:lastRow="0" w:firstColumn="1" w:lastColumn="0" w:noHBand="0" w:noVBand="1"/>
      </w:tblPr>
      <w:tblGrid>
        <w:gridCol w:w="3440"/>
        <w:gridCol w:w="1147"/>
        <w:gridCol w:w="1772"/>
      </w:tblGrid>
      <w:tr w:rsidR="001C4073" w:rsidRPr="007B33BD" w14:paraId="6598C578" w14:textId="77777777" w:rsidTr="001C4073">
        <w:trPr>
          <w:trHeight w:val="357"/>
          <w:tblHeader/>
          <w:jc w:val="center"/>
        </w:trPr>
        <w:tc>
          <w:tcPr>
            <w:tcW w:w="3440" w:type="dxa"/>
            <w:tcBorders>
              <w:top w:val="nil"/>
              <w:left w:val="nil"/>
              <w:bottom w:val="single" w:sz="4" w:space="0" w:color="auto"/>
              <w:right w:val="nil"/>
            </w:tcBorders>
            <w:shd w:val="clear" w:color="000000" w:fill="1F497D" w:themeFill="text2"/>
            <w:noWrap/>
            <w:vAlign w:val="center"/>
            <w:hideMark/>
          </w:tcPr>
          <w:p w14:paraId="45CE09C4" w14:textId="77777777" w:rsidR="001C4073" w:rsidRPr="00364BC1" w:rsidRDefault="001C4073" w:rsidP="001C4073">
            <w:pPr>
              <w:spacing w:after="0" w:line="240" w:lineRule="auto"/>
              <w:jc w:val="center"/>
              <w:rPr>
                <w:rFonts w:eastAsia="Times New Roman" w:cs="Times New Roman"/>
                <w:b/>
                <w:bCs/>
                <w:color w:val="FFFFFF"/>
                <w:sz w:val="20"/>
                <w:szCs w:val="20"/>
              </w:rPr>
            </w:pPr>
            <w:r w:rsidRPr="00364BC1">
              <w:rPr>
                <w:rFonts w:eastAsia="Times New Roman" w:cs="Times New Roman"/>
                <w:b/>
                <w:bCs/>
                <w:color w:val="FFFFFF"/>
                <w:sz w:val="20"/>
                <w:szCs w:val="20"/>
              </w:rPr>
              <w:t>Demographic</w:t>
            </w:r>
          </w:p>
        </w:tc>
        <w:tc>
          <w:tcPr>
            <w:tcW w:w="1147" w:type="dxa"/>
            <w:tcBorders>
              <w:top w:val="nil"/>
              <w:left w:val="nil"/>
              <w:bottom w:val="single" w:sz="4" w:space="0" w:color="auto"/>
              <w:right w:val="nil"/>
            </w:tcBorders>
            <w:shd w:val="clear" w:color="000000" w:fill="1F497D" w:themeFill="text2"/>
            <w:noWrap/>
            <w:vAlign w:val="center"/>
            <w:hideMark/>
          </w:tcPr>
          <w:p w14:paraId="0C596E50" w14:textId="77777777" w:rsidR="001C4073" w:rsidRPr="00364BC1" w:rsidRDefault="001C4073" w:rsidP="001C4073">
            <w:pPr>
              <w:spacing w:after="0" w:line="240" w:lineRule="auto"/>
              <w:jc w:val="center"/>
              <w:rPr>
                <w:rFonts w:eastAsia="Times New Roman" w:cs="Times New Roman"/>
                <w:b/>
                <w:bCs/>
                <w:color w:val="FFFFFF"/>
                <w:sz w:val="20"/>
                <w:szCs w:val="20"/>
              </w:rPr>
            </w:pPr>
            <w:r>
              <w:rPr>
                <w:rFonts w:eastAsia="Times New Roman" w:cs="Times New Roman"/>
                <w:b/>
                <w:bCs/>
                <w:color w:val="FFFFFF"/>
                <w:sz w:val="20"/>
                <w:szCs w:val="20"/>
              </w:rPr>
              <w:t>City of Pasco</w:t>
            </w:r>
          </w:p>
        </w:tc>
        <w:tc>
          <w:tcPr>
            <w:tcW w:w="1772" w:type="dxa"/>
            <w:tcBorders>
              <w:top w:val="nil"/>
              <w:left w:val="nil"/>
              <w:bottom w:val="single" w:sz="4" w:space="0" w:color="auto"/>
              <w:right w:val="nil"/>
            </w:tcBorders>
            <w:shd w:val="clear" w:color="000000" w:fill="1F497D" w:themeFill="text2"/>
            <w:vAlign w:val="center"/>
          </w:tcPr>
          <w:p w14:paraId="5DE998D3" w14:textId="77777777" w:rsidR="001C4073" w:rsidRPr="00364BC1" w:rsidRDefault="001C4073" w:rsidP="001C4073">
            <w:pPr>
              <w:spacing w:after="0" w:line="240" w:lineRule="auto"/>
              <w:jc w:val="center"/>
              <w:rPr>
                <w:rFonts w:eastAsia="Times New Roman" w:cs="Times New Roman"/>
                <w:b/>
                <w:bCs/>
                <w:color w:val="FFFFFF"/>
                <w:sz w:val="20"/>
                <w:szCs w:val="20"/>
              </w:rPr>
            </w:pPr>
            <w:r>
              <w:rPr>
                <w:rFonts w:eastAsia="Times New Roman" w:cs="Times New Roman"/>
                <w:b/>
                <w:bCs/>
                <w:color w:val="FFFFFF"/>
                <w:sz w:val="20"/>
                <w:szCs w:val="20"/>
              </w:rPr>
              <w:t>State of Washington</w:t>
            </w:r>
          </w:p>
        </w:tc>
      </w:tr>
      <w:tr w:rsidR="001C4073" w:rsidRPr="007B33BD" w14:paraId="5FAAA6E2" w14:textId="77777777" w:rsidTr="00BB11F4">
        <w:trPr>
          <w:trHeight w:val="432"/>
          <w:jc w:val="center"/>
        </w:trPr>
        <w:tc>
          <w:tcPr>
            <w:tcW w:w="3440" w:type="dxa"/>
            <w:tcBorders>
              <w:top w:val="nil"/>
              <w:left w:val="nil"/>
              <w:bottom w:val="nil"/>
              <w:right w:val="nil"/>
            </w:tcBorders>
            <w:shd w:val="clear" w:color="auto" w:fill="auto"/>
            <w:vAlign w:val="center"/>
            <w:hideMark/>
          </w:tcPr>
          <w:p w14:paraId="30DC7F3C" w14:textId="77777777" w:rsidR="001C4073" w:rsidRPr="00364BC1" w:rsidRDefault="001C4073" w:rsidP="001C4073">
            <w:pPr>
              <w:spacing w:after="0" w:line="240" w:lineRule="auto"/>
              <w:jc w:val="left"/>
              <w:rPr>
                <w:rFonts w:eastAsia="Times New Roman" w:cs="Times New Roman"/>
                <w:color w:val="000000"/>
                <w:sz w:val="20"/>
                <w:szCs w:val="20"/>
              </w:rPr>
            </w:pPr>
            <w:r w:rsidRPr="00364BC1">
              <w:rPr>
                <w:rFonts w:eastAsia="Times New Roman" w:cs="Times New Roman"/>
                <w:color w:val="000000"/>
                <w:sz w:val="20"/>
                <w:szCs w:val="20"/>
              </w:rPr>
              <w:t>Median household income</w:t>
            </w:r>
          </w:p>
        </w:tc>
        <w:tc>
          <w:tcPr>
            <w:tcW w:w="1147" w:type="dxa"/>
            <w:tcBorders>
              <w:top w:val="nil"/>
              <w:left w:val="nil"/>
              <w:bottom w:val="nil"/>
              <w:right w:val="nil"/>
            </w:tcBorders>
            <w:shd w:val="clear" w:color="auto" w:fill="auto"/>
            <w:vAlign w:val="center"/>
          </w:tcPr>
          <w:p w14:paraId="1609F731" w14:textId="77777777" w:rsidR="001C4073" w:rsidRPr="00364BC1" w:rsidRDefault="001C4073" w:rsidP="001C4073">
            <w:pPr>
              <w:spacing w:after="0" w:line="240" w:lineRule="auto"/>
              <w:jc w:val="center"/>
              <w:rPr>
                <w:rFonts w:eastAsia="Times New Roman" w:cs="Times New Roman"/>
                <w:color w:val="000000"/>
                <w:sz w:val="20"/>
                <w:szCs w:val="20"/>
              </w:rPr>
            </w:pPr>
            <w:r w:rsidRPr="00364BC1">
              <w:rPr>
                <w:rFonts w:eastAsia="Times New Roman" w:cs="Times New Roman"/>
                <w:color w:val="000000"/>
                <w:sz w:val="20"/>
                <w:szCs w:val="20"/>
              </w:rPr>
              <w:t>$</w:t>
            </w:r>
            <w:r>
              <w:rPr>
                <w:rFonts w:eastAsia="Times New Roman" w:cs="Times New Roman"/>
                <w:color w:val="000000"/>
                <w:sz w:val="20"/>
                <w:szCs w:val="20"/>
              </w:rPr>
              <w:t>54,700</w:t>
            </w:r>
          </w:p>
        </w:tc>
        <w:tc>
          <w:tcPr>
            <w:tcW w:w="1772" w:type="dxa"/>
            <w:tcBorders>
              <w:top w:val="nil"/>
              <w:left w:val="nil"/>
              <w:bottom w:val="nil"/>
              <w:right w:val="nil"/>
            </w:tcBorders>
            <w:vAlign w:val="center"/>
          </w:tcPr>
          <w:p w14:paraId="175CD6D7" w14:textId="77777777" w:rsidR="001C4073" w:rsidRPr="00364BC1" w:rsidRDefault="001C4073" w:rsidP="001C4073">
            <w:pPr>
              <w:spacing w:after="0" w:line="240" w:lineRule="auto"/>
              <w:jc w:val="center"/>
              <w:rPr>
                <w:rFonts w:eastAsia="Times New Roman" w:cs="Times New Roman"/>
                <w:color w:val="000000"/>
                <w:sz w:val="20"/>
                <w:szCs w:val="20"/>
              </w:rPr>
            </w:pPr>
            <w:r w:rsidRPr="00364BC1">
              <w:rPr>
                <w:rFonts w:eastAsia="Times New Roman" w:cs="Times New Roman"/>
                <w:color w:val="000000"/>
                <w:sz w:val="20"/>
                <w:szCs w:val="20"/>
              </w:rPr>
              <w:t>$</w:t>
            </w:r>
            <w:r>
              <w:rPr>
                <w:rFonts w:eastAsia="Times New Roman" w:cs="Times New Roman"/>
                <w:color w:val="000000"/>
                <w:sz w:val="20"/>
                <w:szCs w:val="20"/>
              </w:rPr>
              <w:t>60,294</w:t>
            </w:r>
          </w:p>
        </w:tc>
      </w:tr>
      <w:tr w:rsidR="001C4073" w:rsidRPr="007B33BD" w14:paraId="6B656B0E" w14:textId="77777777" w:rsidTr="00BB11F4">
        <w:trPr>
          <w:trHeight w:val="432"/>
          <w:jc w:val="center"/>
        </w:trPr>
        <w:tc>
          <w:tcPr>
            <w:tcW w:w="3440" w:type="dxa"/>
            <w:tcBorders>
              <w:top w:val="nil"/>
              <w:left w:val="nil"/>
              <w:bottom w:val="nil"/>
              <w:right w:val="nil"/>
            </w:tcBorders>
            <w:shd w:val="clear" w:color="000000" w:fill="D9D9D9"/>
            <w:vAlign w:val="center"/>
            <w:hideMark/>
          </w:tcPr>
          <w:p w14:paraId="30D10F75" w14:textId="77777777" w:rsidR="001C4073" w:rsidRPr="00364BC1" w:rsidRDefault="001C4073" w:rsidP="001C4073">
            <w:pPr>
              <w:spacing w:after="0" w:line="240" w:lineRule="auto"/>
              <w:jc w:val="left"/>
              <w:rPr>
                <w:rFonts w:eastAsia="Times New Roman" w:cs="Times New Roman"/>
                <w:color w:val="000000"/>
                <w:sz w:val="20"/>
                <w:szCs w:val="20"/>
              </w:rPr>
            </w:pPr>
            <w:r>
              <w:rPr>
                <w:rFonts w:eastAsia="Times New Roman" w:cs="Times New Roman"/>
                <w:color w:val="000000"/>
                <w:sz w:val="20"/>
                <w:szCs w:val="20"/>
              </w:rPr>
              <w:t>Owner-occupied Housing</w:t>
            </w:r>
          </w:p>
        </w:tc>
        <w:tc>
          <w:tcPr>
            <w:tcW w:w="1147" w:type="dxa"/>
            <w:tcBorders>
              <w:top w:val="nil"/>
              <w:left w:val="nil"/>
              <w:bottom w:val="nil"/>
              <w:right w:val="nil"/>
            </w:tcBorders>
            <w:shd w:val="clear" w:color="000000" w:fill="D9D9D9"/>
            <w:vAlign w:val="center"/>
            <w:hideMark/>
          </w:tcPr>
          <w:p w14:paraId="5F4ACFCC" w14:textId="77777777" w:rsidR="001C4073" w:rsidRPr="00364BC1" w:rsidRDefault="001C4073" w:rsidP="001C4073">
            <w:pPr>
              <w:spacing w:after="0" w:line="240" w:lineRule="auto"/>
              <w:jc w:val="center"/>
              <w:rPr>
                <w:rFonts w:eastAsia="Times New Roman" w:cs="Times New Roman"/>
                <w:color w:val="000000"/>
                <w:sz w:val="20"/>
                <w:szCs w:val="20"/>
              </w:rPr>
            </w:pPr>
            <w:r>
              <w:rPr>
                <w:rFonts w:eastAsia="Times New Roman" w:cs="Times New Roman"/>
                <w:color w:val="000000"/>
                <w:sz w:val="20"/>
                <w:szCs w:val="20"/>
              </w:rPr>
              <w:t>66.3</w:t>
            </w:r>
            <w:r w:rsidRPr="00364BC1">
              <w:rPr>
                <w:rFonts w:eastAsia="Times New Roman" w:cs="Times New Roman"/>
                <w:color w:val="000000"/>
                <w:sz w:val="20"/>
                <w:szCs w:val="20"/>
              </w:rPr>
              <w:t>%</w:t>
            </w:r>
          </w:p>
        </w:tc>
        <w:tc>
          <w:tcPr>
            <w:tcW w:w="1772" w:type="dxa"/>
            <w:tcBorders>
              <w:top w:val="nil"/>
              <w:left w:val="nil"/>
              <w:bottom w:val="nil"/>
              <w:right w:val="nil"/>
            </w:tcBorders>
            <w:shd w:val="clear" w:color="000000" w:fill="D9D9D9"/>
            <w:vAlign w:val="center"/>
          </w:tcPr>
          <w:p w14:paraId="5412AC36" w14:textId="77777777" w:rsidR="001C4073" w:rsidRPr="00364BC1" w:rsidRDefault="001C4073" w:rsidP="001C4073">
            <w:pPr>
              <w:spacing w:after="0" w:line="240" w:lineRule="auto"/>
              <w:jc w:val="center"/>
              <w:rPr>
                <w:rFonts w:eastAsia="Times New Roman" w:cs="Times New Roman"/>
                <w:color w:val="000000"/>
                <w:sz w:val="20"/>
                <w:szCs w:val="20"/>
              </w:rPr>
            </w:pPr>
            <w:r>
              <w:rPr>
                <w:rFonts w:eastAsia="Times New Roman" w:cs="Times New Roman"/>
                <w:color w:val="000000"/>
                <w:sz w:val="20"/>
                <w:szCs w:val="20"/>
              </w:rPr>
              <w:t>62.7</w:t>
            </w:r>
            <w:r w:rsidRPr="00364BC1">
              <w:rPr>
                <w:rFonts w:eastAsia="Times New Roman" w:cs="Times New Roman"/>
                <w:color w:val="000000"/>
                <w:sz w:val="20"/>
                <w:szCs w:val="20"/>
              </w:rPr>
              <w:t>%</w:t>
            </w:r>
          </w:p>
        </w:tc>
      </w:tr>
      <w:tr w:rsidR="001C4073" w:rsidRPr="007B33BD" w14:paraId="06BEA632" w14:textId="77777777" w:rsidTr="00BB11F4">
        <w:trPr>
          <w:trHeight w:val="432"/>
          <w:jc w:val="center"/>
        </w:trPr>
        <w:tc>
          <w:tcPr>
            <w:tcW w:w="3440" w:type="dxa"/>
            <w:tcBorders>
              <w:top w:val="nil"/>
              <w:left w:val="nil"/>
              <w:bottom w:val="nil"/>
              <w:right w:val="nil"/>
            </w:tcBorders>
            <w:shd w:val="clear" w:color="auto" w:fill="auto"/>
            <w:vAlign w:val="center"/>
            <w:hideMark/>
          </w:tcPr>
          <w:p w14:paraId="2CC8F751" w14:textId="77777777" w:rsidR="001C4073" w:rsidRPr="00364BC1" w:rsidRDefault="001C4073" w:rsidP="001C4073">
            <w:pPr>
              <w:spacing w:after="0" w:line="240" w:lineRule="auto"/>
              <w:jc w:val="left"/>
              <w:rPr>
                <w:rFonts w:eastAsia="Times New Roman" w:cs="Times New Roman"/>
                <w:color w:val="000000"/>
                <w:sz w:val="20"/>
                <w:szCs w:val="20"/>
              </w:rPr>
            </w:pPr>
            <w:r w:rsidRPr="00364BC1">
              <w:rPr>
                <w:rFonts w:eastAsia="Times New Roman" w:cs="Times New Roman"/>
                <w:color w:val="000000"/>
                <w:sz w:val="20"/>
                <w:szCs w:val="20"/>
              </w:rPr>
              <w:t xml:space="preserve">Persons without health insurance </w:t>
            </w:r>
          </w:p>
        </w:tc>
        <w:tc>
          <w:tcPr>
            <w:tcW w:w="1147" w:type="dxa"/>
            <w:tcBorders>
              <w:top w:val="nil"/>
              <w:left w:val="nil"/>
              <w:bottom w:val="nil"/>
              <w:right w:val="nil"/>
            </w:tcBorders>
            <w:shd w:val="clear" w:color="auto" w:fill="auto"/>
            <w:vAlign w:val="center"/>
            <w:hideMark/>
          </w:tcPr>
          <w:p w14:paraId="34C4A263" w14:textId="77777777" w:rsidR="001C4073" w:rsidRPr="00364BC1" w:rsidRDefault="001C4073" w:rsidP="001C4073">
            <w:pPr>
              <w:spacing w:after="0" w:line="240" w:lineRule="auto"/>
              <w:jc w:val="center"/>
              <w:rPr>
                <w:rFonts w:eastAsia="Times New Roman" w:cs="Times New Roman"/>
                <w:color w:val="000000"/>
                <w:sz w:val="20"/>
                <w:szCs w:val="20"/>
              </w:rPr>
            </w:pPr>
            <w:r>
              <w:rPr>
                <w:rFonts w:eastAsia="Times New Roman" w:cs="Times New Roman"/>
                <w:color w:val="000000"/>
                <w:sz w:val="20"/>
                <w:szCs w:val="20"/>
              </w:rPr>
              <w:t>20.6</w:t>
            </w:r>
            <w:r w:rsidRPr="00364BC1">
              <w:rPr>
                <w:rFonts w:eastAsia="Times New Roman" w:cs="Times New Roman"/>
                <w:color w:val="000000"/>
                <w:sz w:val="20"/>
                <w:szCs w:val="20"/>
              </w:rPr>
              <w:t>%</w:t>
            </w:r>
          </w:p>
        </w:tc>
        <w:tc>
          <w:tcPr>
            <w:tcW w:w="1772" w:type="dxa"/>
            <w:tcBorders>
              <w:top w:val="nil"/>
              <w:left w:val="nil"/>
              <w:bottom w:val="nil"/>
              <w:right w:val="nil"/>
            </w:tcBorders>
            <w:vAlign w:val="center"/>
          </w:tcPr>
          <w:p w14:paraId="76968023" w14:textId="77777777" w:rsidR="001C4073" w:rsidRPr="00364BC1" w:rsidRDefault="001C4073" w:rsidP="001C4073">
            <w:pPr>
              <w:spacing w:after="0" w:line="240" w:lineRule="auto"/>
              <w:jc w:val="center"/>
              <w:rPr>
                <w:rFonts w:eastAsia="Times New Roman" w:cs="Times New Roman"/>
                <w:color w:val="000000"/>
                <w:sz w:val="20"/>
                <w:szCs w:val="20"/>
              </w:rPr>
            </w:pPr>
            <w:r>
              <w:rPr>
                <w:rFonts w:eastAsia="Times New Roman" w:cs="Times New Roman"/>
                <w:color w:val="000000"/>
                <w:sz w:val="20"/>
                <w:szCs w:val="20"/>
              </w:rPr>
              <w:t>12.9</w:t>
            </w:r>
            <w:r w:rsidRPr="00364BC1">
              <w:rPr>
                <w:rFonts w:eastAsia="Times New Roman" w:cs="Times New Roman"/>
                <w:color w:val="000000"/>
                <w:sz w:val="20"/>
                <w:szCs w:val="20"/>
              </w:rPr>
              <w:t>%</w:t>
            </w:r>
          </w:p>
        </w:tc>
      </w:tr>
      <w:tr w:rsidR="001C4073" w:rsidRPr="007B33BD" w14:paraId="33B569FD" w14:textId="77777777" w:rsidTr="00BB11F4">
        <w:trPr>
          <w:trHeight w:val="432"/>
          <w:jc w:val="center"/>
        </w:trPr>
        <w:tc>
          <w:tcPr>
            <w:tcW w:w="3440" w:type="dxa"/>
            <w:tcBorders>
              <w:top w:val="nil"/>
              <w:left w:val="nil"/>
              <w:bottom w:val="nil"/>
              <w:right w:val="nil"/>
            </w:tcBorders>
            <w:shd w:val="clear" w:color="000000" w:fill="D9D9D9"/>
            <w:vAlign w:val="center"/>
            <w:hideMark/>
          </w:tcPr>
          <w:p w14:paraId="5AFA79CB" w14:textId="1DC24893" w:rsidR="001C4073" w:rsidRPr="00364BC1" w:rsidRDefault="001C4073" w:rsidP="001C4073">
            <w:pPr>
              <w:spacing w:after="0" w:line="240" w:lineRule="auto"/>
              <w:jc w:val="left"/>
              <w:rPr>
                <w:rFonts w:eastAsia="Times New Roman" w:cs="Times New Roman"/>
                <w:color w:val="000000"/>
                <w:sz w:val="20"/>
                <w:szCs w:val="20"/>
              </w:rPr>
            </w:pPr>
            <w:r w:rsidRPr="00364BC1">
              <w:rPr>
                <w:rFonts w:eastAsia="Times New Roman" w:cs="Times New Roman"/>
                <w:color w:val="000000"/>
                <w:sz w:val="20"/>
                <w:szCs w:val="20"/>
              </w:rPr>
              <w:t>Personal Income Below Federal Poverty Level</w:t>
            </w:r>
          </w:p>
        </w:tc>
        <w:tc>
          <w:tcPr>
            <w:tcW w:w="1147" w:type="dxa"/>
            <w:tcBorders>
              <w:top w:val="nil"/>
              <w:left w:val="nil"/>
              <w:bottom w:val="nil"/>
              <w:right w:val="nil"/>
            </w:tcBorders>
            <w:shd w:val="clear" w:color="000000" w:fill="D9D9D9"/>
            <w:vAlign w:val="center"/>
            <w:hideMark/>
          </w:tcPr>
          <w:p w14:paraId="561F5256" w14:textId="77777777" w:rsidR="001C4073" w:rsidRPr="00364BC1" w:rsidRDefault="001C4073" w:rsidP="001C4073">
            <w:pPr>
              <w:spacing w:after="0" w:line="240" w:lineRule="auto"/>
              <w:jc w:val="center"/>
              <w:rPr>
                <w:rFonts w:eastAsia="Times New Roman" w:cs="Times New Roman"/>
                <w:color w:val="000000"/>
                <w:sz w:val="20"/>
                <w:szCs w:val="20"/>
              </w:rPr>
            </w:pPr>
            <w:r w:rsidRPr="00364BC1">
              <w:rPr>
                <w:rFonts w:eastAsia="Times New Roman" w:cs="Times New Roman"/>
                <w:color w:val="000000"/>
                <w:sz w:val="20"/>
                <w:szCs w:val="20"/>
              </w:rPr>
              <w:t>20.</w:t>
            </w:r>
            <w:r>
              <w:rPr>
                <w:rFonts w:eastAsia="Times New Roman" w:cs="Times New Roman"/>
                <w:color w:val="000000"/>
                <w:sz w:val="20"/>
                <w:szCs w:val="20"/>
              </w:rPr>
              <w:t>5</w:t>
            </w:r>
            <w:r w:rsidRPr="00364BC1">
              <w:rPr>
                <w:rFonts w:eastAsia="Times New Roman" w:cs="Times New Roman"/>
                <w:color w:val="000000"/>
                <w:sz w:val="20"/>
                <w:szCs w:val="20"/>
              </w:rPr>
              <w:t>%</w:t>
            </w:r>
          </w:p>
        </w:tc>
        <w:tc>
          <w:tcPr>
            <w:tcW w:w="1772" w:type="dxa"/>
            <w:tcBorders>
              <w:top w:val="nil"/>
              <w:left w:val="nil"/>
              <w:bottom w:val="nil"/>
              <w:right w:val="nil"/>
            </w:tcBorders>
            <w:shd w:val="clear" w:color="000000" w:fill="D9D9D9"/>
            <w:vAlign w:val="center"/>
          </w:tcPr>
          <w:p w14:paraId="0AA6952C" w14:textId="77777777" w:rsidR="001C4073" w:rsidRPr="00364BC1" w:rsidRDefault="001C4073" w:rsidP="001C4073">
            <w:pPr>
              <w:spacing w:after="0" w:line="240" w:lineRule="auto"/>
              <w:jc w:val="center"/>
              <w:rPr>
                <w:rFonts w:eastAsia="Times New Roman" w:cs="Times New Roman"/>
                <w:color w:val="000000"/>
                <w:sz w:val="20"/>
                <w:szCs w:val="20"/>
              </w:rPr>
            </w:pPr>
            <w:r>
              <w:rPr>
                <w:rFonts w:eastAsia="Times New Roman" w:cs="Times New Roman"/>
                <w:color w:val="000000"/>
                <w:sz w:val="20"/>
                <w:szCs w:val="20"/>
              </w:rPr>
              <w:t>13.5</w:t>
            </w:r>
            <w:r w:rsidRPr="00364BC1">
              <w:rPr>
                <w:rFonts w:eastAsia="Times New Roman" w:cs="Times New Roman"/>
                <w:color w:val="000000"/>
                <w:sz w:val="20"/>
                <w:szCs w:val="20"/>
              </w:rPr>
              <w:t>%</w:t>
            </w:r>
          </w:p>
        </w:tc>
      </w:tr>
    </w:tbl>
    <w:p w14:paraId="51AFE0CE" w14:textId="77777777" w:rsidR="001C4073" w:rsidRDefault="001C4073" w:rsidP="00BB11F4">
      <w:pPr>
        <w:spacing w:after="0"/>
      </w:pPr>
    </w:p>
    <w:p w14:paraId="63502D21" w14:textId="0497CA56" w:rsidR="001C4073" w:rsidRDefault="001C4073" w:rsidP="001C4073">
      <w:r w:rsidRPr="009A45E8">
        <w:t>T</w:t>
      </w:r>
      <w:r w:rsidR="00497E4A">
        <w:t>he demographics displayed above</w:t>
      </w:r>
      <w:r w:rsidRPr="009A45E8">
        <w:t xml:space="preserve"> are factors </w:t>
      </w:r>
      <w:r w:rsidR="00497E4A">
        <w:t>which</w:t>
      </w:r>
      <w:r w:rsidRPr="009A45E8">
        <w:t xml:space="preserve"> indicate a population that is more likely to use fire department services than other populations. Individuals with lower incomes and no health insurance are more likely to use local EMS resources</w:t>
      </w:r>
      <w:r>
        <w:t xml:space="preserve"> compared to </w:t>
      </w:r>
      <w:r w:rsidRPr="009A45E8">
        <w:t xml:space="preserve">individuals with health insurance and a personal physician. </w:t>
      </w:r>
      <w:r w:rsidR="00497E4A">
        <w:t>A somewhat mitigating factor is that a</w:t>
      </w:r>
      <w:r w:rsidRPr="009A45E8">
        <w:t xml:space="preserve"> high percentage of owner occupied homes generally equates to wage earners willing to invest in the</w:t>
      </w:r>
      <w:r w:rsidR="00497E4A">
        <w:t>ir</w:t>
      </w:r>
      <w:r w:rsidRPr="009A45E8">
        <w:t xml:space="preserve"> community.</w:t>
      </w:r>
    </w:p>
    <w:p w14:paraId="15E03337" w14:textId="77777777" w:rsidR="001C4073" w:rsidRDefault="001C4073" w:rsidP="001C4073">
      <w:pPr>
        <w:pStyle w:val="Heading4"/>
      </w:pPr>
      <w:r>
        <w:t>Land Use</w:t>
      </w:r>
    </w:p>
    <w:p w14:paraId="551991DB" w14:textId="77777777" w:rsidR="001C4073" w:rsidRPr="009A45E8" w:rsidRDefault="001C4073" w:rsidP="00BB11F4">
      <w:pPr>
        <w:spacing w:after="0"/>
      </w:pPr>
      <w:r w:rsidRPr="009A45E8">
        <w:t xml:space="preserve">ESCI uses </w:t>
      </w:r>
      <w:r>
        <w:t xml:space="preserve">the data from the City of Pasco Comprehensive Plan </w:t>
      </w:r>
      <w:r w:rsidRPr="009A45E8">
        <w:t>to examine current and future land use</w:t>
      </w:r>
      <w:r>
        <w:t xml:space="preserve"> within the Pasco Urban Growth Area</w:t>
      </w:r>
      <w:r w:rsidRPr="009A45E8">
        <w:t>. Risk is assigned to the land use classifications to present a view of relative community risk.</w:t>
      </w:r>
    </w:p>
    <w:p w14:paraId="50FD6655" w14:textId="77777777" w:rsidR="001C4073" w:rsidRPr="009A45E8" w:rsidRDefault="001C4073" w:rsidP="00BB11F4">
      <w:pPr>
        <w:pStyle w:val="ListParagraph"/>
        <w:numPr>
          <w:ilvl w:val="0"/>
          <w:numId w:val="40"/>
        </w:numPr>
        <w:adjustRightInd/>
        <w:spacing w:after="120" w:line="240" w:lineRule="auto"/>
        <w:contextualSpacing w:val="0"/>
      </w:pPr>
      <w:r w:rsidRPr="009A45E8">
        <w:rPr>
          <w:b/>
        </w:rPr>
        <w:t>Low Risk</w:t>
      </w:r>
      <w:r w:rsidRPr="009A45E8">
        <w:t xml:space="preserve"> – Areas zoned for agricultural purposes, open space, low-density residential and other low intensity uses. </w:t>
      </w:r>
    </w:p>
    <w:p w14:paraId="244BBAAD" w14:textId="77777777" w:rsidR="001C4073" w:rsidRPr="009A45E8" w:rsidRDefault="001C4073" w:rsidP="00BB11F4">
      <w:pPr>
        <w:pStyle w:val="ListParagraph"/>
        <w:numPr>
          <w:ilvl w:val="0"/>
          <w:numId w:val="40"/>
        </w:numPr>
        <w:adjustRightInd/>
        <w:spacing w:after="120" w:line="240" w:lineRule="auto"/>
        <w:contextualSpacing w:val="0"/>
      </w:pPr>
      <w:r w:rsidRPr="009A45E8">
        <w:rPr>
          <w:b/>
        </w:rPr>
        <w:t>Moderate Risk</w:t>
      </w:r>
      <w:r w:rsidRPr="009A45E8">
        <w:t xml:space="preserve"> – Areas zoned for medium-density single-family properties, small commercial and office uses, low-intensity retail sales, and equivalently sized business activities.</w:t>
      </w:r>
    </w:p>
    <w:p w14:paraId="084532A0" w14:textId="77777777" w:rsidR="001C4073" w:rsidRPr="009A45E8" w:rsidRDefault="001C4073" w:rsidP="00BB11F4">
      <w:pPr>
        <w:pStyle w:val="ListParagraph"/>
        <w:numPr>
          <w:ilvl w:val="0"/>
          <w:numId w:val="40"/>
        </w:numPr>
        <w:adjustRightInd/>
        <w:spacing w:line="240" w:lineRule="auto"/>
        <w:contextualSpacing w:val="0"/>
      </w:pPr>
      <w:r w:rsidRPr="009A45E8">
        <w:rPr>
          <w:b/>
        </w:rPr>
        <w:t>High Risk</w:t>
      </w:r>
      <w:r w:rsidRPr="009A45E8">
        <w:t xml:space="preserve"> – Higher-intensity business districts, mixed use areas, high-density residential, industrial, warehousing, and large mercantile centers.</w:t>
      </w:r>
    </w:p>
    <w:p w14:paraId="61B3EB4E" w14:textId="77777777" w:rsidR="001C4073" w:rsidRDefault="001C4073" w:rsidP="001C4073">
      <w:r w:rsidRPr="009A45E8">
        <w:t xml:space="preserve">The following </w:t>
      </w:r>
      <w:r>
        <w:t>figure maps</w:t>
      </w:r>
      <w:r w:rsidRPr="009A45E8">
        <w:t xml:space="preserve"> relative community risk within the </w:t>
      </w:r>
      <w:r>
        <w:t>PFD</w:t>
      </w:r>
      <w:r w:rsidRPr="009A45E8">
        <w:t xml:space="preserve"> service area using the criteria listed above.</w:t>
      </w:r>
    </w:p>
    <w:p w14:paraId="4E56FE9B" w14:textId="40BD9B5B" w:rsidR="001C4073" w:rsidRDefault="001C4073" w:rsidP="00BB11F4">
      <w:pPr>
        <w:pStyle w:val="Caption"/>
      </w:pPr>
      <w:bookmarkStart w:id="278" w:name="_Toc464323729"/>
      <w:r>
        <w:t xml:space="preserve">Figure </w:t>
      </w:r>
      <w:r w:rsidR="00432AD4">
        <w:fldChar w:fldCharType="begin"/>
      </w:r>
      <w:r w:rsidR="00432AD4">
        <w:instrText xml:space="preserve"> SEQ Figure \* ARABIC </w:instrText>
      </w:r>
      <w:r w:rsidR="00432AD4">
        <w:fldChar w:fldCharType="separate"/>
      </w:r>
      <w:r w:rsidR="008209A2">
        <w:rPr>
          <w:noProof/>
        </w:rPr>
        <w:t>87</w:t>
      </w:r>
      <w:r w:rsidR="00432AD4">
        <w:rPr>
          <w:noProof/>
        </w:rPr>
        <w:fldChar w:fldCharType="end"/>
      </w:r>
      <w:r>
        <w:t>: PFD Study Area Community Risk and Land Use</w:t>
      </w:r>
      <w:bookmarkEnd w:id="278"/>
    </w:p>
    <w:p w14:paraId="7A725007" w14:textId="77777777" w:rsidR="001C4073" w:rsidRDefault="001C4073" w:rsidP="001C4073">
      <w:pPr>
        <w:jc w:val="center"/>
      </w:pPr>
      <w:r>
        <w:rPr>
          <w:noProof/>
          <w:lang w:eastAsia="en-US"/>
        </w:rPr>
        <w:drawing>
          <wp:inline distT="0" distB="0" distL="0" distR="0" wp14:anchorId="491E0917" wp14:editId="204F8236">
            <wp:extent cx="5943600" cy="4245610"/>
            <wp:effectExtent l="0" t="0" r="0" b="254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k by Land Use.jpg"/>
                    <pic:cNvPicPr/>
                  </pic:nvPicPr>
                  <pic:blipFill>
                    <a:blip r:embed="rId100">
                      <a:extLst>
                        <a:ext uri="{28A0092B-C50C-407E-A947-70E740481C1C}">
                          <a14:useLocalDpi xmlns:a14="http://schemas.microsoft.com/office/drawing/2010/main" val="0"/>
                        </a:ext>
                      </a:extLst>
                    </a:blip>
                    <a:stretch>
                      <a:fillRect/>
                    </a:stretch>
                  </pic:blipFill>
                  <pic:spPr>
                    <a:xfrm>
                      <a:off x="0" y="0"/>
                      <a:ext cx="5943600" cy="4245610"/>
                    </a:xfrm>
                    <a:prstGeom prst="rect">
                      <a:avLst/>
                    </a:prstGeom>
                  </pic:spPr>
                </pic:pic>
              </a:graphicData>
            </a:graphic>
          </wp:inline>
        </w:drawing>
      </w:r>
    </w:p>
    <w:p w14:paraId="0E7526F0" w14:textId="25019490" w:rsidR="001C4073" w:rsidRDefault="001C4073" w:rsidP="001C4073">
      <w:r>
        <w:t xml:space="preserve">The PFD service area </w:t>
      </w:r>
      <w:r w:rsidRPr="009A45E8">
        <w:t>is a</w:t>
      </w:r>
      <w:r>
        <w:t xml:space="preserve"> mix of low, moderate, and high </w:t>
      </w:r>
      <w:r w:rsidRPr="009A45E8">
        <w:t xml:space="preserve">risk properties. Residential properties are primarily single family dwellings (approximately </w:t>
      </w:r>
      <w:r>
        <w:t>90</w:t>
      </w:r>
      <w:r w:rsidRPr="009A45E8">
        <w:t xml:space="preserve"> percent). While single family dwellings are usually categorized as a moderate fire risk, they represent a lower risk when compared to commercia</w:t>
      </w:r>
      <w:r w:rsidR="00BB11F4">
        <w:t xml:space="preserve">l and industrial properties; </w:t>
      </w:r>
      <w:r w:rsidRPr="009A45E8">
        <w:t>low density residential areas are classified as low risk in this analysis.</w:t>
      </w:r>
      <w:r>
        <w:t xml:space="preserve"> </w:t>
      </w:r>
      <w:r w:rsidRPr="009A45E8">
        <w:t xml:space="preserve">Areas classified as moderate risk are predominantly commercial properties or </w:t>
      </w:r>
      <w:r>
        <w:t>commercial/residential mixed use</w:t>
      </w:r>
      <w:r w:rsidRPr="009A45E8">
        <w:t xml:space="preserve"> areas</w:t>
      </w:r>
      <w:r>
        <w:t xml:space="preserve">. The areas classified as high risk in this figure represent land designated as industrial, high density residential and high density mixed use. Note that the area east of Highway 395 is primarily designated for industrial land use. Currently, most of this area is undeveloped agricultural land; however, at some time in the future this land will be available for industrial use.  </w:t>
      </w:r>
    </w:p>
    <w:p w14:paraId="3F638B8C" w14:textId="77777777" w:rsidR="001C4073" w:rsidRDefault="001C4073" w:rsidP="001C4073">
      <w:r>
        <w:t>It is also helpful when discussing community risk to examine incident data to determine the types of properties that actually generate demand for fire department services. The next figure uses National Fire Incident Reporting System (NFIRS) data provided by PFD to display the actual property use associated with 2015 incidents.</w:t>
      </w:r>
    </w:p>
    <w:tbl>
      <w:tblPr>
        <w:tblW w:w="7739" w:type="dxa"/>
        <w:jc w:val="center"/>
        <w:tblLook w:val="04A0" w:firstRow="1" w:lastRow="0" w:firstColumn="1" w:lastColumn="0" w:noHBand="0" w:noVBand="1"/>
      </w:tblPr>
      <w:tblGrid>
        <w:gridCol w:w="4971"/>
        <w:gridCol w:w="2768"/>
      </w:tblGrid>
      <w:tr w:rsidR="001C4073" w:rsidRPr="00BB11F4" w14:paraId="74A05A04" w14:textId="77777777" w:rsidTr="00BB11F4">
        <w:trPr>
          <w:trHeight w:val="396"/>
          <w:tblHeader/>
          <w:jc w:val="center"/>
        </w:trPr>
        <w:tc>
          <w:tcPr>
            <w:tcW w:w="4971" w:type="dxa"/>
            <w:tcBorders>
              <w:left w:val="nil"/>
              <w:bottom w:val="single" w:sz="4" w:space="0" w:color="auto"/>
              <w:right w:val="nil"/>
            </w:tcBorders>
            <w:shd w:val="clear" w:color="auto" w:fill="365F91" w:themeFill="accent1" w:themeFillShade="BF"/>
            <w:noWrap/>
            <w:vAlign w:val="center"/>
            <w:hideMark/>
          </w:tcPr>
          <w:p w14:paraId="68ED42D6" w14:textId="77777777" w:rsidR="001C4073" w:rsidRPr="00BB11F4" w:rsidRDefault="001C4073" w:rsidP="001C4073">
            <w:pPr>
              <w:spacing w:after="0" w:line="240" w:lineRule="auto"/>
              <w:jc w:val="center"/>
              <w:rPr>
                <w:rFonts w:eastAsia="Times New Roman" w:cs="Times New Roman"/>
                <w:b/>
                <w:bCs/>
                <w:color w:val="FFFFFF"/>
                <w:sz w:val="20"/>
                <w:szCs w:val="20"/>
                <w:lang w:eastAsia="en-US"/>
              </w:rPr>
            </w:pPr>
            <w:r w:rsidRPr="00BB11F4">
              <w:rPr>
                <w:rFonts w:eastAsia="Times New Roman" w:cs="Times New Roman"/>
                <w:b/>
                <w:bCs/>
                <w:color w:val="FFFFFF"/>
                <w:sz w:val="20"/>
                <w:szCs w:val="20"/>
                <w:lang w:eastAsia="en-US"/>
              </w:rPr>
              <w:t>NFIRS Property Use Category</w:t>
            </w:r>
          </w:p>
        </w:tc>
        <w:tc>
          <w:tcPr>
            <w:tcW w:w="2768" w:type="dxa"/>
            <w:tcBorders>
              <w:left w:val="nil"/>
              <w:bottom w:val="single" w:sz="4" w:space="0" w:color="auto"/>
              <w:right w:val="nil"/>
            </w:tcBorders>
            <w:shd w:val="clear" w:color="auto" w:fill="365F91" w:themeFill="accent1" w:themeFillShade="BF"/>
            <w:noWrap/>
            <w:vAlign w:val="center"/>
            <w:hideMark/>
          </w:tcPr>
          <w:p w14:paraId="712A08CB" w14:textId="77777777" w:rsidR="001C4073" w:rsidRPr="00BB11F4" w:rsidRDefault="001C4073" w:rsidP="001C4073">
            <w:pPr>
              <w:spacing w:after="0" w:line="240" w:lineRule="auto"/>
              <w:jc w:val="center"/>
              <w:rPr>
                <w:rFonts w:eastAsia="Times New Roman" w:cs="Times New Roman"/>
                <w:b/>
                <w:bCs/>
                <w:color w:val="FFFFFF"/>
                <w:sz w:val="20"/>
                <w:szCs w:val="20"/>
                <w:lang w:eastAsia="en-US"/>
              </w:rPr>
            </w:pPr>
            <w:r w:rsidRPr="00BB11F4">
              <w:rPr>
                <w:rFonts w:eastAsia="Times New Roman" w:cs="Times New Roman"/>
                <w:b/>
                <w:bCs/>
                <w:color w:val="FFFFFF"/>
                <w:sz w:val="20"/>
                <w:szCs w:val="20"/>
                <w:lang w:eastAsia="en-US"/>
              </w:rPr>
              <w:t>Percent of 2015 Incidents</w:t>
            </w:r>
          </w:p>
        </w:tc>
      </w:tr>
      <w:tr w:rsidR="001C4073" w:rsidRPr="00BB11F4" w14:paraId="7F55F7A3" w14:textId="77777777" w:rsidTr="001C4073">
        <w:trPr>
          <w:trHeight w:val="286"/>
          <w:jc w:val="center"/>
        </w:trPr>
        <w:tc>
          <w:tcPr>
            <w:tcW w:w="4971" w:type="dxa"/>
            <w:tcBorders>
              <w:top w:val="single" w:sz="4" w:space="0" w:color="auto"/>
              <w:left w:val="nil"/>
              <w:bottom w:val="nil"/>
              <w:right w:val="nil"/>
            </w:tcBorders>
            <w:shd w:val="clear" w:color="D9D9D9" w:fill="D9D9D9"/>
            <w:noWrap/>
            <w:vAlign w:val="center"/>
            <w:hideMark/>
          </w:tcPr>
          <w:p w14:paraId="46AA3879" w14:textId="77777777" w:rsidR="001C4073" w:rsidRPr="00BB11F4" w:rsidRDefault="001C4073" w:rsidP="001C4073">
            <w:pPr>
              <w:spacing w:after="0" w:line="240" w:lineRule="auto"/>
              <w:jc w:val="left"/>
              <w:rPr>
                <w:rFonts w:eastAsia="Times New Roman" w:cs="Times New Roman"/>
                <w:color w:val="000000"/>
                <w:sz w:val="20"/>
                <w:szCs w:val="20"/>
                <w:lang w:eastAsia="en-US"/>
              </w:rPr>
            </w:pPr>
            <w:r w:rsidRPr="00BB11F4">
              <w:rPr>
                <w:rFonts w:eastAsia="Times New Roman" w:cs="Times New Roman"/>
                <w:color w:val="000000"/>
                <w:sz w:val="20"/>
                <w:szCs w:val="20"/>
                <w:lang w:eastAsia="en-US"/>
              </w:rPr>
              <w:t>1 – Assembly (Restaurant, Bar, Theater, Library, Church, Airport Passenger Terminal)</w:t>
            </w:r>
          </w:p>
        </w:tc>
        <w:tc>
          <w:tcPr>
            <w:tcW w:w="2768" w:type="dxa"/>
            <w:tcBorders>
              <w:top w:val="single" w:sz="4" w:space="0" w:color="auto"/>
              <w:left w:val="nil"/>
              <w:bottom w:val="nil"/>
              <w:right w:val="nil"/>
            </w:tcBorders>
            <w:shd w:val="clear" w:color="D9D9D9" w:fill="D9D9D9"/>
            <w:noWrap/>
            <w:vAlign w:val="center"/>
          </w:tcPr>
          <w:p w14:paraId="0B455EE4" w14:textId="77777777" w:rsidR="001C4073" w:rsidRPr="00BB11F4" w:rsidRDefault="001C4073" w:rsidP="001C4073">
            <w:pPr>
              <w:spacing w:after="0" w:line="240" w:lineRule="auto"/>
              <w:jc w:val="center"/>
              <w:rPr>
                <w:rFonts w:eastAsia="Times New Roman" w:cs="Times New Roman"/>
                <w:color w:val="000000"/>
                <w:sz w:val="20"/>
                <w:szCs w:val="20"/>
                <w:lang w:eastAsia="en-US"/>
              </w:rPr>
            </w:pPr>
            <w:r w:rsidRPr="00BB11F4">
              <w:rPr>
                <w:rFonts w:eastAsia="Times New Roman" w:cs="Times New Roman"/>
                <w:color w:val="000000"/>
                <w:sz w:val="20"/>
                <w:szCs w:val="20"/>
                <w:lang w:eastAsia="en-US"/>
              </w:rPr>
              <w:t>4.1%</w:t>
            </w:r>
          </w:p>
        </w:tc>
      </w:tr>
      <w:tr w:rsidR="001C4073" w:rsidRPr="00BB11F4" w14:paraId="0D242EBB" w14:textId="77777777" w:rsidTr="001C4073">
        <w:trPr>
          <w:trHeight w:val="286"/>
          <w:jc w:val="center"/>
        </w:trPr>
        <w:tc>
          <w:tcPr>
            <w:tcW w:w="4971" w:type="dxa"/>
            <w:tcBorders>
              <w:top w:val="nil"/>
              <w:left w:val="nil"/>
              <w:bottom w:val="nil"/>
              <w:right w:val="nil"/>
            </w:tcBorders>
            <w:shd w:val="clear" w:color="auto" w:fill="auto"/>
            <w:noWrap/>
            <w:vAlign w:val="center"/>
            <w:hideMark/>
          </w:tcPr>
          <w:p w14:paraId="200A2BDE" w14:textId="77777777" w:rsidR="001C4073" w:rsidRPr="00BB11F4" w:rsidRDefault="001C4073" w:rsidP="001C4073">
            <w:pPr>
              <w:spacing w:after="0" w:line="240" w:lineRule="auto"/>
              <w:jc w:val="left"/>
              <w:rPr>
                <w:rFonts w:eastAsia="Times New Roman" w:cs="Times New Roman"/>
                <w:color w:val="000000"/>
                <w:sz w:val="20"/>
                <w:szCs w:val="20"/>
                <w:lang w:eastAsia="en-US"/>
              </w:rPr>
            </w:pPr>
            <w:r w:rsidRPr="00BB11F4">
              <w:rPr>
                <w:rFonts w:eastAsia="Times New Roman" w:cs="Times New Roman"/>
                <w:color w:val="000000"/>
                <w:sz w:val="20"/>
                <w:szCs w:val="20"/>
                <w:lang w:eastAsia="en-US"/>
              </w:rPr>
              <w:t>2 – Educational (Private/Public School, Daycare Center)</w:t>
            </w:r>
          </w:p>
        </w:tc>
        <w:tc>
          <w:tcPr>
            <w:tcW w:w="2768" w:type="dxa"/>
            <w:tcBorders>
              <w:top w:val="nil"/>
              <w:left w:val="nil"/>
              <w:bottom w:val="nil"/>
              <w:right w:val="nil"/>
            </w:tcBorders>
            <w:shd w:val="clear" w:color="auto" w:fill="auto"/>
            <w:noWrap/>
            <w:vAlign w:val="center"/>
          </w:tcPr>
          <w:p w14:paraId="41419CAB" w14:textId="77777777" w:rsidR="001C4073" w:rsidRPr="00BB11F4" w:rsidRDefault="001C4073" w:rsidP="001C4073">
            <w:pPr>
              <w:spacing w:after="0" w:line="240" w:lineRule="auto"/>
              <w:jc w:val="center"/>
              <w:rPr>
                <w:rFonts w:eastAsia="Times New Roman" w:cs="Times New Roman"/>
                <w:color w:val="000000"/>
                <w:sz w:val="20"/>
                <w:szCs w:val="20"/>
                <w:lang w:eastAsia="en-US"/>
              </w:rPr>
            </w:pPr>
            <w:r w:rsidRPr="00BB11F4">
              <w:rPr>
                <w:rFonts w:eastAsia="Times New Roman" w:cs="Times New Roman"/>
                <w:color w:val="000000"/>
                <w:sz w:val="20"/>
                <w:szCs w:val="20"/>
                <w:lang w:eastAsia="en-US"/>
              </w:rPr>
              <w:t>2.8%</w:t>
            </w:r>
          </w:p>
        </w:tc>
      </w:tr>
      <w:tr w:rsidR="001C4073" w:rsidRPr="00BB11F4" w14:paraId="292CD121" w14:textId="77777777" w:rsidTr="001C4073">
        <w:trPr>
          <w:trHeight w:val="286"/>
          <w:jc w:val="center"/>
        </w:trPr>
        <w:tc>
          <w:tcPr>
            <w:tcW w:w="4971" w:type="dxa"/>
            <w:tcBorders>
              <w:top w:val="nil"/>
              <w:left w:val="nil"/>
              <w:bottom w:val="nil"/>
              <w:right w:val="nil"/>
            </w:tcBorders>
            <w:shd w:val="clear" w:color="D9D9D9" w:fill="D9D9D9"/>
            <w:noWrap/>
            <w:vAlign w:val="center"/>
            <w:hideMark/>
          </w:tcPr>
          <w:p w14:paraId="402170E9" w14:textId="0F779460" w:rsidR="001C4073" w:rsidRPr="00BB11F4" w:rsidRDefault="001C4073" w:rsidP="001C4073">
            <w:pPr>
              <w:spacing w:after="0" w:line="240" w:lineRule="auto"/>
              <w:jc w:val="left"/>
              <w:rPr>
                <w:rFonts w:eastAsia="Times New Roman" w:cs="Times New Roman"/>
                <w:color w:val="000000"/>
                <w:sz w:val="20"/>
                <w:szCs w:val="20"/>
                <w:lang w:eastAsia="en-US"/>
              </w:rPr>
            </w:pPr>
            <w:r w:rsidRPr="00BB11F4">
              <w:rPr>
                <w:rFonts w:eastAsia="Times New Roman" w:cs="Times New Roman"/>
                <w:color w:val="000000"/>
                <w:sz w:val="20"/>
                <w:szCs w:val="20"/>
                <w:lang w:eastAsia="en-US"/>
              </w:rPr>
              <w:t>3 – Health Care, Detention &amp; Correction (Nursing Home, Hospital, Doctor Office, Jail)</w:t>
            </w:r>
          </w:p>
        </w:tc>
        <w:tc>
          <w:tcPr>
            <w:tcW w:w="2768" w:type="dxa"/>
            <w:tcBorders>
              <w:top w:val="nil"/>
              <w:left w:val="nil"/>
              <w:bottom w:val="nil"/>
              <w:right w:val="nil"/>
            </w:tcBorders>
            <w:shd w:val="clear" w:color="D9D9D9" w:fill="D9D9D9"/>
            <w:noWrap/>
            <w:vAlign w:val="center"/>
          </w:tcPr>
          <w:p w14:paraId="5DF55E3A" w14:textId="77777777" w:rsidR="001C4073" w:rsidRPr="00BB11F4" w:rsidRDefault="001C4073" w:rsidP="001C4073">
            <w:pPr>
              <w:spacing w:after="0" w:line="240" w:lineRule="auto"/>
              <w:jc w:val="center"/>
              <w:rPr>
                <w:rFonts w:eastAsia="Times New Roman" w:cs="Times New Roman"/>
                <w:color w:val="000000"/>
                <w:sz w:val="20"/>
                <w:szCs w:val="20"/>
                <w:lang w:eastAsia="en-US"/>
              </w:rPr>
            </w:pPr>
            <w:r w:rsidRPr="00BB11F4">
              <w:rPr>
                <w:rFonts w:eastAsia="Times New Roman" w:cs="Times New Roman"/>
                <w:color w:val="000000"/>
                <w:sz w:val="20"/>
                <w:szCs w:val="20"/>
                <w:lang w:eastAsia="en-US"/>
              </w:rPr>
              <w:t>11.0%</w:t>
            </w:r>
          </w:p>
        </w:tc>
      </w:tr>
      <w:tr w:rsidR="001C4073" w:rsidRPr="00BB11F4" w14:paraId="547C6F57" w14:textId="77777777" w:rsidTr="001C4073">
        <w:trPr>
          <w:trHeight w:val="286"/>
          <w:jc w:val="center"/>
        </w:trPr>
        <w:tc>
          <w:tcPr>
            <w:tcW w:w="4971" w:type="dxa"/>
            <w:tcBorders>
              <w:top w:val="nil"/>
              <w:left w:val="nil"/>
              <w:bottom w:val="nil"/>
              <w:right w:val="nil"/>
            </w:tcBorders>
            <w:shd w:val="clear" w:color="auto" w:fill="auto"/>
            <w:noWrap/>
            <w:vAlign w:val="center"/>
            <w:hideMark/>
          </w:tcPr>
          <w:p w14:paraId="375FB4B5" w14:textId="77777777" w:rsidR="001C4073" w:rsidRPr="00BB11F4" w:rsidRDefault="001C4073" w:rsidP="001C4073">
            <w:pPr>
              <w:spacing w:after="0" w:line="240" w:lineRule="auto"/>
              <w:jc w:val="left"/>
              <w:rPr>
                <w:rFonts w:eastAsia="Times New Roman" w:cs="Times New Roman"/>
                <w:color w:val="000000"/>
                <w:sz w:val="20"/>
                <w:szCs w:val="20"/>
                <w:lang w:eastAsia="en-US"/>
              </w:rPr>
            </w:pPr>
            <w:r w:rsidRPr="00BB11F4">
              <w:rPr>
                <w:rFonts w:eastAsia="Times New Roman" w:cs="Times New Roman"/>
                <w:color w:val="000000"/>
                <w:sz w:val="20"/>
                <w:szCs w:val="20"/>
                <w:lang w:eastAsia="en-US"/>
              </w:rPr>
              <w:t>4 – Residential (Private Residence, Hotel/Motel, Residential Board and Care)</w:t>
            </w:r>
          </w:p>
        </w:tc>
        <w:tc>
          <w:tcPr>
            <w:tcW w:w="2768" w:type="dxa"/>
            <w:tcBorders>
              <w:top w:val="nil"/>
              <w:left w:val="nil"/>
              <w:bottom w:val="nil"/>
              <w:right w:val="nil"/>
            </w:tcBorders>
            <w:shd w:val="clear" w:color="auto" w:fill="auto"/>
            <w:noWrap/>
            <w:vAlign w:val="center"/>
          </w:tcPr>
          <w:p w14:paraId="6DA455CC" w14:textId="77777777" w:rsidR="001C4073" w:rsidRPr="00BB11F4" w:rsidRDefault="001C4073" w:rsidP="001C4073">
            <w:pPr>
              <w:spacing w:after="0" w:line="240" w:lineRule="auto"/>
              <w:jc w:val="center"/>
              <w:rPr>
                <w:rFonts w:eastAsia="Times New Roman" w:cs="Times New Roman"/>
                <w:color w:val="000000"/>
                <w:sz w:val="20"/>
                <w:szCs w:val="20"/>
                <w:lang w:eastAsia="en-US"/>
              </w:rPr>
            </w:pPr>
            <w:r w:rsidRPr="00BB11F4">
              <w:rPr>
                <w:rFonts w:eastAsia="Times New Roman" w:cs="Times New Roman"/>
                <w:color w:val="000000"/>
                <w:sz w:val="20"/>
                <w:szCs w:val="20"/>
                <w:lang w:eastAsia="en-US"/>
              </w:rPr>
              <w:t>56.4%</w:t>
            </w:r>
          </w:p>
        </w:tc>
      </w:tr>
      <w:tr w:rsidR="001C4073" w:rsidRPr="00BB11F4" w14:paraId="2F623533" w14:textId="77777777" w:rsidTr="001C4073">
        <w:trPr>
          <w:trHeight w:val="286"/>
          <w:jc w:val="center"/>
        </w:trPr>
        <w:tc>
          <w:tcPr>
            <w:tcW w:w="4971" w:type="dxa"/>
            <w:tcBorders>
              <w:top w:val="nil"/>
              <w:left w:val="nil"/>
              <w:bottom w:val="nil"/>
              <w:right w:val="nil"/>
            </w:tcBorders>
            <w:shd w:val="clear" w:color="D9D9D9" w:fill="D9D9D9"/>
            <w:noWrap/>
            <w:vAlign w:val="center"/>
            <w:hideMark/>
          </w:tcPr>
          <w:p w14:paraId="44C83CBD" w14:textId="77777777" w:rsidR="001C4073" w:rsidRPr="00BB11F4" w:rsidRDefault="001C4073" w:rsidP="001C4073">
            <w:pPr>
              <w:spacing w:after="0" w:line="240" w:lineRule="auto"/>
              <w:jc w:val="left"/>
              <w:rPr>
                <w:rFonts w:eastAsia="Times New Roman" w:cs="Times New Roman"/>
                <w:color w:val="000000"/>
                <w:sz w:val="20"/>
                <w:szCs w:val="20"/>
                <w:lang w:eastAsia="en-US"/>
              </w:rPr>
            </w:pPr>
            <w:r w:rsidRPr="00BB11F4">
              <w:rPr>
                <w:rFonts w:eastAsia="Times New Roman" w:cs="Times New Roman"/>
                <w:color w:val="000000"/>
                <w:sz w:val="20"/>
                <w:szCs w:val="20"/>
                <w:lang w:eastAsia="en-US"/>
              </w:rPr>
              <w:t>5 – Mercantile, Business (Grocery Store, Service Station, Business Office, Other Retail)</w:t>
            </w:r>
          </w:p>
        </w:tc>
        <w:tc>
          <w:tcPr>
            <w:tcW w:w="2768" w:type="dxa"/>
            <w:tcBorders>
              <w:top w:val="nil"/>
              <w:left w:val="nil"/>
              <w:bottom w:val="nil"/>
              <w:right w:val="nil"/>
            </w:tcBorders>
            <w:shd w:val="clear" w:color="D9D9D9" w:fill="D9D9D9"/>
            <w:noWrap/>
            <w:vAlign w:val="center"/>
          </w:tcPr>
          <w:p w14:paraId="50CEFA39" w14:textId="77777777" w:rsidR="001C4073" w:rsidRPr="00BB11F4" w:rsidRDefault="001C4073" w:rsidP="001C4073">
            <w:pPr>
              <w:spacing w:after="0" w:line="240" w:lineRule="auto"/>
              <w:jc w:val="center"/>
              <w:rPr>
                <w:rFonts w:eastAsia="Times New Roman" w:cs="Times New Roman"/>
                <w:color w:val="000000"/>
                <w:sz w:val="20"/>
                <w:szCs w:val="20"/>
                <w:lang w:eastAsia="en-US"/>
              </w:rPr>
            </w:pPr>
            <w:r w:rsidRPr="00BB11F4">
              <w:rPr>
                <w:rFonts w:eastAsia="Times New Roman" w:cs="Times New Roman"/>
                <w:color w:val="000000"/>
                <w:sz w:val="20"/>
                <w:szCs w:val="20"/>
                <w:lang w:eastAsia="en-US"/>
              </w:rPr>
              <w:t>4.9%</w:t>
            </w:r>
          </w:p>
        </w:tc>
      </w:tr>
      <w:tr w:rsidR="001C4073" w:rsidRPr="00BB11F4" w14:paraId="47BC08AF" w14:textId="77777777" w:rsidTr="001C4073">
        <w:trPr>
          <w:trHeight w:val="286"/>
          <w:jc w:val="center"/>
        </w:trPr>
        <w:tc>
          <w:tcPr>
            <w:tcW w:w="4971" w:type="dxa"/>
            <w:tcBorders>
              <w:top w:val="nil"/>
              <w:left w:val="nil"/>
              <w:bottom w:val="nil"/>
              <w:right w:val="nil"/>
            </w:tcBorders>
            <w:shd w:val="clear" w:color="auto" w:fill="auto"/>
            <w:noWrap/>
            <w:vAlign w:val="center"/>
            <w:hideMark/>
          </w:tcPr>
          <w:p w14:paraId="659FACDB" w14:textId="77777777" w:rsidR="001C4073" w:rsidRPr="00BB11F4" w:rsidRDefault="001C4073" w:rsidP="001C4073">
            <w:pPr>
              <w:spacing w:after="0" w:line="240" w:lineRule="auto"/>
              <w:jc w:val="left"/>
              <w:rPr>
                <w:rFonts w:eastAsia="Times New Roman" w:cs="Times New Roman"/>
                <w:color w:val="000000"/>
                <w:sz w:val="20"/>
                <w:szCs w:val="20"/>
                <w:lang w:eastAsia="en-US"/>
              </w:rPr>
            </w:pPr>
            <w:r w:rsidRPr="00BB11F4">
              <w:rPr>
                <w:rFonts w:eastAsia="Times New Roman" w:cs="Times New Roman"/>
                <w:color w:val="000000"/>
                <w:sz w:val="20"/>
                <w:szCs w:val="20"/>
                <w:lang w:eastAsia="en-US"/>
              </w:rPr>
              <w:t xml:space="preserve">6 – Industrial, Utility, Agriculture, Mining </w:t>
            </w:r>
          </w:p>
        </w:tc>
        <w:tc>
          <w:tcPr>
            <w:tcW w:w="2768" w:type="dxa"/>
            <w:tcBorders>
              <w:top w:val="nil"/>
              <w:left w:val="nil"/>
              <w:bottom w:val="nil"/>
              <w:right w:val="nil"/>
            </w:tcBorders>
            <w:shd w:val="clear" w:color="auto" w:fill="auto"/>
            <w:noWrap/>
            <w:vAlign w:val="center"/>
          </w:tcPr>
          <w:p w14:paraId="39B74AC4" w14:textId="77777777" w:rsidR="001C4073" w:rsidRPr="00BB11F4" w:rsidRDefault="001C4073" w:rsidP="001C4073">
            <w:pPr>
              <w:spacing w:after="0" w:line="240" w:lineRule="auto"/>
              <w:jc w:val="center"/>
              <w:rPr>
                <w:rFonts w:eastAsia="Times New Roman" w:cs="Times New Roman"/>
                <w:color w:val="000000"/>
                <w:sz w:val="20"/>
                <w:szCs w:val="20"/>
                <w:lang w:eastAsia="en-US"/>
              </w:rPr>
            </w:pPr>
            <w:r w:rsidRPr="00BB11F4">
              <w:rPr>
                <w:rFonts w:eastAsia="Times New Roman" w:cs="Times New Roman"/>
                <w:color w:val="000000"/>
                <w:sz w:val="20"/>
                <w:szCs w:val="20"/>
                <w:lang w:eastAsia="en-US"/>
              </w:rPr>
              <w:t>0.7%</w:t>
            </w:r>
          </w:p>
        </w:tc>
      </w:tr>
      <w:tr w:rsidR="001C4073" w:rsidRPr="00BB11F4" w14:paraId="58029923" w14:textId="77777777" w:rsidTr="001C4073">
        <w:trPr>
          <w:trHeight w:val="286"/>
          <w:jc w:val="center"/>
        </w:trPr>
        <w:tc>
          <w:tcPr>
            <w:tcW w:w="4971" w:type="dxa"/>
            <w:tcBorders>
              <w:top w:val="nil"/>
              <w:left w:val="nil"/>
              <w:right w:val="nil"/>
            </w:tcBorders>
            <w:shd w:val="clear" w:color="D9D9D9" w:fill="D9D9D9"/>
            <w:noWrap/>
            <w:vAlign w:val="center"/>
            <w:hideMark/>
          </w:tcPr>
          <w:p w14:paraId="13A6065B" w14:textId="77777777" w:rsidR="001C4073" w:rsidRPr="00BB11F4" w:rsidRDefault="001C4073" w:rsidP="001C4073">
            <w:pPr>
              <w:spacing w:after="0" w:line="240" w:lineRule="auto"/>
              <w:jc w:val="left"/>
              <w:rPr>
                <w:rFonts w:eastAsia="Times New Roman" w:cs="Times New Roman"/>
                <w:color w:val="000000"/>
                <w:sz w:val="20"/>
                <w:szCs w:val="20"/>
                <w:lang w:eastAsia="en-US"/>
              </w:rPr>
            </w:pPr>
            <w:r w:rsidRPr="00BB11F4">
              <w:rPr>
                <w:rFonts w:eastAsia="Times New Roman" w:cs="Times New Roman"/>
                <w:color w:val="000000"/>
                <w:sz w:val="20"/>
                <w:szCs w:val="20"/>
                <w:lang w:eastAsia="en-US"/>
              </w:rPr>
              <w:t>7 – Manufacturing</w:t>
            </w:r>
          </w:p>
        </w:tc>
        <w:tc>
          <w:tcPr>
            <w:tcW w:w="2768" w:type="dxa"/>
            <w:tcBorders>
              <w:top w:val="nil"/>
              <w:left w:val="nil"/>
              <w:right w:val="nil"/>
            </w:tcBorders>
            <w:shd w:val="clear" w:color="D9D9D9" w:fill="D9D9D9"/>
            <w:noWrap/>
            <w:vAlign w:val="center"/>
          </w:tcPr>
          <w:p w14:paraId="634E904C" w14:textId="77777777" w:rsidR="001C4073" w:rsidRPr="00BB11F4" w:rsidRDefault="001C4073" w:rsidP="001C4073">
            <w:pPr>
              <w:spacing w:after="0" w:line="240" w:lineRule="auto"/>
              <w:jc w:val="center"/>
              <w:rPr>
                <w:rFonts w:eastAsia="Times New Roman" w:cs="Times New Roman"/>
                <w:color w:val="000000"/>
                <w:sz w:val="20"/>
                <w:szCs w:val="20"/>
                <w:lang w:eastAsia="en-US"/>
              </w:rPr>
            </w:pPr>
            <w:r w:rsidRPr="00BB11F4">
              <w:rPr>
                <w:rFonts w:eastAsia="Times New Roman" w:cs="Times New Roman"/>
                <w:color w:val="000000"/>
                <w:sz w:val="20"/>
                <w:szCs w:val="20"/>
                <w:lang w:eastAsia="en-US"/>
              </w:rPr>
              <w:t>0.8%</w:t>
            </w:r>
          </w:p>
        </w:tc>
      </w:tr>
      <w:tr w:rsidR="001C4073" w:rsidRPr="00BB11F4" w14:paraId="0905B68E" w14:textId="77777777" w:rsidTr="001C4073">
        <w:trPr>
          <w:trHeight w:val="286"/>
          <w:jc w:val="center"/>
        </w:trPr>
        <w:tc>
          <w:tcPr>
            <w:tcW w:w="4971" w:type="dxa"/>
            <w:tcBorders>
              <w:top w:val="nil"/>
              <w:left w:val="nil"/>
              <w:right w:val="nil"/>
            </w:tcBorders>
            <w:shd w:val="clear" w:color="auto" w:fill="auto"/>
            <w:noWrap/>
            <w:vAlign w:val="center"/>
            <w:hideMark/>
          </w:tcPr>
          <w:p w14:paraId="76B9B245" w14:textId="77777777" w:rsidR="001C4073" w:rsidRPr="00BB11F4" w:rsidRDefault="001C4073" w:rsidP="001C4073">
            <w:pPr>
              <w:spacing w:after="0" w:line="240" w:lineRule="auto"/>
              <w:jc w:val="left"/>
              <w:rPr>
                <w:rFonts w:eastAsia="Times New Roman" w:cs="Times New Roman"/>
                <w:color w:val="000000"/>
                <w:sz w:val="20"/>
                <w:szCs w:val="20"/>
                <w:lang w:eastAsia="en-US"/>
              </w:rPr>
            </w:pPr>
            <w:r w:rsidRPr="00BB11F4">
              <w:rPr>
                <w:rFonts w:eastAsia="Times New Roman" w:cs="Times New Roman"/>
                <w:color w:val="000000"/>
                <w:sz w:val="20"/>
                <w:szCs w:val="20"/>
                <w:lang w:eastAsia="en-US"/>
              </w:rPr>
              <w:t>8 – Storage</w:t>
            </w:r>
          </w:p>
        </w:tc>
        <w:tc>
          <w:tcPr>
            <w:tcW w:w="2768" w:type="dxa"/>
            <w:tcBorders>
              <w:top w:val="nil"/>
              <w:left w:val="nil"/>
              <w:right w:val="nil"/>
            </w:tcBorders>
            <w:shd w:val="clear" w:color="auto" w:fill="auto"/>
            <w:noWrap/>
            <w:vAlign w:val="center"/>
          </w:tcPr>
          <w:p w14:paraId="4CF90A1C" w14:textId="77777777" w:rsidR="001C4073" w:rsidRPr="00BB11F4" w:rsidRDefault="001C4073" w:rsidP="001C4073">
            <w:pPr>
              <w:spacing w:after="0" w:line="240" w:lineRule="auto"/>
              <w:jc w:val="center"/>
              <w:rPr>
                <w:rFonts w:eastAsia="Times New Roman" w:cs="Times New Roman"/>
                <w:color w:val="000000"/>
                <w:sz w:val="20"/>
                <w:szCs w:val="20"/>
                <w:lang w:eastAsia="en-US"/>
              </w:rPr>
            </w:pPr>
            <w:r w:rsidRPr="00BB11F4">
              <w:rPr>
                <w:rFonts w:eastAsia="Times New Roman" w:cs="Times New Roman"/>
                <w:color w:val="000000"/>
                <w:sz w:val="20"/>
                <w:szCs w:val="20"/>
                <w:lang w:eastAsia="en-US"/>
              </w:rPr>
              <w:t>0.7%</w:t>
            </w:r>
          </w:p>
        </w:tc>
      </w:tr>
      <w:tr w:rsidR="001C4073" w:rsidRPr="00BB11F4" w14:paraId="7BB0B0C5" w14:textId="77777777" w:rsidTr="001C4073">
        <w:trPr>
          <w:trHeight w:val="286"/>
          <w:jc w:val="center"/>
        </w:trPr>
        <w:tc>
          <w:tcPr>
            <w:tcW w:w="4971" w:type="dxa"/>
            <w:tcBorders>
              <w:top w:val="nil"/>
              <w:left w:val="nil"/>
              <w:right w:val="nil"/>
            </w:tcBorders>
            <w:shd w:val="clear" w:color="auto" w:fill="D9D9D9" w:themeFill="background1" w:themeFillShade="D9"/>
            <w:noWrap/>
            <w:vAlign w:val="center"/>
          </w:tcPr>
          <w:p w14:paraId="3B392C05" w14:textId="77777777" w:rsidR="001C4073" w:rsidRPr="00BB11F4" w:rsidRDefault="001C4073" w:rsidP="001C4073">
            <w:pPr>
              <w:spacing w:after="0" w:line="240" w:lineRule="auto"/>
              <w:jc w:val="left"/>
              <w:rPr>
                <w:rFonts w:eastAsia="Times New Roman" w:cs="Times New Roman"/>
                <w:color w:val="000000"/>
                <w:sz w:val="20"/>
                <w:szCs w:val="20"/>
                <w:lang w:eastAsia="en-US"/>
              </w:rPr>
            </w:pPr>
            <w:r w:rsidRPr="00BB11F4">
              <w:rPr>
                <w:rFonts w:eastAsia="Times New Roman" w:cs="Times New Roman"/>
                <w:color w:val="000000"/>
                <w:sz w:val="20"/>
                <w:szCs w:val="20"/>
                <w:lang w:eastAsia="en-US"/>
              </w:rPr>
              <w:t>9 – Outside Property, Highway, Residential Street</w:t>
            </w:r>
          </w:p>
        </w:tc>
        <w:tc>
          <w:tcPr>
            <w:tcW w:w="2768" w:type="dxa"/>
            <w:tcBorders>
              <w:top w:val="nil"/>
              <w:left w:val="nil"/>
              <w:right w:val="nil"/>
            </w:tcBorders>
            <w:shd w:val="clear" w:color="auto" w:fill="D9D9D9" w:themeFill="background1" w:themeFillShade="D9"/>
            <w:noWrap/>
            <w:vAlign w:val="center"/>
          </w:tcPr>
          <w:p w14:paraId="1B5A8BC4" w14:textId="77777777" w:rsidR="001C4073" w:rsidRPr="00BB11F4" w:rsidRDefault="001C4073" w:rsidP="001C4073">
            <w:pPr>
              <w:spacing w:after="0" w:line="240" w:lineRule="auto"/>
              <w:jc w:val="center"/>
              <w:rPr>
                <w:rFonts w:eastAsia="Times New Roman" w:cs="Times New Roman"/>
                <w:color w:val="000000"/>
                <w:sz w:val="20"/>
                <w:szCs w:val="20"/>
                <w:lang w:eastAsia="en-US"/>
              </w:rPr>
            </w:pPr>
            <w:r w:rsidRPr="00BB11F4">
              <w:rPr>
                <w:rFonts w:eastAsia="Times New Roman" w:cs="Times New Roman"/>
                <w:color w:val="000000"/>
                <w:sz w:val="20"/>
                <w:szCs w:val="20"/>
                <w:lang w:eastAsia="en-US"/>
              </w:rPr>
              <w:t>18.1%</w:t>
            </w:r>
          </w:p>
        </w:tc>
      </w:tr>
    </w:tbl>
    <w:p w14:paraId="447A7C36" w14:textId="77777777" w:rsidR="001C4073" w:rsidRDefault="001C4073" w:rsidP="00BB11F4">
      <w:pPr>
        <w:spacing w:after="0"/>
        <w:jc w:val="center"/>
        <w:rPr>
          <w:rFonts w:asciiTheme="majorHAnsi" w:eastAsia="Calibri" w:hAnsiTheme="majorHAnsi" w:cs="Arial"/>
        </w:rPr>
      </w:pPr>
    </w:p>
    <w:p w14:paraId="29FC0D31" w14:textId="0D49EBE2" w:rsidR="001C4073" w:rsidRDefault="001C4073" w:rsidP="001C4073">
      <w:r>
        <w:t>Over 56 percent of PFD service demand in 2015 occurred in residential properties, principally one or two</w:t>
      </w:r>
      <w:r w:rsidR="00BB11F4">
        <w:t>-</w:t>
      </w:r>
      <w:r>
        <w:t>family dwellings. Approximately 18 percent of incidents took place on outside property</w:t>
      </w:r>
      <w:r w:rsidR="00BB11F4">
        <w:t>;</w:t>
      </w:r>
      <w:r>
        <w:t xml:space="preserve"> over 66 percent of these incidents happened on the street network (including state and federal highways) within the PFD service area. Incidents at properties categorized as </w:t>
      </w:r>
      <w:r w:rsidR="00BB11F4">
        <w:t>health care or d</w:t>
      </w:r>
      <w:r>
        <w:t>etention accounted for 11 percent of 2015 service demand. Nursing homes, doct</w:t>
      </w:r>
      <w:r w:rsidR="00BB11F4">
        <w:t>or</w:t>
      </w:r>
      <w:r>
        <w:t>s</w:t>
      </w:r>
      <w:r w:rsidR="00BB11F4">
        <w:t>’</w:t>
      </w:r>
      <w:r>
        <w:t xml:space="preserve"> offices, clinics, and hospitals, comprised over 80 percent </w:t>
      </w:r>
      <w:r w:rsidR="00BB11F4">
        <w:t xml:space="preserve">of </w:t>
      </w:r>
      <w:r>
        <w:t xml:space="preserve">service demand in the </w:t>
      </w:r>
      <w:r w:rsidR="00BB11F4">
        <w:t>health ca</w:t>
      </w:r>
      <w:r>
        <w:t xml:space="preserve">re category. The remaining incidents were distributed at various other property types as displayed above.  </w:t>
      </w:r>
    </w:p>
    <w:p w14:paraId="4592E804" w14:textId="77777777" w:rsidR="001C4073" w:rsidRDefault="001C4073" w:rsidP="001C4073">
      <w:pPr>
        <w:pStyle w:val="Heading4"/>
      </w:pPr>
      <w:r>
        <w:t>Transportation Risk</w:t>
      </w:r>
    </w:p>
    <w:p w14:paraId="2FDBCBC7" w14:textId="3D219829" w:rsidR="001C4073" w:rsidRDefault="001C4073" w:rsidP="001C4073">
      <w:r>
        <w:t xml:space="preserve">The nature and configuration of the transportation network through a fire jurisdiction can affect the response capabilities of emergency services and the types of risk present in the fire department’s service area. This is especially true in the PFD service area. The </w:t>
      </w:r>
      <w:r w:rsidR="00BB11F4">
        <w:t xml:space="preserve">following </w:t>
      </w:r>
      <w:r>
        <w:t xml:space="preserve">figure displays the elements of the transportation network in the PFD service area. </w:t>
      </w:r>
    </w:p>
    <w:p w14:paraId="1E256178" w14:textId="58F0B816" w:rsidR="001C4073" w:rsidRDefault="001C4073" w:rsidP="00BB11F4">
      <w:pPr>
        <w:pStyle w:val="Caption"/>
      </w:pPr>
      <w:bookmarkStart w:id="279" w:name="_Toc464323730"/>
      <w:r>
        <w:t xml:space="preserve">Figure </w:t>
      </w:r>
      <w:r w:rsidR="00432AD4">
        <w:fldChar w:fldCharType="begin"/>
      </w:r>
      <w:r w:rsidR="00432AD4">
        <w:instrText xml:space="preserve"> SEQ Figure \* ARABIC </w:instrText>
      </w:r>
      <w:r w:rsidR="00432AD4">
        <w:fldChar w:fldCharType="separate"/>
      </w:r>
      <w:r w:rsidR="008209A2">
        <w:rPr>
          <w:noProof/>
        </w:rPr>
        <w:t>88</w:t>
      </w:r>
      <w:r w:rsidR="00432AD4">
        <w:rPr>
          <w:noProof/>
        </w:rPr>
        <w:fldChar w:fldCharType="end"/>
      </w:r>
      <w:r>
        <w:t>: PFD Study Area Transportation Network</w:t>
      </w:r>
      <w:bookmarkEnd w:id="279"/>
    </w:p>
    <w:p w14:paraId="1B18F9B6" w14:textId="77777777" w:rsidR="001C4073" w:rsidRDefault="001C4073" w:rsidP="001C4073">
      <w:pPr>
        <w:jc w:val="center"/>
      </w:pPr>
      <w:r>
        <w:rPr>
          <w:noProof/>
          <w:lang w:eastAsia="en-US"/>
        </w:rPr>
        <w:drawing>
          <wp:inline distT="0" distB="0" distL="0" distR="0" wp14:anchorId="254316B4" wp14:editId="19CABD00">
            <wp:extent cx="5943600" cy="4245610"/>
            <wp:effectExtent l="0" t="0" r="0" b="254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portation Risk_skinny line.jpg"/>
                    <pic:cNvPicPr/>
                  </pic:nvPicPr>
                  <pic:blipFill>
                    <a:blip r:embed="rId101">
                      <a:extLst>
                        <a:ext uri="{28A0092B-C50C-407E-A947-70E740481C1C}">
                          <a14:useLocalDpi xmlns:a14="http://schemas.microsoft.com/office/drawing/2010/main" val="0"/>
                        </a:ext>
                      </a:extLst>
                    </a:blip>
                    <a:stretch>
                      <a:fillRect/>
                    </a:stretch>
                  </pic:blipFill>
                  <pic:spPr>
                    <a:xfrm>
                      <a:off x="0" y="0"/>
                      <a:ext cx="5943600" cy="4245610"/>
                    </a:xfrm>
                    <a:prstGeom prst="rect">
                      <a:avLst/>
                    </a:prstGeom>
                  </pic:spPr>
                </pic:pic>
              </a:graphicData>
            </a:graphic>
          </wp:inline>
        </w:drawing>
      </w:r>
    </w:p>
    <w:p w14:paraId="283068AD" w14:textId="00543DF8" w:rsidR="001C4073" w:rsidRDefault="001C4073" w:rsidP="001C4073">
      <w:r>
        <w:t>Three limited access highways (Interstate 182, Highway 395, and Highway 12) transect the Pasco area. The Burlington Northern and Santa Fe Railroad (BNSF) operates rail lines and a major switching yard within the city. The Port of Pasco operates a water transportation freight facility on the Columbia River and the T</w:t>
      </w:r>
      <w:r w:rsidR="00230016">
        <w:t>ri-</w:t>
      </w:r>
      <w:r>
        <w:t xml:space="preserve">Cities Airport is a FAA Index B commercial airport. </w:t>
      </w:r>
    </w:p>
    <w:p w14:paraId="642C791B" w14:textId="77777777" w:rsidR="001C4073" w:rsidRDefault="001C4073" w:rsidP="001C4073">
      <w:r>
        <w:t>The three highways that run through the PFD service area provide for rapid travel through the service area. However, limited access onto and across the highways can negatively affect travel time to some portions of the service area. Additionally, these transportation routes produce increased service demand due to traffic related emergencies. As discussed previously, incidents on the transportation network represented over 18 percent of PFD service demand in 2015.</w:t>
      </w:r>
    </w:p>
    <w:p w14:paraId="192EECDC" w14:textId="613649E2" w:rsidR="001C4073" w:rsidRDefault="001C4073" w:rsidP="001C4073">
      <w:r>
        <w:t xml:space="preserve">Rail lines in the PFD service area are a risk due to the nature and volume of the materials transported or handled. Large amounts of chemicals, flammables, and toxic material are transported daily on rail networks. The </w:t>
      </w:r>
      <w:r w:rsidRPr="00A51C79">
        <w:rPr>
          <w:i/>
        </w:rPr>
        <w:t>2015 Franklin County Comprehensive Emergency Management Plan</w:t>
      </w:r>
      <w:r>
        <w:t xml:space="preserve"> (CEMP) </w:t>
      </w:r>
      <w:r w:rsidR="001A11E9">
        <w:t>estimates</w:t>
      </w:r>
      <w:r>
        <w:t xml:space="preserve"> that over 1,000,000 gallons of combustible liquids are transported by rail through Pasco each week. </w:t>
      </w:r>
      <w:r w:rsidR="001A11E9">
        <w:t xml:space="preserve">However, Franklin County Emergency Management has not conducted or commissioned a </w:t>
      </w:r>
      <w:r w:rsidR="00BB11F4">
        <w:t>Commodity Flow S</w:t>
      </w:r>
      <w:r w:rsidR="001A11E9">
        <w:t xml:space="preserve">tudy, so the actual risk from rail incidents is not currently quantified. </w:t>
      </w:r>
      <w:r>
        <w:t>The rail lines and sidings located in the downtown core area (near Station 81) not only represent a</w:t>
      </w:r>
      <w:r w:rsidR="001A11E9">
        <w:t xml:space="preserve"> likely substantial </w:t>
      </w:r>
      <w:r>
        <w:t xml:space="preserve">level of risk, but also affect travel time for emergency vehicles in this area. </w:t>
      </w:r>
    </w:p>
    <w:p w14:paraId="3841648D" w14:textId="7ABD4B8C" w:rsidR="001C4073" w:rsidRDefault="001C4073" w:rsidP="001C4073">
      <w:r>
        <w:t>The Port of Pasco’s waterfront facilities increase activity and potential risk in the industrial area adjacent to the Columbia River. Historically</w:t>
      </w:r>
      <w:r w:rsidR="001A11E9">
        <w:t>,</w:t>
      </w:r>
      <w:r>
        <w:t xml:space="preserve"> service demand is not high in the waterfront area. However, the potential exists for complex fire or rescue incidents requiring specialized training or equipment or a large scale incident with far reaching financial and environmental consequences. In addition to the waterfront area, the Port of Pasco operates the Tri-Cities Airport. PFD provides ARFF service to the airport from Station 82. Examination of PFD incident data reveals that actual ARFF standby incidents are infrequent. PFD operations at the airport are discussed in detail elsewhere in this report. </w:t>
      </w:r>
    </w:p>
    <w:p w14:paraId="3FBB4AA4" w14:textId="77777777" w:rsidR="001C4073" w:rsidRDefault="001C4073" w:rsidP="001C4073">
      <w:pPr>
        <w:pStyle w:val="Heading4"/>
      </w:pPr>
      <w:r>
        <w:t xml:space="preserve">Other Risk Factors  </w:t>
      </w:r>
    </w:p>
    <w:p w14:paraId="0F2B521E" w14:textId="26B7CE6F" w:rsidR="001C4073" w:rsidRDefault="001C4073" w:rsidP="001C4073">
      <w:r>
        <w:t>The climate, veget</w:t>
      </w:r>
      <w:r w:rsidR="005718E9">
        <w:t>ation, and topography make wild</w:t>
      </w:r>
      <w:r>
        <w:t xml:space="preserve">land fire a regular risk in the PFD service area. There are pockets of undeveloped or primarily agricultural land inside the city limits, interspersed with residential structures. This increases the potential for a wildland fire to affect the residents of Pasco. In 2015, wildland fires represented approximately 25 percent of fire incidents in the PFD service area. The </w:t>
      </w:r>
      <w:r w:rsidR="008949CF">
        <w:t xml:space="preserve">Department </w:t>
      </w:r>
      <w:r>
        <w:t xml:space="preserve">operates two Type 6 brush units (one at Station 81 and one at Station 83). </w:t>
      </w:r>
      <w:r w:rsidR="008949CF">
        <w:t>PFD</w:t>
      </w:r>
      <w:r>
        <w:t xml:space="preserve"> works cooperatively with neighboring rural fire distr</w:t>
      </w:r>
      <w:r w:rsidR="008949CF">
        <w:t>icts and state and federal wild</w:t>
      </w:r>
      <w:r>
        <w:t>land fi</w:t>
      </w:r>
      <w:r w:rsidR="008949CF">
        <w:t>refighting agencies during wild</w:t>
      </w:r>
      <w:r>
        <w:t xml:space="preserve">land fire emergency incidents. PFD participates in the Franklin County Community Wildfire Protection Plan </w:t>
      </w:r>
      <w:r w:rsidR="008949CF">
        <w:t>(CWPP), which provides a countywide plan to mitigate wild</w:t>
      </w:r>
      <w:r>
        <w:t>land fire risk. ESCI encourages PFD to continue working pro-actively to promote wild-land fire prevention and education as part of the Franklin County CWPP.</w:t>
      </w:r>
    </w:p>
    <w:p w14:paraId="0BFA08E4" w14:textId="2926D159" w:rsidR="001C4073" w:rsidRDefault="001C4073" w:rsidP="001C4073">
      <w:r>
        <w:t xml:space="preserve">The Pasco Fire Department is the first responder to hazardous materials incidents within the PFD service area. In addition, PFD is a member of the Tri County Regional Hazardous Materials Response Team. The Franklin County CEMP identifies over 30 “Tier II” facilities in Pasco. These facilities have sufficient quantities of hazardous materials on site that regulations require they report to appropriate state and local agencies. </w:t>
      </w:r>
      <w:r w:rsidR="008949CF">
        <w:t xml:space="preserve"> </w:t>
      </w:r>
      <w:r>
        <w:t>PFD should assure that this information is available on apparatus</w:t>
      </w:r>
      <w:r w:rsidR="008949CF">
        <w:t xml:space="preserve"> mobile data terminals (MDT).  </w:t>
      </w:r>
      <w:r>
        <w:t xml:space="preserve">Further discussion of </w:t>
      </w:r>
      <w:r w:rsidR="008949CF">
        <w:t>hazardous material</w:t>
      </w:r>
      <w:r>
        <w:t xml:space="preserve">s responses is included in the </w:t>
      </w:r>
      <w:r w:rsidRPr="008949CF">
        <w:rPr>
          <w:i/>
        </w:rPr>
        <w:t>Current Conditions</w:t>
      </w:r>
      <w:r>
        <w:t xml:space="preserve"> section of this report.</w:t>
      </w:r>
    </w:p>
    <w:p w14:paraId="1233CAF4" w14:textId="4DD4A642" w:rsidR="001C4073" w:rsidRDefault="001C4073" w:rsidP="001C4073">
      <w:r>
        <w:t xml:space="preserve">Many buildings in the city are used for purposes that create a higher degree of risk.  Governmental buildings, high occupancy buildings, facilities providing care to vulnerable populations, and others may require greater numbers of </w:t>
      </w:r>
      <w:r w:rsidR="008949CF">
        <w:t xml:space="preserve">fire department </w:t>
      </w:r>
      <w:r>
        <w:t xml:space="preserve">resources during an emergency. Additionally, </w:t>
      </w:r>
      <w:r>
        <w:rPr>
          <w:rFonts w:cs="Calibri"/>
        </w:rPr>
        <w:t>c</w:t>
      </w:r>
      <w:r w:rsidRPr="004E35CD">
        <w:rPr>
          <w:rFonts w:cs="Calibri"/>
        </w:rPr>
        <w:t xml:space="preserve">ertain buildings, their contents, functions, </w:t>
      </w:r>
      <w:r>
        <w:rPr>
          <w:rFonts w:cs="Calibri"/>
        </w:rPr>
        <w:t>or</w:t>
      </w:r>
      <w:r w:rsidRPr="004E35CD">
        <w:rPr>
          <w:rFonts w:cs="Calibri"/>
        </w:rPr>
        <w:t xml:space="preserve"> </w:t>
      </w:r>
      <w:r>
        <w:rPr>
          <w:rFonts w:cs="Calibri"/>
        </w:rPr>
        <w:t xml:space="preserve">height and </w:t>
      </w:r>
      <w:r w:rsidRPr="004E35CD">
        <w:rPr>
          <w:rFonts w:cs="Calibri"/>
        </w:rPr>
        <w:t>size present a greater firefighting challenge and require special equipment, operations, and training.</w:t>
      </w:r>
      <w:r>
        <w:rPr>
          <w:rFonts w:cs="Calibri"/>
        </w:rPr>
        <w:t xml:space="preserve"> Building department and tax assessor data can be utilized to identify and map higher risk structures. ESCI encourages PFD to work with GIS personnel and the dispatch center to ensure that these buildings are included in the mapping da</w:t>
      </w:r>
      <w:r w:rsidR="008949CF">
        <w:rPr>
          <w:rFonts w:cs="Calibri"/>
        </w:rPr>
        <w:t>tabase and available on the MDT</w:t>
      </w:r>
      <w:r>
        <w:rPr>
          <w:rFonts w:cs="Calibri"/>
        </w:rPr>
        <w:t xml:space="preserve">s in PFD apparatus.   </w:t>
      </w:r>
    </w:p>
    <w:p w14:paraId="67FDA7FD" w14:textId="075BFE04" w:rsidR="001C4073" w:rsidRDefault="001C4073" w:rsidP="001C4073">
      <w:r>
        <w:t xml:space="preserve">The </w:t>
      </w:r>
      <w:r w:rsidRPr="00686AB8">
        <w:rPr>
          <w:i/>
        </w:rPr>
        <w:t>Franklin County Comprehensive Emergency Management Plan</w:t>
      </w:r>
      <w:r>
        <w:t xml:space="preserve"> provides a framework for mitigation, response, and recovery activities for natural and human caused hazards that may affect the residents of Franklin County. The City of Pasco and Pasco Fire Department participated in the 2015 update to </w:t>
      </w:r>
      <w:r w:rsidR="00952BC2">
        <w:t xml:space="preserve">the </w:t>
      </w:r>
      <w:r w:rsidR="008949CF">
        <w:t>plan,</w:t>
      </w:r>
      <w:r>
        <w:t xml:space="preserve"> and the City is a signatory to the document.  The CEMP identifies a multitude of natural and human caused hazards beyond those discussed above.  ESCI commends the City of Pasco and PFD for participating in the Comprehensive Emergency Management Plan</w:t>
      </w:r>
      <w:r w:rsidR="00952BC2">
        <w:t>ning</w:t>
      </w:r>
      <w:r>
        <w:t xml:space="preserve"> process. </w:t>
      </w:r>
    </w:p>
    <w:p w14:paraId="09227B57" w14:textId="77777777" w:rsidR="001C4073" w:rsidRPr="001031B7" w:rsidRDefault="001C4073" w:rsidP="001C4073">
      <w:pPr>
        <w:keepNext/>
        <w:keepLines/>
        <w:spacing w:before="200" w:after="0"/>
        <w:contextualSpacing/>
        <w:jc w:val="left"/>
        <w:outlineLvl w:val="3"/>
        <w:rPr>
          <w:rFonts w:eastAsiaTheme="majorEastAsia" w:cstheme="majorBidi"/>
          <w:bCs/>
          <w:i/>
          <w:iCs/>
          <w:color w:val="808080" w:themeColor="background1" w:themeShade="80"/>
        </w:rPr>
      </w:pPr>
      <w:r w:rsidRPr="001031B7">
        <w:rPr>
          <w:rFonts w:eastAsiaTheme="majorEastAsia" w:cstheme="majorBidi"/>
          <w:bCs/>
          <w:i/>
          <w:iCs/>
          <w:color w:val="808080" w:themeColor="background1" w:themeShade="80"/>
        </w:rPr>
        <w:t>Summary</w:t>
      </w:r>
    </w:p>
    <w:p w14:paraId="0AE277B3" w14:textId="77777777" w:rsidR="001C4073" w:rsidRPr="001031B7" w:rsidRDefault="001C4073" w:rsidP="001C4073">
      <w:pPr>
        <w:spacing w:after="0"/>
      </w:pPr>
      <w:r w:rsidRPr="001031B7">
        <w:t xml:space="preserve">The purpose of the community risk assessment presented above is to provide an overview of the nature of community risk in the </w:t>
      </w:r>
      <w:r>
        <w:t>Pasco Fire Department</w:t>
      </w:r>
      <w:r w:rsidRPr="001031B7">
        <w:t xml:space="preserve"> service area. ESCI recommends that </w:t>
      </w:r>
      <w:r>
        <w:t>PFD</w:t>
      </w:r>
      <w:r w:rsidRPr="001031B7">
        <w:t xml:space="preserve"> develop a Community Risk Assessment Plan that includes the following components:</w:t>
      </w:r>
    </w:p>
    <w:p w14:paraId="2D16BF42" w14:textId="77777777" w:rsidR="001C4073" w:rsidRPr="001031B7" w:rsidRDefault="001C4073" w:rsidP="007705AA">
      <w:pPr>
        <w:numPr>
          <w:ilvl w:val="0"/>
          <w:numId w:val="41"/>
        </w:numPr>
        <w:spacing w:after="60" w:line="240" w:lineRule="auto"/>
      </w:pPr>
      <w:r w:rsidRPr="001031B7">
        <w:t>Identification of risks</w:t>
      </w:r>
    </w:p>
    <w:p w14:paraId="5CB4076A" w14:textId="77777777" w:rsidR="001C4073" w:rsidRPr="001031B7" w:rsidRDefault="001C4073" w:rsidP="007705AA">
      <w:pPr>
        <w:numPr>
          <w:ilvl w:val="0"/>
          <w:numId w:val="41"/>
        </w:numPr>
        <w:spacing w:after="60" w:line="240" w:lineRule="auto"/>
      </w:pPr>
      <w:r w:rsidRPr="001031B7">
        <w:t>Categorization of risks (Low, Moderate, High)</w:t>
      </w:r>
    </w:p>
    <w:p w14:paraId="018D4F71" w14:textId="77777777" w:rsidR="001C4073" w:rsidRPr="001031B7" w:rsidRDefault="001C4073" w:rsidP="007705AA">
      <w:pPr>
        <w:numPr>
          <w:ilvl w:val="0"/>
          <w:numId w:val="41"/>
        </w:numPr>
        <w:spacing w:after="60" w:line="240" w:lineRule="auto"/>
      </w:pPr>
      <w:r w:rsidRPr="001031B7">
        <w:t>Development of strategies and tactics to mitigate risks</w:t>
      </w:r>
    </w:p>
    <w:p w14:paraId="252D650A" w14:textId="77777777" w:rsidR="001C4073" w:rsidRDefault="001C4073" w:rsidP="007705AA">
      <w:pPr>
        <w:numPr>
          <w:ilvl w:val="0"/>
          <w:numId w:val="41"/>
        </w:numPr>
        <w:spacing w:after="60" w:line="240" w:lineRule="auto"/>
      </w:pPr>
      <w:r w:rsidRPr="001031B7">
        <w:t>Determination of the appropriate level of fire department resources (apparatus and personnel)</w:t>
      </w:r>
    </w:p>
    <w:p w14:paraId="5989F2F2" w14:textId="7358FD41" w:rsidR="001C4073" w:rsidRDefault="001C4073" w:rsidP="007705AA">
      <w:pPr>
        <w:pStyle w:val="ListParagraph"/>
        <w:numPr>
          <w:ilvl w:val="0"/>
          <w:numId w:val="41"/>
        </w:numPr>
        <w:spacing w:after="60" w:line="240" w:lineRule="auto"/>
        <w:contextualSpacing w:val="0"/>
      </w:pPr>
      <w:r w:rsidRPr="001031B7">
        <w:t>Monitoring, evaluation, and modification of the Community Risk Plan</w:t>
      </w:r>
    </w:p>
    <w:p w14:paraId="37F89A61" w14:textId="6B063462" w:rsidR="00952BC2" w:rsidRDefault="00952BC2" w:rsidP="00952BC2">
      <w:pPr>
        <w:spacing w:after="60" w:line="240" w:lineRule="auto"/>
      </w:pPr>
    </w:p>
    <w:p w14:paraId="1A9AB6D2" w14:textId="77777777" w:rsidR="008949CF" w:rsidRDefault="008949CF" w:rsidP="00952BC2">
      <w:pPr>
        <w:pStyle w:val="Heading1"/>
        <w:sectPr w:rsidR="008949CF" w:rsidSect="00160980">
          <w:type w:val="oddPage"/>
          <w:pgSz w:w="12240" w:h="15840"/>
          <w:pgMar w:top="1440" w:right="1440" w:bottom="1440" w:left="1440" w:header="720" w:footer="720" w:gutter="0"/>
          <w:cols w:space="720"/>
          <w:docGrid w:linePitch="299"/>
        </w:sectPr>
      </w:pPr>
    </w:p>
    <w:p w14:paraId="68147322" w14:textId="6F2C8943" w:rsidR="00952BC2" w:rsidRPr="00686AB8" w:rsidRDefault="00952BC2" w:rsidP="00952BC2">
      <w:pPr>
        <w:pStyle w:val="Heading1"/>
      </w:pPr>
      <w:bookmarkStart w:id="280" w:name="_Toc464323615"/>
      <w:r w:rsidRPr="00952BC2">
        <w:t>Future Delivery System Models</w:t>
      </w:r>
      <w:bookmarkEnd w:id="280"/>
    </w:p>
    <w:p w14:paraId="1C3A09BE" w14:textId="77777777" w:rsidR="001C4073" w:rsidRPr="00BB1F4B" w:rsidRDefault="001C4073" w:rsidP="001C4073">
      <w:pPr>
        <w:pStyle w:val="Heading2"/>
        <w:rPr>
          <w:rFonts w:asciiTheme="majorHAnsi" w:hAnsiTheme="majorHAnsi" w:cs="Calibri"/>
        </w:rPr>
      </w:pPr>
      <w:bookmarkStart w:id="281" w:name="_Toc384210451"/>
      <w:bookmarkStart w:id="282" w:name="_Toc401231825"/>
      <w:bookmarkStart w:id="283" w:name="_Toc464323616"/>
      <w:r w:rsidRPr="00BB1F4B">
        <w:rPr>
          <w:rFonts w:asciiTheme="majorHAnsi" w:hAnsiTheme="majorHAnsi" w:cs="Calibri"/>
        </w:rPr>
        <w:t>Development of Response Standards and Targets</w:t>
      </w:r>
      <w:bookmarkEnd w:id="281"/>
      <w:bookmarkEnd w:id="282"/>
      <w:bookmarkEnd w:id="283"/>
      <w:r w:rsidRPr="00BB1F4B">
        <w:rPr>
          <w:rFonts w:asciiTheme="majorHAnsi" w:hAnsiTheme="majorHAnsi" w:cs="Calibri"/>
        </w:rPr>
        <w:t xml:space="preserve"> </w:t>
      </w:r>
    </w:p>
    <w:p w14:paraId="79947551" w14:textId="77777777" w:rsidR="001C4073" w:rsidRDefault="001C4073" w:rsidP="001C4073">
      <w:r w:rsidRPr="00BB1F4B">
        <w:rPr>
          <w:rFonts w:asciiTheme="majorHAnsi" w:hAnsiTheme="majorHAnsi" w:cs="Calibri"/>
        </w:rPr>
        <w:t>ESCI emphasizes the importance of response standards and targets. Once established, these standards establish measurable goals for service delivery</w:t>
      </w:r>
      <w:r>
        <w:rPr>
          <w:rFonts w:asciiTheme="majorHAnsi" w:hAnsiTheme="majorHAnsi" w:cs="Calibri"/>
        </w:rPr>
        <w:t>,</w:t>
      </w:r>
      <w:r w:rsidRPr="00BB1F4B">
        <w:rPr>
          <w:rFonts w:asciiTheme="majorHAnsi" w:hAnsiTheme="majorHAnsi" w:cs="Calibri"/>
        </w:rPr>
        <w:t xml:space="preserve"> which then form the baseline for the deployment of resources. Response standards must be developed by the individual community</w:t>
      </w:r>
      <w:r>
        <w:rPr>
          <w:rFonts w:asciiTheme="majorHAnsi" w:hAnsiTheme="majorHAnsi" w:cs="Calibri"/>
        </w:rPr>
        <w:t>;</w:t>
      </w:r>
      <w:r w:rsidRPr="00BB1F4B">
        <w:rPr>
          <w:rFonts w:asciiTheme="majorHAnsi" w:hAnsiTheme="majorHAnsi" w:cs="Calibri"/>
        </w:rPr>
        <w:t xml:space="preserve"> and balanced against the financial aspect of what a community is able and willing to afford.</w:t>
      </w:r>
      <w:r>
        <w:t xml:space="preserve"> </w:t>
      </w:r>
    </w:p>
    <w:p w14:paraId="4F65A693" w14:textId="77777777" w:rsidR="001C4073" w:rsidRDefault="001C4073" w:rsidP="001C4073">
      <w:pPr>
        <w:pStyle w:val="Heading4"/>
      </w:pPr>
      <w:r>
        <w:t>RCW 35.103 Response Standards and Targets</w:t>
      </w:r>
    </w:p>
    <w:p w14:paraId="09B442E0" w14:textId="18AF25AB" w:rsidR="001C4073" w:rsidRDefault="001C4073" w:rsidP="00875F3C">
      <w:pPr>
        <w:spacing w:after="0"/>
      </w:pPr>
      <w:r>
        <w:t xml:space="preserve">As discussed in the Service Delivery analysis, the Pasco </w:t>
      </w:r>
      <w:r w:rsidR="00956065">
        <w:t xml:space="preserve">City Council </w:t>
      </w:r>
      <w:r>
        <w:t>has established the following response standards in accordance with RCW Chapter 35.103:</w:t>
      </w:r>
    </w:p>
    <w:p w14:paraId="63764D4F" w14:textId="77777777" w:rsidR="001C4073" w:rsidRDefault="001C4073" w:rsidP="00500DB3">
      <w:pPr>
        <w:pStyle w:val="ListParagraph"/>
        <w:numPr>
          <w:ilvl w:val="0"/>
          <w:numId w:val="42"/>
        </w:numPr>
        <w:spacing w:after="120" w:line="240" w:lineRule="auto"/>
        <w:ind w:left="720"/>
        <w:contextualSpacing w:val="0"/>
      </w:pPr>
      <w:r>
        <w:t>Fire Suppression Incident: First apparatus on scene and full first alarm assignment (Effective Response Force).</w:t>
      </w:r>
    </w:p>
    <w:p w14:paraId="4C80C9E8" w14:textId="77777777" w:rsidR="001C4073" w:rsidRDefault="001C4073" w:rsidP="00500DB3">
      <w:pPr>
        <w:pStyle w:val="ListParagraph"/>
        <w:numPr>
          <w:ilvl w:val="0"/>
          <w:numId w:val="42"/>
        </w:numPr>
        <w:spacing w:after="120" w:line="240" w:lineRule="auto"/>
        <w:ind w:left="720"/>
        <w:contextualSpacing w:val="0"/>
      </w:pPr>
      <w:r>
        <w:t>EMS: First apparatus (medically equipped) on scene and first advanced life support (ALS) apparatus on scene.</w:t>
      </w:r>
    </w:p>
    <w:p w14:paraId="03CEACF1" w14:textId="77777777" w:rsidR="001C4073" w:rsidRDefault="001C4073" w:rsidP="00500DB3">
      <w:pPr>
        <w:pStyle w:val="ListParagraph"/>
        <w:numPr>
          <w:ilvl w:val="0"/>
          <w:numId w:val="42"/>
        </w:numPr>
        <w:spacing w:after="120" w:line="240" w:lineRule="auto"/>
        <w:ind w:left="720"/>
        <w:contextualSpacing w:val="0"/>
      </w:pPr>
      <w:r>
        <w:t>Hazardous Materials: First apparatus on scene.</w:t>
      </w:r>
    </w:p>
    <w:p w14:paraId="2ACD3CFE" w14:textId="77777777" w:rsidR="001C4073" w:rsidRDefault="001C4073" w:rsidP="00500DB3">
      <w:pPr>
        <w:pStyle w:val="ListParagraph"/>
        <w:numPr>
          <w:ilvl w:val="0"/>
          <w:numId w:val="42"/>
        </w:numPr>
        <w:spacing w:after="120" w:line="240" w:lineRule="auto"/>
        <w:ind w:left="720"/>
        <w:contextualSpacing w:val="0"/>
      </w:pPr>
      <w:r>
        <w:t>Technical Rescue: First apparatus on scene.</w:t>
      </w:r>
    </w:p>
    <w:p w14:paraId="1EA9B2E5" w14:textId="77777777" w:rsidR="001C4073" w:rsidRDefault="001C4073" w:rsidP="00500DB3">
      <w:pPr>
        <w:pStyle w:val="ListParagraph"/>
        <w:numPr>
          <w:ilvl w:val="0"/>
          <w:numId w:val="42"/>
        </w:numPr>
        <w:spacing w:line="240" w:lineRule="auto"/>
        <w:ind w:left="720"/>
        <w:contextualSpacing w:val="0"/>
      </w:pPr>
      <w:r>
        <w:t>Aircraft Rescue and Firefighting: First apparatus on scene.</w:t>
      </w:r>
    </w:p>
    <w:p w14:paraId="6F40ADC4" w14:textId="77777777" w:rsidR="001C4073" w:rsidRDefault="001C4073" w:rsidP="00875F3C">
      <w:pPr>
        <w:spacing w:after="0"/>
      </w:pPr>
      <w:r>
        <w:t>The adopted standards for the incident categories listed above are:</w:t>
      </w:r>
    </w:p>
    <w:p w14:paraId="1F572959" w14:textId="3691B05B" w:rsidR="001C4073" w:rsidRDefault="001C4073" w:rsidP="00875F3C">
      <w:pPr>
        <w:pStyle w:val="ListParagraph"/>
        <w:numPr>
          <w:ilvl w:val="0"/>
          <w:numId w:val="43"/>
        </w:numPr>
        <w:spacing w:after="120" w:line="240" w:lineRule="auto"/>
        <w:contextualSpacing w:val="0"/>
      </w:pPr>
      <w:r>
        <w:t xml:space="preserve">Turnout Time: 2:00 minutes </w:t>
      </w:r>
      <w:r w:rsidR="00891F63">
        <w:t xml:space="preserve">or less 90 percent of the time </w:t>
      </w:r>
      <w:r>
        <w:t>(From the time dispatched to apparatus enroute).</w:t>
      </w:r>
    </w:p>
    <w:p w14:paraId="6DD9F998" w14:textId="3F0899C5" w:rsidR="001C4073" w:rsidRDefault="001C4073" w:rsidP="00875F3C">
      <w:pPr>
        <w:pStyle w:val="ListParagraph"/>
        <w:numPr>
          <w:ilvl w:val="0"/>
          <w:numId w:val="43"/>
        </w:numPr>
        <w:spacing w:after="120" w:line="240" w:lineRule="auto"/>
        <w:contextualSpacing w:val="0"/>
      </w:pPr>
      <w:r>
        <w:t xml:space="preserve">Travel Time: 6:00 minutes </w:t>
      </w:r>
      <w:r w:rsidR="00891F63" w:rsidRPr="00891F63">
        <w:t xml:space="preserve">or less 90 percent of the time </w:t>
      </w:r>
      <w:r>
        <w:t>(From the time apparatus is enroute to the arrival of the first apparatus on scene).</w:t>
      </w:r>
    </w:p>
    <w:p w14:paraId="5E493A3F" w14:textId="03FCA516" w:rsidR="001C4073" w:rsidRDefault="001C4073" w:rsidP="00875F3C">
      <w:pPr>
        <w:pStyle w:val="ListParagraph"/>
        <w:numPr>
          <w:ilvl w:val="0"/>
          <w:numId w:val="43"/>
        </w:numPr>
        <w:spacing w:after="120" w:line="240" w:lineRule="auto"/>
        <w:contextualSpacing w:val="0"/>
      </w:pPr>
      <w:r>
        <w:t xml:space="preserve">Travel Time: 6:00 minutes </w:t>
      </w:r>
      <w:r w:rsidR="00891F63" w:rsidRPr="00891F63">
        <w:t xml:space="preserve">or less 90 percent of the time </w:t>
      </w:r>
      <w:r>
        <w:t xml:space="preserve">(For the arrival of an advanced life support apparatus).  </w:t>
      </w:r>
    </w:p>
    <w:p w14:paraId="3A4C70CF" w14:textId="33008DD1" w:rsidR="001C4073" w:rsidRDefault="001C4073" w:rsidP="00875F3C">
      <w:pPr>
        <w:pStyle w:val="ListParagraph"/>
        <w:numPr>
          <w:ilvl w:val="0"/>
          <w:numId w:val="43"/>
        </w:numPr>
        <w:spacing w:line="240" w:lineRule="auto"/>
        <w:contextualSpacing w:val="0"/>
      </w:pPr>
      <w:r>
        <w:t xml:space="preserve">Travel Time: 12:00 minutes </w:t>
      </w:r>
      <w:r w:rsidR="00891F63" w:rsidRPr="00891F63">
        <w:t xml:space="preserve">or less 90 percent of the time </w:t>
      </w:r>
      <w:r>
        <w:t>(For the arrival of the full first alarm assignment at a fire suppression event).</w:t>
      </w:r>
    </w:p>
    <w:p w14:paraId="21907A96" w14:textId="2ECF4F23" w:rsidR="001C4073" w:rsidRDefault="001C4073" w:rsidP="001C4073">
      <w:r>
        <w:t>PFD</w:t>
      </w:r>
      <w:r w:rsidR="00875F3C">
        <w:t>’</w:t>
      </w:r>
      <w:r w:rsidR="00891F63">
        <w:t>s</w:t>
      </w:r>
      <w:r>
        <w:t xml:space="preserve"> ability to meet the standards listed above are discussed at length in the </w:t>
      </w:r>
      <w:r w:rsidRPr="00875F3C">
        <w:rPr>
          <w:i/>
        </w:rPr>
        <w:t>Response Performance</w:t>
      </w:r>
      <w:r>
        <w:t xml:space="preserve"> section. </w:t>
      </w:r>
    </w:p>
    <w:p w14:paraId="3EBB879C" w14:textId="77777777" w:rsidR="001C4073" w:rsidRDefault="001C4073" w:rsidP="001C4073">
      <w:pPr>
        <w:pStyle w:val="Heading3"/>
      </w:pPr>
      <w:bookmarkStart w:id="284" w:name="TOC258406280"/>
      <w:bookmarkStart w:id="285" w:name="_Toc361295229"/>
      <w:bookmarkStart w:id="286" w:name="_Toc392664859"/>
      <w:bookmarkStart w:id="287" w:name="_Toc427135644"/>
      <w:bookmarkStart w:id="288" w:name="_Toc464323617"/>
      <w:r w:rsidRPr="004D1F7C">
        <w:t>Critical Tasks, Risk, and Staffing Performance</w:t>
      </w:r>
      <w:bookmarkEnd w:id="284"/>
      <w:bookmarkEnd w:id="285"/>
      <w:bookmarkEnd w:id="286"/>
      <w:bookmarkEnd w:id="287"/>
      <w:bookmarkEnd w:id="288"/>
    </w:p>
    <w:p w14:paraId="3B4E5193" w14:textId="77777777" w:rsidR="001C4073" w:rsidRDefault="001C4073" w:rsidP="001C4073">
      <w:r>
        <w:t xml:space="preserve">The PFD service area consists of a primarily urban environment with a variety of risks. As the actual or potential risk increases, the need for higher numbers of personnel and apparatus also increases. With each type of incident and corresponding risk, specific critical tasks need to be accomplished and certain numbers and types of apparatus should be dispatched. The discussion below provides examples of the critical tasks that must be accomplished to mitigate different emergencies.    </w:t>
      </w:r>
    </w:p>
    <w:p w14:paraId="469C4F71" w14:textId="77777777" w:rsidR="001C4073" w:rsidRDefault="001C4073" w:rsidP="001C4073">
      <w:pPr>
        <w:pStyle w:val="Heading4"/>
      </w:pPr>
      <w:r>
        <w:t>Fires</w:t>
      </w:r>
    </w:p>
    <w:p w14:paraId="75A07020" w14:textId="77777777" w:rsidR="001C4073" w:rsidRPr="004D1F7C" w:rsidRDefault="001C4073" w:rsidP="00875F3C">
      <w:pPr>
        <w:spacing w:after="0"/>
      </w:pPr>
      <w:r w:rsidRPr="004D1F7C">
        <w:t>The number and types of tasks needing simultaneous action will dictate the minimum number of firefighters required to combat different types of fires. In the absence of adequate personnel to perform concurrent actions, the command officer must prioritize the tasks and complete some in chronological order, rather than concurrently. These tasks include:</w:t>
      </w:r>
    </w:p>
    <w:tbl>
      <w:tblPr>
        <w:tblW w:w="0" w:type="auto"/>
        <w:jc w:val="right"/>
        <w:shd w:val="clear" w:color="auto" w:fill="FFFFFF"/>
        <w:tblLayout w:type="fixed"/>
        <w:tblLook w:val="0000" w:firstRow="0" w:lastRow="0" w:firstColumn="0" w:lastColumn="0" w:noHBand="0" w:noVBand="0"/>
      </w:tblPr>
      <w:tblGrid>
        <w:gridCol w:w="4625"/>
        <w:gridCol w:w="4320"/>
      </w:tblGrid>
      <w:tr w:rsidR="001C4073" w:rsidRPr="00CA34C5" w14:paraId="3619794A" w14:textId="77777777" w:rsidTr="00500DB3">
        <w:trPr>
          <w:cantSplit/>
          <w:trHeight w:val="1300"/>
          <w:jc w:val="right"/>
        </w:trPr>
        <w:tc>
          <w:tcPr>
            <w:tcW w:w="4625" w:type="dxa"/>
            <w:shd w:val="clear" w:color="auto" w:fill="FFFFFF"/>
            <w:tcMar>
              <w:top w:w="0" w:type="dxa"/>
              <w:left w:w="0" w:type="dxa"/>
              <w:bottom w:w="0" w:type="dxa"/>
              <w:right w:w="0" w:type="dxa"/>
            </w:tcMar>
          </w:tcPr>
          <w:p w14:paraId="26FA5FCE" w14:textId="77777777" w:rsidR="001C4073" w:rsidRPr="00CA34C5" w:rsidRDefault="001C4073" w:rsidP="00875F3C">
            <w:pPr>
              <w:keepNext/>
              <w:keepLines/>
              <w:numPr>
                <w:ilvl w:val="0"/>
                <w:numId w:val="45"/>
              </w:numPr>
              <w:tabs>
                <w:tab w:val="left" w:pos="359"/>
              </w:tabs>
              <w:spacing w:after="120" w:line="240" w:lineRule="auto"/>
              <w:rPr>
                <w:szCs w:val="20"/>
              </w:rPr>
            </w:pPr>
            <w:r w:rsidRPr="00CA34C5">
              <w:rPr>
                <w:szCs w:val="20"/>
              </w:rPr>
              <w:t>Command</w:t>
            </w:r>
          </w:p>
          <w:p w14:paraId="6E3A3621" w14:textId="77777777" w:rsidR="001C4073" w:rsidRPr="00CA34C5" w:rsidRDefault="001C4073" w:rsidP="00875F3C">
            <w:pPr>
              <w:keepNext/>
              <w:keepLines/>
              <w:numPr>
                <w:ilvl w:val="0"/>
                <w:numId w:val="45"/>
              </w:numPr>
              <w:tabs>
                <w:tab w:val="left" w:pos="359"/>
              </w:tabs>
              <w:spacing w:after="120" w:line="240" w:lineRule="auto"/>
              <w:rPr>
                <w:szCs w:val="20"/>
              </w:rPr>
            </w:pPr>
            <w:r w:rsidRPr="00CA34C5">
              <w:rPr>
                <w:szCs w:val="20"/>
              </w:rPr>
              <w:t>Scene safety</w:t>
            </w:r>
          </w:p>
          <w:p w14:paraId="4A3B7717" w14:textId="77777777" w:rsidR="001C4073" w:rsidRPr="00CA34C5" w:rsidRDefault="001C4073" w:rsidP="00875F3C">
            <w:pPr>
              <w:keepNext/>
              <w:keepLines/>
              <w:numPr>
                <w:ilvl w:val="0"/>
                <w:numId w:val="45"/>
              </w:numPr>
              <w:tabs>
                <w:tab w:val="left" w:pos="359"/>
              </w:tabs>
              <w:spacing w:after="120" w:line="240" w:lineRule="auto"/>
              <w:rPr>
                <w:szCs w:val="20"/>
              </w:rPr>
            </w:pPr>
            <w:r w:rsidRPr="00CA34C5">
              <w:rPr>
                <w:szCs w:val="20"/>
              </w:rPr>
              <w:t>Search and rescue</w:t>
            </w:r>
          </w:p>
          <w:p w14:paraId="665484CB" w14:textId="77777777" w:rsidR="001C4073" w:rsidRPr="00CA34C5" w:rsidRDefault="001C4073" w:rsidP="00875F3C">
            <w:pPr>
              <w:keepNext/>
              <w:keepLines/>
              <w:numPr>
                <w:ilvl w:val="0"/>
                <w:numId w:val="45"/>
              </w:numPr>
              <w:tabs>
                <w:tab w:val="left" w:pos="359"/>
              </w:tabs>
              <w:spacing w:after="120" w:line="240" w:lineRule="auto"/>
              <w:rPr>
                <w:szCs w:val="20"/>
              </w:rPr>
            </w:pPr>
            <w:r w:rsidRPr="00CA34C5">
              <w:rPr>
                <w:szCs w:val="20"/>
              </w:rPr>
              <w:t>Fire attack</w:t>
            </w:r>
          </w:p>
        </w:tc>
        <w:tc>
          <w:tcPr>
            <w:tcW w:w="4320" w:type="dxa"/>
            <w:shd w:val="clear" w:color="auto" w:fill="FFFFFF"/>
            <w:tcMar>
              <w:top w:w="0" w:type="dxa"/>
              <w:left w:w="0" w:type="dxa"/>
              <w:bottom w:w="0" w:type="dxa"/>
              <w:right w:w="0" w:type="dxa"/>
            </w:tcMar>
          </w:tcPr>
          <w:p w14:paraId="53775EF9" w14:textId="77777777" w:rsidR="001C4073" w:rsidRPr="00CA34C5" w:rsidRDefault="001C4073" w:rsidP="00875F3C">
            <w:pPr>
              <w:keepNext/>
              <w:keepLines/>
              <w:numPr>
                <w:ilvl w:val="0"/>
                <w:numId w:val="44"/>
              </w:numPr>
              <w:tabs>
                <w:tab w:val="left" w:pos="385"/>
              </w:tabs>
              <w:spacing w:after="120" w:line="240" w:lineRule="auto"/>
              <w:rPr>
                <w:szCs w:val="20"/>
              </w:rPr>
            </w:pPr>
            <w:r w:rsidRPr="00CA34C5">
              <w:rPr>
                <w:szCs w:val="20"/>
              </w:rPr>
              <w:t>Water supply</w:t>
            </w:r>
          </w:p>
          <w:p w14:paraId="258360A2" w14:textId="77777777" w:rsidR="001C4073" w:rsidRPr="00CA34C5" w:rsidRDefault="001C4073" w:rsidP="00875F3C">
            <w:pPr>
              <w:keepNext/>
              <w:keepLines/>
              <w:numPr>
                <w:ilvl w:val="0"/>
                <w:numId w:val="44"/>
              </w:numPr>
              <w:tabs>
                <w:tab w:val="left" w:pos="385"/>
              </w:tabs>
              <w:spacing w:after="120" w:line="240" w:lineRule="auto"/>
              <w:rPr>
                <w:szCs w:val="20"/>
              </w:rPr>
            </w:pPr>
            <w:r w:rsidRPr="00CA34C5">
              <w:rPr>
                <w:szCs w:val="20"/>
              </w:rPr>
              <w:t>Pump operation</w:t>
            </w:r>
          </w:p>
          <w:p w14:paraId="3C1EE917" w14:textId="77777777" w:rsidR="001C4073" w:rsidRPr="00CA34C5" w:rsidRDefault="001C4073" w:rsidP="00875F3C">
            <w:pPr>
              <w:keepNext/>
              <w:keepLines/>
              <w:numPr>
                <w:ilvl w:val="0"/>
                <w:numId w:val="44"/>
              </w:numPr>
              <w:tabs>
                <w:tab w:val="left" w:pos="385"/>
              </w:tabs>
              <w:spacing w:after="120" w:line="240" w:lineRule="auto"/>
              <w:rPr>
                <w:szCs w:val="20"/>
              </w:rPr>
            </w:pPr>
            <w:r w:rsidRPr="00CA34C5">
              <w:rPr>
                <w:szCs w:val="20"/>
              </w:rPr>
              <w:t>Ventilation</w:t>
            </w:r>
          </w:p>
          <w:p w14:paraId="08E0E0B7" w14:textId="77777777" w:rsidR="001C4073" w:rsidRPr="00CA34C5" w:rsidRDefault="001C4073" w:rsidP="00875F3C">
            <w:pPr>
              <w:keepNext/>
              <w:keepLines/>
              <w:numPr>
                <w:ilvl w:val="0"/>
                <w:numId w:val="44"/>
              </w:numPr>
              <w:tabs>
                <w:tab w:val="left" w:pos="385"/>
              </w:tabs>
              <w:spacing w:after="120" w:line="240" w:lineRule="auto"/>
              <w:rPr>
                <w:szCs w:val="20"/>
              </w:rPr>
            </w:pPr>
            <w:r w:rsidRPr="00CA34C5">
              <w:rPr>
                <w:szCs w:val="20"/>
              </w:rPr>
              <w:t>Back-up/rapid intervention</w:t>
            </w:r>
          </w:p>
        </w:tc>
      </w:tr>
    </w:tbl>
    <w:p w14:paraId="0A4ED730" w14:textId="773D8DD8" w:rsidR="001C4073" w:rsidRDefault="001C4073" w:rsidP="00875F3C">
      <w:pPr>
        <w:spacing w:before="240"/>
      </w:pPr>
      <w:r>
        <w:t>The following figure illustrates a sample critical tasking for the number of personnel on scene for various levels of fire risk. This information is an example of critical tasking and is not intended to define the actual personnel necessary based on risk.</w:t>
      </w:r>
      <w:r w:rsidRPr="00C57178">
        <w:rPr>
          <w:rStyle w:val="FootnoteReference"/>
        </w:rPr>
        <w:footnoteReference w:id="38"/>
      </w:r>
      <w:r>
        <w:t xml:space="preserve"> </w:t>
      </w:r>
    </w:p>
    <w:p w14:paraId="0DA214F9" w14:textId="6B25E4F6" w:rsidR="001C4073" w:rsidRPr="00875F3C" w:rsidRDefault="001C4073" w:rsidP="00875F3C">
      <w:pPr>
        <w:pStyle w:val="Caption"/>
      </w:pPr>
      <w:bookmarkStart w:id="289" w:name="_Toc464323731"/>
      <w:r w:rsidRPr="00875F3C">
        <w:t xml:space="preserve">Figure </w:t>
      </w:r>
      <w:r w:rsidR="00432AD4">
        <w:fldChar w:fldCharType="begin"/>
      </w:r>
      <w:r w:rsidR="00432AD4">
        <w:instrText xml:space="preserve"> SEQ Figure \* ARABIC </w:instrText>
      </w:r>
      <w:r w:rsidR="00432AD4">
        <w:fldChar w:fldCharType="separate"/>
      </w:r>
      <w:r w:rsidR="008209A2">
        <w:rPr>
          <w:noProof/>
        </w:rPr>
        <w:t>89</w:t>
      </w:r>
      <w:r w:rsidR="00432AD4">
        <w:rPr>
          <w:noProof/>
        </w:rPr>
        <w:fldChar w:fldCharType="end"/>
      </w:r>
      <w:r w:rsidRPr="00875F3C">
        <w:t>: Sample Critical Task Staffing, Fire Risk</w:t>
      </w:r>
      <w:bookmarkEnd w:id="289"/>
    </w:p>
    <w:tbl>
      <w:tblPr>
        <w:tblW w:w="8640" w:type="dxa"/>
        <w:jc w:val="center"/>
        <w:tblLook w:val="04A0" w:firstRow="1" w:lastRow="0" w:firstColumn="1" w:lastColumn="0" w:noHBand="0" w:noVBand="1"/>
      </w:tblPr>
      <w:tblGrid>
        <w:gridCol w:w="3440"/>
        <w:gridCol w:w="1300"/>
        <w:gridCol w:w="1300"/>
        <w:gridCol w:w="1300"/>
        <w:gridCol w:w="1300"/>
      </w:tblGrid>
      <w:tr w:rsidR="001C4073" w:rsidRPr="00C57178" w14:paraId="2EE81426" w14:textId="77777777" w:rsidTr="001C4073">
        <w:trPr>
          <w:trHeight w:val="432"/>
          <w:jc w:val="center"/>
        </w:trPr>
        <w:tc>
          <w:tcPr>
            <w:tcW w:w="8640" w:type="dxa"/>
            <w:gridSpan w:val="5"/>
            <w:shd w:val="clear" w:color="auto" w:fill="365F91"/>
            <w:noWrap/>
            <w:vAlign w:val="bottom"/>
            <w:hideMark/>
          </w:tcPr>
          <w:p w14:paraId="1E0B4157" w14:textId="77777777" w:rsidR="001C4073" w:rsidRPr="00C57178" w:rsidRDefault="001C4073" w:rsidP="001C4073">
            <w:pPr>
              <w:keepNext/>
              <w:keepLines/>
              <w:spacing w:after="0" w:line="240" w:lineRule="auto"/>
              <w:jc w:val="center"/>
              <w:rPr>
                <w:b/>
                <w:bCs/>
                <w:color w:val="FFFFFF"/>
                <w:sz w:val="20"/>
                <w:szCs w:val="20"/>
              </w:rPr>
            </w:pPr>
            <w:r w:rsidRPr="00C57178">
              <w:rPr>
                <w:b/>
                <w:bCs/>
                <w:color w:val="FFFFFF"/>
                <w:sz w:val="20"/>
                <w:szCs w:val="20"/>
              </w:rPr>
              <w:t>Sample Critical Tasking Analysis</w:t>
            </w:r>
          </w:p>
          <w:p w14:paraId="30D678E1" w14:textId="77777777" w:rsidR="001C4073" w:rsidRPr="00C57178" w:rsidRDefault="001C4073" w:rsidP="001C4073">
            <w:pPr>
              <w:keepNext/>
              <w:keepLines/>
              <w:spacing w:after="0" w:line="240" w:lineRule="auto"/>
              <w:jc w:val="center"/>
              <w:rPr>
                <w:b/>
                <w:bCs/>
                <w:color w:val="FFFFFF"/>
                <w:sz w:val="20"/>
                <w:szCs w:val="20"/>
              </w:rPr>
            </w:pPr>
            <w:r w:rsidRPr="00C57178">
              <w:rPr>
                <w:b/>
                <w:bCs/>
                <w:color w:val="FFFFFF"/>
                <w:sz w:val="20"/>
                <w:szCs w:val="20"/>
              </w:rPr>
              <w:t>Firefighter Personnel Needed Based On Level of Risk</w:t>
            </w:r>
          </w:p>
        </w:tc>
      </w:tr>
      <w:tr w:rsidR="001C4073" w:rsidRPr="00C57178" w14:paraId="6AFCAB86" w14:textId="77777777" w:rsidTr="00875F3C">
        <w:trPr>
          <w:trHeight w:val="693"/>
          <w:jc w:val="center"/>
        </w:trPr>
        <w:tc>
          <w:tcPr>
            <w:tcW w:w="3440" w:type="dxa"/>
            <w:shd w:val="clear" w:color="auto" w:fill="BFBFBF"/>
            <w:vAlign w:val="center"/>
            <w:hideMark/>
          </w:tcPr>
          <w:p w14:paraId="1859C96D" w14:textId="77777777" w:rsidR="001C4073" w:rsidRPr="00C57178" w:rsidRDefault="001C4073" w:rsidP="001C4073">
            <w:pPr>
              <w:keepNext/>
              <w:keepLines/>
              <w:spacing w:after="0" w:line="240" w:lineRule="auto"/>
              <w:jc w:val="center"/>
              <w:rPr>
                <w:b/>
                <w:bCs/>
                <w:sz w:val="20"/>
                <w:szCs w:val="20"/>
              </w:rPr>
            </w:pPr>
          </w:p>
        </w:tc>
        <w:tc>
          <w:tcPr>
            <w:tcW w:w="1300" w:type="dxa"/>
            <w:shd w:val="clear" w:color="auto" w:fill="BFBFBF"/>
            <w:vAlign w:val="center"/>
            <w:hideMark/>
          </w:tcPr>
          <w:p w14:paraId="47912959" w14:textId="77777777" w:rsidR="001C4073" w:rsidRPr="00C57178" w:rsidRDefault="001C4073" w:rsidP="001C4073">
            <w:pPr>
              <w:keepNext/>
              <w:keepLines/>
              <w:spacing w:after="0" w:line="240" w:lineRule="auto"/>
              <w:jc w:val="center"/>
              <w:rPr>
                <w:b/>
                <w:bCs/>
                <w:sz w:val="20"/>
                <w:szCs w:val="20"/>
              </w:rPr>
            </w:pPr>
            <w:r w:rsidRPr="00C57178">
              <w:rPr>
                <w:b/>
                <w:bCs/>
                <w:sz w:val="20"/>
                <w:szCs w:val="20"/>
              </w:rPr>
              <w:t>Structural Maximum Risk</w:t>
            </w:r>
          </w:p>
        </w:tc>
        <w:tc>
          <w:tcPr>
            <w:tcW w:w="1300" w:type="dxa"/>
            <w:shd w:val="clear" w:color="auto" w:fill="BFBFBF"/>
            <w:vAlign w:val="center"/>
            <w:hideMark/>
          </w:tcPr>
          <w:p w14:paraId="26EC1180" w14:textId="77777777" w:rsidR="001C4073" w:rsidRPr="00C57178" w:rsidRDefault="001C4073" w:rsidP="001C4073">
            <w:pPr>
              <w:keepNext/>
              <w:keepLines/>
              <w:spacing w:after="0" w:line="240" w:lineRule="auto"/>
              <w:jc w:val="center"/>
              <w:rPr>
                <w:b/>
                <w:bCs/>
                <w:sz w:val="20"/>
                <w:szCs w:val="20"/>
              </w:rPr>
            </w:pPr>
            <w:r w:rsidRPr="00C57178">
              <w:rPr>
                <w:b/>
                <w:bCs/>
                <w:sz w:val="20"/>
                <w:szCs w:val="20"/>
              </w:rPr>
              <w:t>Structure Significant Risk</w:t>
            </w:r>
          </w:p>
        </w:tc>
        <w:tc>
          <w:tcPr>
            <w:tcW w:w="1300" w:type="dxa"/>
            <w:shd w:val="clear" w:color="auto" w:fill="BFBFBF"/>
            <w:vAlign w:val="center"/>
            <w:hideMark/>
          </w:tcPr>
          <w:p w14:paraId="496830FE" w14:textId="77777777" w:rsidR="001C4073" w:rsidRPr="00C57178" w:rsidRDefault="001C4073" w:rsidP="001C4073">
            <w:pPr>
              <w:keepNext/>
              <w:keepLines/>
              <w:spacing w:after="0" w:line="240" w:lineRule="auto"/>
              <w:jc w:val="center"/>
              <w:rPr>
                <w:b/>
                <w:bCs/>
                <w:sz w:val="20"/>
                <w:szCs w:val="20"/>
              </w:rPr>
            </w:pPr>
            <w:r w:rsidRPr="00C57178">
              <w:rPr>
                <w:b/>
                <w:bCs/>
                <w:sz w:val="20"/>
                <w:szCs w:val="20"/>
              </w:rPr>
              <w:t>Structure Moderate Risk</w:t>
            </w:r>
          </w:p>
        </w:tc>
        <w:tc>
          <w:tcPr>
            <w:tcW w:w="1300" w:type="dxa"/>
            <w:shd w:val="clear" w:color="auto" w:fill="BFBFBF"/>
            <w:vAlign w:val="center"/>
            <w:hideMark/>
          </w:tcPr>
          <w:p w14:paraId="3D2C63C7" w14:textId="77777777" w:rsidR="001C4073" w:rsidRPr="00C57178" w:rsidRDefault="001C4073" w:rsidP="001C4073">
            <w:pPr>
              <w:keepNext/>
              <w:keepLines/>
              <w:spacing w:after="0" w:line="240" w:lineRule="auto"/>
              <w:jc w:val="center"/>
              <w:rPr>
                <w:b/>
                <w:bCs/>
                <w:sz w:val="20"/>
                <w:szCs w:val="20"/>
              </w:rPr>
            </w:pPr>
            <w:r w:rsidRPr="00C57178">
              <w:rPr>
                <w:b/>
                <w:bCs/>
                <w:sz w:val="20"/>
                <w:szCs w:val="20"/>
              </w:rPr>
              <w:t>Non- Structure Low Risk</w:t>
            </w:r>
          </w:p>
        </w:tc>
      </w:tr>
      <w:tr w:rsidR="001C4073" w:rsidRPr="00C57178" w14:paraId="139D10B3" w14:textId="77777777" w:rsidTr="001C4073">
        <w:trPr>
          <w:trHeight w:val="300"/>
          <w:jc w:val="center"/>
        </w:trPr>
        <w:tc>
          <w:tcPr>
            <w:tcW w:w="3440" w:type="dxa"/>
            <w:shd w:val="clear" w:color="auto" w:fill="auto"/>
            <w:noWrap/>
            <w:vAlign w:val="bottom"/>
            <w:hideMark/>
          </w:tcPr>
          <w:p w14:paraId="7A4D1289" w14:textId="77777777" w:rsidR="001C4073" w:rsidRPr="00C57178" w:rsidRDefault="001C4073" w:rsidP="001C4073">
            <w:pPr>
              <w:keepNext/>
              <w:keepLines/>
              <w:spacing w:after="0" w:line="240" w:lineRule="auto"/>
              <w:jc w:val="left"/>
              <w:rPr>
                <w:sz w:val="20"/>
                <w:szCs w:val="20"/>
              </w:rPr>
            </w:pPr>
            <w:r w:rsidRPr="00C57178">
              <w:rPr>
                <w:sz w:val="20"/>
                <w:szCs w:val="20"/>
              </w:rPr>
              <w:t>Attack line</w:t>
            </w:r>
          </w:p>
        </w:tc>
        <w:tc>
          <w:tcPr>
            <w:tcW w:w="1300" w:type="dxa"/>
            <w:shd w:val="clear" w:color="auto" w:fill="auto"/>
            <w:noWrap/>
            <w:vAlign w:val="bottom"/>
            <w:hideMark/>
          </w:tcPr>
          <w:p w14:paraId="79CD1078" w14:textId="77777777" w:rsidR="001C4073" w:rsidRPr="00C57178" w:rsidRDefault="001C4073" w:rsidP="001C4073">
            <w:pPr>
              <w:keepNext/>
              <w:keepLines/>
              <w:spacing w:after="0" w:line="240" w:lineRule="auto"/>
              <w:jc w:val="center"/>
              <w:rPr>
                <w:sz w:val="20"/>
                <w:szCs w:val="20"/>
              </w:rPr>
            </w:pPr>
            <w:r w:rsidRPr="00C57178">
              <w:rPr>
                <w:sz w:val="20"/>
                <w:szCs w:val="20"/>
              </w:rPr>
              <w:t>4</w:t>
            </w:r>
          </w:p>
        </w:tc>
        <w:tc>
          <w:tcPr>
            <w:tcW w:w="1300" w:type="dxa"/>
            <w:shd w:val="clear" w:color="auto" w:fill="auto"/>
            <w:noWrap/>
            <w:vAlign w:val="bottom"/>
            <w:hideMark/>
          </w:tcPr>
          <w:p w14:paraId="4AFDD1CA" w14:textId="77777777" w:rsidR="001C4073" w:rsidRPr="00C57178" w:rsidRDefault="001C4073" w:rsidP="001C4073">
            <w:pPr>
              <w:keepNext/>
              <w:keepLines/>
              <w:spacing w:after="0" w:line="240" w:lineRule="auto"/>
              <w:jc w:val="center"/>
              <w:rPr>
                <w:sz w:val="20"/>
                <w:szCs w:val="20"/>
              </w:rPr>
            </w:pPr>
            <w:r w:rsidRPr="00C57178">
              <w:rPr>
                <w:sz w:val="20"/>
                <w:szCs w:val="20"/>
              </w:rPr>
              <w:t>4</w:t>
            </w:r>
          </w:p>
        </w:tc>
        <w:tc>
          <w:tcPr>
            <w:tcW w:w="1300" w:type="dxa"/>
            <w:shd w:val="clear" w:color="auto" w:fill="auto"/>
            <w:noWrap/>
            <w:vAlign w:val="bottom"/>
            <w:hideMark/>
          </w:tcPr>
          <w:p w14:paraId="06661884" w14:textId="77777777" w:rsidR="001C4073" w:rsidRPr="00C57178" w:rsidRDefault="001C4073" w:rsidP="001C4073">
            <w:pPr>
              <w:keepNext/>
              <w:keepLines/>
              <w:spacing w:after="0" w:line="240" w:lineRule="auto"/>
              <w:jc w:val="center"/>
              <w:rPr>
                <w:sz w:val="20"/>
                <w:szCs w:val="20"/>
              </w:rPr>
            </w:pPr>
            <w:r w:rsidRPr="00C57178">
              <w:rPr>
                <w:sz w:val="20"/>
                <w:szCs w:val="20"/>
              </w:rPr>
              <w:t>2</w:t>
            </w:r>
          </w:p>
        </w:tc>
        <w:tc>
          <w:tcPr>
            <w:tcW w:w="1300" w:type="dxa"/>
            <w:shd w:val="clear" w:color="auto" w:fill="auto"/>
            <w:noWrap/>
            <w:vAlign w:val="bottom"/>
            <w:hideMark/>
          </w:tcPr>
          <w:p w14:paraId="15C7232C" w14:textId="77777777" w:rsidR="001C4073" w:rsidRPr="00C57178" w:rsidRDefault="001C4073" w:rsidP="001C4073">
            <w:pPr>
              <w:keepNext/>
              <w:keepLines/>
              <w:spacing w:after="0" w:line="240" w:lineRule="auto"/>
              <w:jc w:val="center"/>
              <w:rPr>
                <w:sz w:val="20"/>
                <w:szCs w:val="20"/>
              </w:rPr>
            </w:pPr>
            <w:r w:rsidRPr="00C57178">
              <w:rPr>
                <w:sz w:val="20"/>
                <w:szCs w:val="20"/>
              </w:rPr>
              <w:t>2</w:t>
            </w:r>
          </w:p>
        </w:tc>
      </w:tr>
      <w:tr w:rsidR="001C4073" w:rsidRPr="00C57178" w14:paraId="50DCC31D" w14:textId="77777777" w:rsidTr="001C4073">
        <w:trPr>
          <w:trHeight w:val="300"/>
          <w:jc w:val="center"/>
        </w:trPr>
        <w:tc>
          <w:tcPr>
            <w:tcW w:w="3440" w:type="dxa"/>
            <w:shd w:val="clear" w:color="auto" w:fill="D9D9D9" w:themeFill="background1" w:themeFillShade="D9"/>
            <w:noWrap/>
            <w:vAlign w:val="bottom"/>
            <w:hideMark/>
          </w:tcPr>
          <w:p w14:paraId="0B9661F8" w14:textId="77777777" w:rsidR="001C4073" w:rsidRPr="00C57178" w:rsidRDefault="001C4073" w:rsidP="001C4073">
            <w:pPr>
              <w:keepNext/>
              <w:keepLines/>
              <w:spacing w:after="0" w:line="240" w:lineRule="auto"/>
              <w:jc w:val="left"/>
              <w:rPr>
                <w:sz w:val="20"/>
                <w:szCs w:val="20"/>
              </w:rPr>
            </w:pPr>
            <w:r w:rsidRPr="00C57178">
              <w:rPr>
                <w:sz w:val="20"/>
                <w:szCs w:val="20"/>
              </w:rPr>
              <w:t>Back-up line</w:t>
            </w:r>
          </w:p>
        </w:tc>
        <w:tc>
          <w:tcPr>
            <w:tcW w:w="1300" w:type="dxa"/>
            <w:shd w:val="clear" w:color="auto" w:fill="D9D9D9" w:themeFill="background1" w:themeFillShade="D9"/>
            <w:noWrap/>
            <w:vAlign w:val="bottom"/>
            <w:hideMark/>
          </w:tcPr>
          <w:p w14:paraId="233930C0" w14:textId="77777777" w:rsidR="001C4073" w:rsidRPr="00C57178" w:rsidRDefault="001C4073" w:rsidP="001C4073">
            <w:pPr>
              <w:keepNext/>
              <w:keepLines/>
              <w:spacing w:after="0" w:line="240" w:lineRule="auto"/>
              <w:jc w:val="center"/>
              <w:rPr>
                <w:sz w:val="20"/>
                <w:szCs w:val="20"/>
              </w:rPr>
            </w:pPr>
            <w:r w:rsidRPr="00C57178">
              <w:rPr>
                <w:sz w:val="20"/>
                <w:szCs w:val="20"/>
              </w:rPr>
              <w:t>4</w:t>
            </w:r>
          </w:p>
        </w:tc>
        <w:tc>
          <w:tcPr>
            <w:tcW w:w="1300" w:type="dxa"/>
            <w:shd w:val="clear" w:color="auto" w:fill="D9D9D9" w:themeFill="background1" w:themeFillShade="D9"/>
            <w:noWrap/>
            <w:vAlign w:val="bottom"/>
            <w:hideMark/>
          </w:tcPr>
          <w:p w14:paraId="640FFE6E" w14:textId="77777777" w:rsidR="001C4073" w:rsidRPr="00C57178" w:rsidRDefault="001C4073" w:rsidP="001C4073">
            <w:pPr>
              <w:keepNext/>
              <w:keepLines/>
              <w:spacing w:after="0" w:line="240" w:lineRule="auto"/>
              <w:jc w:val="center"/>
              <w:rPr>
                <w:sz w:val="20"/>
                <w:szCs w:val="20"/>
              </w:rPr>
            </w:pPr>
            <w:r w:rsidRPr="00C57178">
              <w:rPr>
                <w:sz w:val="20"/>
                <w:szCs w:val="20"/>
              </w:rPr>
              <w:t>2</w:t>
            </w:r>
          </w:p>
        </w:tc>
        <w:tc>
          <w:tcPr>
            <w:tcW w:w="1300" w:type="dxa"/>
            <w:shd w:val="clear" w:color="auto" w:fill="D9D9D9" w:themeFill="background1" w:themeFillShade="D9"/>
            <w:noWrap/>
            <w:vAlign w:val="bottom"/>
            <w:hideMark/>
          </w:tcPr>
          <w:p w14:paraId="54A0A324" w14:textId="77777777" w:rsidR="001C4073" w:rsidRPr="00C57178" w:rsidRDefault="001C4073" w:rsidP="001C4073">
            <w:pPr>
              <w:keepNext/>
              <w:keepLines/>
              <w:spacing w:after="0" w:line="240" w:lineRule="auto"/>
              <w:jc w:val="center"/>
              <w:rPr>
                <w:sz w:val="20"/>
                <w:szCs w:val="20"/>
              </w:rPr>
            </w:pPr>
            <w:r w:rsidRPr="00C57178">
              <w:rPr>
                <w:sz w:val="20"/>
                <w:szCs w:val="20"/>
              </w:rPr>
              <w:t>2</w:t>
            </w:r>
          </w:p>
        </w:tc>
        <w:tc>
          <w:tcPr>
            <w:tcW w:w="1300" w:type="dxa"/>
            <w:shd w:val="clear" w:color="auto" w:fill="D9D9D9" w:themeFill="background1" w:themeFillShade="D9"/>
            <w:noWrap/>
            <w:vAlign w:val="bottom"/>
            <w:hideMark/>
          </w:tcPr>
          <w:p w14:paraId="319F8C79" w14:textId="77777777" w:rsidR="001C4073" w:rsidRPr="00C57178" w:rsidRDefault="001C4073" w:rsidP="001C4073">
            <w:pPr>
              <w:keepNext/>
              <w:keepLines/>
              <w:spacing w:after="0" w:line="240" w:lineRule="auto"/>
              <w:jc w:val="center"/>
              <w:rPr>
                <w:sz w:val="20"/>
                <w:szCs w:val="20"/>
              </w:rPr>
            </w:pPr>
            <w:r w:rsidRPr="00C57178">
              <w:rPr>
                <w:sz w:val="20"/>
                <w:szCs w:val="20"/>
              </w:rPr>
              <w:t>(2)</w:t>
            </w:r>
          </w:p>
        </w:tc>
      </w:tr>
      <w:tr w:rsidR="001C4073" w:rsidRPr="00C57178" w14:paraId="7B56B089" w14:textId="77777777" w:rsidTr="001C4073">
        <w:trPr>
          <w:trHeight w:val="300"/>
          <w:jc w:val="center"/>
        </w:trPr>
        <w:tc>
          <w:tcPr>
            <w:tcW w:w="3440" w:type="dxa"/>
            <w:shd w:val="clear" w:color="auto" w:fill="auto"/>
            <w:noWrap/>
            <w:vAlign w:val="bottom"/>
            <w:hideMark/>
          </w:tcPr>
          <w:p w14:paraId="4036227A" w14:textId="77777777" w:rsidR="001C4073" w:rsidRPr="00C57178" w:rsidRDefault="001C4073" w:rsidP="001C4073">
            <w:pPr>
              <w:keepNext/>
              <w:keepLines/>
              <w:spacing w:after="0" w:line="240" w:lineRule="auto"/>
              <w:jc w:val="left"/>
              <w:rPr>
                <w:sz w:val="20"/>
                <w:szCs w:val="20"/>
              </w:rPr>
            </w:pPr>
            <w:r w:rsidRPr="00C57178">
              <w:rPr>
                <w:sz w:val="20"/>
                <w:szCs w:val="20"/>
              </w:rPr>
              <w:t>Support for hose lines</w:t>
            </w:r>
          </w:p>
        </w:tc>
        <w:tc>
          <w:tcPr>
            <w:tcW w:w="1300" w:type="dxa"/>
            <w:shd w:val="clear" w:color="auto" w:fill="auto"/>
            <w:noWrap/>
            <w:vAlign w:val="bottom"/>
            <w:hideMark/>
          </w:tcPr>
          <w:p w14:paraId="77D56E38" w14:textId="77777777" w:rsidR="001C4073" w:rsidRPr="00C57178" w:rsidRDefault="001C4073" w:rsidP="001C4073">
            <w:pPr>
              <w:keepNext/>
              <w:keepLines/>
              <w:spacing w:after="0" w:line="240" w:lineRule="auto"/>
              <w:jc w:val="center"/>
              <w:rPr>
                <w:sz w:val="20"/>
                <w:szCs w:val="20"/>
              </w:rPr>
            </w:pPr>
            <w:r w:rsidRPr="00C57178">
              <w:rPr>
                <w:sz w:val="20"/>
                <w:szCs w:val="20"/>
              </w:rPr>
              <w:t>4</w:t>
            </w:r>
          </w:p>
        </w:tc>
        <w:tc>
          <w:tcPr>
            <w:tcW w:w="1300" w:type="dxa"/>
            <w:shd w:val="clear" w:color="auto" w:fill="auto"/>
            <w:noWrap/>
            <w:vAlign w:val="bottom"/>
            <w:hideMark/>
          </w:tcPr>
          <w:p w14:paraId="51F25A9F" w14:textId="77777777" w:rsidR="001C4073" w:rsidRPr="00C57178" w:rsidRDefault="001C4073" w:rsidP="001C4073">
            <w:pPr>
              <w:keepNext/>
              <w:keepLines/>
              <w:spacing w:after="0" w:line="240" w:lineRule="auto"/>
              <w:jc w:val="center"/>
              <w:rPr>
                <w:sz w:val="20"/>
                <w:szCs w:val="20"/>
              </w:rPr>
            </w:pPr>
            <w:r w:rsidRPr="00C57178">
              <w:rPr>
                <w:sz w:val="20"/>
                <w:szCs w:val="20"/>
              </w:rPr>
              <w:t>3</w:t>
            </w:r>
          </w:p>
        </w:tc>
        <w:tc>
          <w:tcPr>
            <w:tcW w:w="1300" w:type="dxa"/>
            <w:shd w:val="clear" w:color="auto" w:fill="auto"/>
            <w:noWrap/>
            <w:vAlign w:val="bottom"/>
            <w:hideMark/>
          </w:tcPr>
          <w:p w14:paraId="598B5E67" w14:textId="77777777" w:rsidR="001C4073" w:rsidRPr="00C57178" w:rsidRDefault="001C4073" w:rsidP="001C4073">
            <w:pPr>
              <w:keepNext/>
              <w:keepLines/>
              <w:spacing w:after="0" w:line="240" w:lineRule="auto"/>
              <w:jc w:val="center"/>
              <w:rPr>
                <w:sz w:val="20"/>
                <w:szCs w:val="20"/>
              </w:rPr>
            </w:pPr>
            <w:r w:rsidRPr="00C57178">
              <w:rPr>
                <w:sz w:val="20"/>
                <w:szCs w:val="20"/>
              </w:rPr>
              <w:t>2</w:t>
            </w:r>
          </w:p>
        </w:tc>
        <w:tc>
          <w:tcPr>
            <w:tcW w:w="1300" w:type="dxa"/>
            <w:shd w:val="clear" w:color="auto" w:fill="auto"/>
            <w:noWrap/>
            <w:vAlign w:val="bottom"/>
            <w:hideMark/>
          </w:tcPr>
          <w:p w14:paraId="52B16AB0" w14:textId="77777777" w:rsidR="001C4073" w:rsidRPr="00C57178" w:rsidRDefault="001C4073" w:rsidP="001C4073">
            <w:pPr>
              <w:keepNext/>
              <w:keepLines/>
              <w:spacing w:after="0" w:line="240" w:lineRule="auto"/>
              <w:jc w:val="center"/>
              <w:rPr>
                <w:sz w:val="20"/>
                <w:szCs w:val="20"/>
              </w:rPr>
            </w:pPr>
            <w:r w:rsidRPr="00C57178">
              <w:rPr>
                <w:sz w:val="20"/>
                <w:szCs w:val="20"/>
              </w:rPr>
              <w:t> </w:t>
            </w:r>
          </w:p>
        </w:tc>
      </w:tr>
      <w:tr w:rsidR="001C4073" w:rsidRPr="00C57178" w14:paraId="34177783" w14:textId="77777777" w:rsidTr="001C4073">
        <w:trPr>
          <w:trHeight w:val="300"/>
          <w:jc w:val="center"/>
        </w:trPr>
        <w:tc>
          <w:tcPr>
            <w:tcW w:w="3440" w:type="dxa"/>
            <w:shd w:val="clear" w:color="auto" w:fill="D9D9D9" w:themeFill="background1" w:themeFillShade="D9"/>
            <w:noWrap/>
            <w:vAlign w:val="bottom"/>
            <w:hideMark/>
          </w:tcPr>
          <w:p w14:paraId="47BF665D" w14:textId="77777777" w:rsidR="001C4073" w:rsidRPr="00C57178" w:rsidRDefault="001C4073" w:rsidP="001C4073">
            <w:pPr>
              <w:keepNext/>
              <w:keepLines/>
              <w:spacing w:after="0" w:line="240" w:lineRule="auto"/>
              <w:jc w:val="left"/>
              <w:rPr>
                <w:sz w:val="20"/>
                <w:szCs w:val="20"/>
              </w:rPr>
            </w:pPr>
            <w:r w:rsidRPr="00C57178">
              <w:rPr>
                <w:sz w:val="20"/>
                <w:szCs w:val="20"/>
              </w:rPr>
              <w:t>Search and rescue</w:t>
            </w:r>
          </w:p>
        </w:tc>
        <w:tc>
          <w:tcPr>
            <w:tcW w:w="1300" w:type="dxa"/>
            <w:shd w:val="clear" w:color="auto" w:fill="D9D9D9" w:themeFill="background1" w:themeFillShade="D9"/>
            <w:noWrap/>
            <w:vAlign w:val="bottom"/>
            <w:hideMark/>
          </w:tcPr>
          <w:p w14:paraId="14C6DB86" w14:textId="77777777" w:rsidR="001C4073" w:rsidRPr="00C57178" w:rsidRDefault="001C4073" w:rsidP="001C4073">
            <w:pPr>
              <w:keepNext/>
              <w:keepLines/>
              <w:spacing w:after="0" w:line="240" w:lineRule="auto"/>
              <w:jc w:val="center"/>
              <w:rPr>
                <w:sz w:val="20"/>
                <w:szCs w:val="20"/>
              </w:rPr>
            </w:pPr>
            <w:r w:rsidRPr="00C57178">
              <w:rPr>
                <w:sz w:val="20"/>
                <w:szCs w:val="20"/>
              </w:rPr>
              <w:t>4</w:t>
            </w:r>
          </w:p>
        </w:tc>
        <w:tc>
          <w:tcPr>
            <w:tcW w:w="1300" w:type="dxa"/>
            <w:shd w:val="clear" w:color="auto" w:fill="D9D9D9" w:themeFill="background1" w:themeFillShade="D9"/>
            <w:noWrap/>
            <w:vAlign w:val="bottom"/>
            <w:hideMark/>
          </w:tcPr>
          <w:p w14:paraId="2BE06013" w14:textId="77777777" w:rsidR="001C4073" w:rsidRPr="00C57178" w:rsidRDefault="001C4073" w:rsidP="001C4073">
            <w:pPr>
              <w:keepNext/>
              <w:keepLines/>
              <w:spacing w:after="0" w:line="240" w:lineRule="auto"/>
              <w:jc w:val="center"/>
              <w:rPr>
                <w:sz w:val="20"/>
                <w:szCs w:val="20"/>
              </w:rPr>
            </w:pPr>
            <w:r w:rsidRPr="00C57178">
              <w:rPr>
                <w:sz w:val="20"/>
                <w:szCs w:val="20"/>
              </w:rPr>
              <w:t>4</w:t>
            </w:r>
          </w:p>
        </w:tc>
        <w:tc>
          <w:tcPr>
            <w:tcW w:w="1300" w:type="dxa"/>
            <w:shd w:val="clear" w:color="auto" w:fill="D9D9D9" w:themeFill="background1" w:themeFillShade="D9"/>
            <w:noWrap/>
            <w:vAlign w:val="bottom"/>
            <w:hideMark/>
          </w:tcPr>
          <w:p w14:paraId="59D27BD0" w14:textId="77777777" w:rsidR="001C4073" w:rsidRPr="00C57178" w:rsidRDefault="001C4073" w:rsidP="001C4073">
            <w:pPr>
              <w:keepNext/>
              <w:keepLines/>
              <w:spacing w:after="0" w:line="240" w:lineRule="auto"/>
              <w:jc w:val="center"/>
              <w:rPr>
                <w:sz w:val="20"/>
                <w:szCs w:val="20"/>
              </w:rPr>
            </w:pPr>
            <w:r w:rsidRPr="00C57178">
              <w:rPr>
                <w:sz w:val="20"/>
                <w:szCs w:val="20"/>
              </w:rPr>
              <w:t>2</w:t>
            </w:r>
          </w:p>
        </w:tc>
        <w:tc>
          <w:tcPr>
            <w:tcW w:w="1300" w:type="dxa"/>
            <w:shd w:val="clear" w:color="auto" w:fill="D9D9D9" w:themeFill="background1" w:themeFillShade="D9"/>
            <w:noWrap/>
            <w:vAlign w:val="bottom"/>
            <w:hideMark/>
          </w:tcPr>
          <w:p w14:paraId="7AE4BC44" w14:textId="77777777" w:rsidR="001C4073" w:rsidRPr="00C57178" w:rsidRDefault="001C4073" w:rsidP="001C4073">
            <w:pPr>
              <w:keepNext/>
              <w:keepLines/>
              <w:spacing w:after="0" w:line="240" w:lineRule="auto"/>
              <w:jc w:val="center"/>
              <w:rPr>
                <w:sz w:val="20"/>
                <w:szCs w:val="20"/>
              </w:rPr>
            </w:pPr>
            <w:r w:rsidRPr="00C57178">
              <w:rPr>
                <w:sz w:val="20"/>
                <w:szCs w:val="20"/>
              </w:rPr>
              <w:t> </w:t>
            </w:r>
          </w:p>
        </w:tc>
      </w:tr>
      <w:tr w:rsidR="001C4073" w:rsidRPr="00C57178" w14:paraId="0523EF20" w14:textId="77777777" w:rsidTr="001C4073">
        <w:trPr>
          <w:trHeight w:val="300"/>
          <w:jc w:val="center"/>
        </w:trPr>
        <w:tc>
          <w:tcPr>
            <w:tcW w:w="3440" w:type="dxa"/>
            <w:shd w:val="clear" w:color="auto" w:fill="auto"/>
            <w:noWrap/>
            <w:vAlign w:val="bottom"/>
            <w:hideMark/>
          </w:tcPr>
          <w:p w14:paraId="0350AB58" w14:textId="77777777" w:rsidR="001C4073" w:rsidRPr="00C57178" w:rsidRDefault="001C4073" w:rsidP="001C4073">
            <w:pPr>
              <w:keepNext/>
              <w:keepLines/>
              <w:spacing w:after="0" w:line="240" w:lineRule="auto"/>
              <w:jc w:val="left"/>
              <w:rPr>
                <w:sz w:val="20"/>
                <w:szCs w:val="20"/>
              </w:rPr>
            </w:pPr>
            <w:r w:rsidRPr="00C57178">
              <w:rPr>
                <w:sz w:val="20"/>
                <w:szCs w:val="20"/>
              </w:rPr>
              <w:t>Ventilation</w:t>
            </w:r>
          </w:p>
        </w:tc>
        <w:tc>
          <w:tcPr>
            <w:tcW w:w="1300" w:type="dxa"/>
            <w:shd w:val="clear" w:color="auto" w:fill="auto"/>
            <w:noWrap/>
            <w:vAlign w:val="bottom"/>
            <w:hideMark/>
          </w:tcPr>
          <w:p w14:paraId="48C9FEC6" w14:textId="77777777" w:rsidR="001C4073" w:rsidRPr="00C57178" w:rsidRDefault="001C4073" w:rsidP="001C4073">
            <w:pPr>
              <w:keepNext/>
              <w:keepLines/>
              <w:spacing w:after="0" w:line="240" w:lineRule="auto"/>
              <w:jc w:val="center"/>
              <w:rPr>
                <w:sz w:val="20"/>
                <w:szCs w:val="20"/>
              </w:rPr>
            </w:pPr>
            <w:r w:rsidRPr="00C57178">
              <w:rPr>
                <w:sz w:val="20"/>
                <w:szCs w:val="20"/>
              </w:rPr>
              <w:t>4</w:t>
            </w:r>
          </w:p>
        </w:tc>
        <w:tc>
          <w:tcPr>
            <w:tcW w:w="1300" w:type="dxa"/>
            <w:shd w:val="clear" w:color="auto" w:fill="auto"/>
            <w:noWrap/>
            <w:vAlign w:val="bottom"/>
            <w:hideMark/>
          </w:tcPr>
          <w:p w14:paraId="083FC76E" w14:textId="77777777" w:rsidR="001C4073" w:rsidRPr="00C57178" w:rsidRDefault="001C4073" w:rsidP="001C4073">
            <w:pPr>
              <w:keepNext/>
              <w:keepLines/>
              <w:spacing w:after="0" w:line="240" w:lineRule="auto"/>
              <w:jc w:val="center"/>
              <w:rPr>
                <w:sz w:val="20"/>
                <w:szCs w:val="20"/>
              </w:rPr>
            </w:pPr>
            <w:r w:rsidRPr="00C57178">
              <w:rPr>
                <w:sz w:val="20"/>
                <w:szCs w:val="20"/>
              </w:rPr>
              <w:t>2</w:t>
            </w:r>
          </w:p>
        </w:tc>
        <w:tc>
          <w:tcPr>
            <w:tcW w:w="1300" w:type="dxa"/>
            <w:shd w:val="clear" w:color="auto" w:fill="auto"/>
            <w:noWrap/>
            <w:vAlign w:val="bottom"/>
            <w:hideMark/>
          </w:tcPr>
          <w:p w14:paraId="11D274BF" w14:textId="77777777" w:rsidR="001C4073" w:rsidRPr="00C57178" w:rsidRDefault="001C4073" w:rsidP="001C4073">
            <w:pPr>
              <w:keepNext/>
              <w:keepLines/>
              <w:spacing w:after="0" w:line="240" w:lineRule="auto"/>
              <w:jc w:val="center"/>
              <w:rPr>
                <w:sz w:val="20"/>
                <w:szCs w:val="20"/>
              </w:rPr>
            </w:pPr>
            <w:r w:rsidRPr="00C57178">
              <w:rPr>
                <w:sz w:val="20"/>
                <w:szCs w:val="20"/>
              </w:rPr>
              <w:t>2</w:t>
            </w:r>
          </w:p>
        </w:tc>
        <w:tc>
          <w:tcPr>
            <w:tcW w:w="1300" w:type="dxa"/>
            <w:shd w:val="clear" w:color="auto" w:fill="auto"/>
            <w:noWrap/>
            <w:vAlign w:val="bottom"/>
            <w:hideMark/>
          </w:tcPr>
          <w:p w14:paraId="51D57630" w14:textId="77777777" w:rsidR="001C4073" w:rsidRPr="00C57178" w:rsidRDefault="001C4073" w:rsidP="001C4073">
            <w:pPr>
              <w:keepNext/>
              <w:keepLines/>
              <w:spacing w:after="0" w:line="240" w:lineRule="auto"/>
              <w:jc w:val="center"/>
              <w:rPr>
                <w:sz w:val="20"/>
                <w:szCs w:val="20"/>
              </w:rPr>
            </w:pPr>
            <w:r w:rsidRPr="00C57178">
              <w:rPr>
                <w:sz w:val="20"/>
                <w:szCs w:val="20"/>
              </w:rPr>
              <w:t> </w:t>
            </w:r>
          </w:p>
        </w:tc>
      </w:tr>
      <w:tr w:rsidR="001C4073" w:rsidRPr="00C57178" w14:paraId="20140C3B" w14:textId="77777777" w:rsidTr="001C4073">
        <w:trPr>
          <w:trHeight w:val="300"/>
          <w:jc w:val="center"/>
        </w:trPr>
        <w:tc>
          <w:tcPr>
            <w:tcW w:w="3440" w:type="dxa"/>
            <w:shd w:val="clear" w:color="auto" w:fill="D9D9D9" w:themeFill="background1" w:themeFillShade="D9"/>
            <w:noWrap/>
            <w:vAlign w:val="bottom"/>
            <w:hideMark/>
          </w:tcPr>
          <w:p w14:paraId="4E995060" w14:textId="77777777" w:rsidR="001C4073" w:rsidRPr="00C57178" w:rsidRDefault="001C4073" w:rsidP="001C4073">
            <w:pPr>
              <w:keepNext/>
              <w:keepLines/>
              <w:spacing w:after="0" w:line="240" w:lineRule="auto"/>
              <w:jc w:val="left"/>
              <w:rPr>
                <w:sz w:val="20"/>
                <w:szCs w:val="20"/>
              </w:rPr>
            </w:pPr>
            <w:r w:rsidRPr="00C57178">
              <w:rPr>
                <w:sz w:val="20"/>
                <w:szCs w:val="20"/>
              </w:rPr>
              <w:t>Rapid intervention team</w:t>
            </w:r>
          </w:p>
        </w:tc>
        <w:tc>
          <w:tcPr>
            <w:tcW w:w="1300" w:type="dxa"/>
            <w:shd w:val="clear" w:color="auto" w:fill="D9D9D9" w:themeFill="background1" w:themeFillShade="D9"/>
            <w:noWrap/>
            <w:vAlign w:val="bottom"/>
            <w:hideMark/>
          </w:tcPr>
          <w:p w14:paraId="6AAD6417" w14:textId="77777777" w:rsidR="001C4073" w:rsidRPr="00C57178" w:rsidRDefault="001C4073" w:rsidP="001C4073">
            <w:pPr>
              <w:keepNext/>
              <w:keepLines/>
              <w:spacing w:after="0" w:line="240" w:lineRule="auto"/>
              <w:jc w:val="center"/>
              <w:rPr>
                <w:sz w:val="20"/>
                <w:szCs w:val="20"/>
              </w:rPr>
            </w:pPr>
            <w:r w:rsidRPr="00C57178">
              <w:rPr>
                <w:sz w:val="20"/>
                <w:szCs w:val="20"/>
              </w:rPr>
              <w:t>4</w:t>
            </w:r>
          </w:p>
        </w:tc>
        <w:tc>
          <w:tcPr>
            <w:tcW w:w="1300" w:type="dxa"/>
            <w:shd w:val="clear" w:color="auto" w:fill="D9D9D9" w:themeFill="background1" w:themeFillShade="D9"/>
            <w:noWrap/>
            <w:vAlign w:val="bottom"/>
            <w:hideMark/>
          </w:tcPr>
          <w:p w14:paraId="18E5B1CE" w14:textId="77777777" w:rsidR="001C4073" w:rsidRPr="00C57178" w:rsidRDefault="001C4073" w:rsidP="001C4073">
            <w:pPr>
              <w:keepNext/>
              <w:keepLines/>
              <w:spacing w:after="0" w:line="240" w:lineRule="auto"/>
              <w:jc w:val="center"/>
              <w:rPr>
                <w:sz w:val="20"/>
                <w:szCs w:val="20"/>
              </w:rPr>
            </w:pPr>
            <w:r w:rsidRPr="00C57178">
              <w:rPr>
                <w:sz w:val="20"/>
                <w:szCs w:val="20"/>
              </w:rPr>
              <w:t>4</w:t>
            </w:r>
          </w:p>
        </w:tc>
        <w:tc>
          <w:tcPr>
            <w:tcW w:w="1300" w:type="dxa"/>
            <w:shd w:val="clear" w:color="auto" w:fill="D9D9D9" w:themeFill="background1" w:themeFillShade="D9"/>
            <w:noWrap/>
            <w:vAlign w:val="bottom"/>
            <w:hideMark/>
          </w:tcPr>
          <w:p w14:paraId="3EE2F172" w14:textId="77777777" w:rsidR="001C4073" w:rsidRPr="00C57178" w:rsidRDefault="001C4073" w:rsidP="001C4073">
            <w:pPr>
              <w:keepNext/>
              <w:keepLines/>
              <w:spacing w:after="0" w:line="240" w:lineRule="auto"/>
              <w:jc w:val="center"/>
              <w:rPr>
                <w:sz w:val="20"/>
                <w:szCs w:val="20"/>
              </w:rPr>
            </w:pPr>
            <w:r w:rsidRPr="00C57178">
              <w:rPr>
                <w:sz w:val="20"/>
                <w:szCs w:val="20"/>
              </w:rPr>
              <w:t>2</w:t>
            </w:r>
          </w:p>
        </w:tc>
        <w:tc>
          <w:tcPr>
            <w:tcW w:w="1300" w:type="dxa"/>
            <w:shd w:val="clear" w:color="auto" w:fill="D9D9D9" w:themeFill="background1" w:themeFillShade="D9"/>
            <w:noWrap/>
            <w:vAlign w:val="bottom"/>
            <w:hideMark/>
          </w:tcPr>
          <w:p w14:paraId="23557271" w14:textId="77777777" w:rsidR="001C4073" w:rsidRPr="00C57178" w:rsidRDefault="001C4073" w:rsidP="001C4073">
            <w:pPr>
              <w:keepNext/>
              <w:keepLines/>
              <w:spacing w:after="0" w:line="240" w:lineRule="auto"/>
              <w:jc w:val="center"/>
              <w:rPr>
                <w:sz w:val="20"/>
                <w:szCs w:val="20"/>
              </w:rPr>
            </w:pPr>
            <w:r w:rsidRPr="00C57178">
              <w:rPr>
                <w:sz w:val="20"/>
                <w:szCs w:val="20"/>
              </w:rPr>
              <w:t> </w:t>
            </w:r>
          </w:p>
        </w:tc>
      </w:tr>
      <w:tr w:rsidR="001C4073" w:rsidRPr="00C57178" w14:paraId="41C5F0D0" w14:textId="77777777" w:rsidTr="001C4073">
        <w:trPr>
          <w:trHeight w:val="300"/>
          <w:jc w:val="center"/>
        </w:trPr>
        <w:tc>
          <w:tcPr>
            <w:tcW w:w="3440" w:type="dxa"/>
            <w:shd w:val="clear" w:color="auto" w:fill="auto"/>
            <w:noWrap/>
            <w:vAlign w:val="bottom"/>
            <w:hideMark/>
          </w:tcPr>
          <w:p w14:paraId="3C25E93C" w14:textId="77777777" w:rsidR="001C4073" w:rsidRPr="00C57178" w:rsidRDefault="001C4073" w:rsidP="001C4073">
            <w:pPr>
              <w:keepNext/>
              <w:keepLines/>
              <w:spacing w:after="0" w:line="240" w:lineRule="auto"/>
              <w:jc w:val="left"/>
              <w:rPr>
                <w:sz w:val="20"/>
                <w:szCs w:val="20"/>
              </w:rPr>
            </w:pPr>
            <w:r w:rsidRPr="00C57178">
              <w:rPr>
                <w:sz w:val="20"/>
                <w:szCs w:val="20"/>
              </w:rPr>
              <w:t>Pump Operator</w:t>
            </w:r>
          </w:p>
        </w:tc>
        <w:tc>
          <w:tcPr>
            <w:tcW w:w="1300" w:type="dxa"/>
            <w:shd w:val="clear" w:color="auto" w:fill="auto"/>
            <w:noWrap/>
            <w:vAlign w:val="bottom"/>
            <w:hideMark/>
          </w:tcPr>
          <w:p w14:paraId="1571664F" w14:textId="77777777" w:rsidR="001C4073" w:rsidRPr="00C57178" w:rsidRDefault="001C4073" w:rsidP="001C4073">
            <w:pPr>
              <w:keepNext/>
              <w:keepLines/>
              <w:spacing w:after="0" w:line="240" w:lineRule="auto"/>
              <w:jc w:val="center"/>
              <w:rPr>
                <w:sz w:val="20"/>
                <w:szCs w:val="20"/>
              </w:rPr>
            </w:pPr>
            <w:r w:rsidRPr="00C57178">
              <w:rPr>
                <w:sz w:val="20"/>
                <w:szCs w:val="20"/>
              </w:rPr>
              <w:t>2</w:t>
            </w:r>
          </w:p>
        </w:tc>
        <w:tc>
          <w:tcPr>
            <w:tcW w:w="1300" w:type="dxa"/>
            <w:shd w:val="clear" w:color="auto" w:fill="auto"/>
            <w:noWrap/>
            <w:vAlign w:val="bottom"/>
            <w:hideMark/>
          </w:tcPr>
          <w:p w14:paraId="3A6EB16D" w14:textId="77777777" w:rsidR="001C4073" w:rsidRPr="00C57178" w:rsidRDefault="001C4073" w:rsidP="001C4073">
            <w:pPr>
              <w:keepNext/>
              <w:keepLines/>
              <w:spacing w:after="0" w:line="240" w:lineRule="auto"/>
              <w:jc w:val="center"/>
              <w:rPr>
                <w:sz w:val="20"/>
                <w:szCs w:val="20"/>
              </w:rPr>
            </w:pPr>
            <w:r w:rsidRPr="00C57178">
              <w:rPr>
                <w:sz w:val="20"/>
                <w:szCs w:val="20"/>
              </w:rPr>
              <w:t>1</w:t>
            </w:r>
          </w:p>
        </w:tc>
        <w:tc>
          <w:tcPr>
            <w:tcW w:w="1300" w:type="dxa"/>
            <w:shd w:val="clear" w:color="auto" w:fill="auto"/>
            <w:noWrap/>
            <w:vAlign w:val="bottom"/>
            <w:hideMark/>
          </w:tcPr>
          <w:p w14:paraId="43997C70" w14:textId="77777777" w:rsidR="001C4073" w:rsidRPr="00C57178" w:rsidRDefault="001C4073" w:rsidP="001C4073">
            <w:pPr>
              <w:keepNext/>
              <w:keepLines/>
              <w:spacing w:after="0" w:line="240" w:lineRule="auto"/>
              <w:jc w:val="center"/>
              <w:rPr>
                <w:sz w:val="20"/>
                <w:szCs w:val="20"/>
              </w:rPr>
            </w:pPr>
            <w:r w:rsidRPr="00C57178">
              <w:rPr>
                <w:sz w:val="20"/>
                <w:szCs w:val="20"/>
              </w:rPr>
              <w:t>1</w:t>
            </w:r>
          </w:p>
        </w:tc>
        <w:tc>
          <w:tcPr>
            <w:tcW w:w="1300" w:type="dxa"/>
            <w:shd w:val="clear" w:color="auto" w:fill="auto"/>
            <w:noWrap/>
            <w:vAlign w:val="bottom"/>
            <w:hideMark/>
          </w:tcPr>
          <w:p w14:paraId="7247A65B" w14:textId="77777777" w:rsidR="001C4073" w:rsidRPr="00C57178" w:rsidRDefault="001C4073" w:rsidP="001C4073">
            <w:pPr>
              <w:keepNext/>
              <w:keepLines/>
              <w:spacing w:after="0" w:line="240" w:lineRule="auto"/>
              <w:jc w:val="center"/>
              <w:rPr>
                <w:sz w:val="20"/>
                <w:szCs w:val="20"/>
              </w:rPr>
            </w:pPr>
            <w:r w:rsidRPr="00C57178">
              <w:rPr>
                <w:sz w:val="20"/>
                <w:szCs w:val="20"/>
              </w:rPr>
              <w:t>1</w:t>
            </w:r>
          </w:p>
        </w:tc>
      </w:tr>
      <w:tr w:rsidR="001C4073" w:rsidRPr="00C57178" w14:paraId="0DE6C9C6" w14:textId="77777777" w:rsidTr="001C4073">
        <w:trPr>
          <w:trHeight w:val="300"/>
          <w:jc w:val="center"/>
        </w:trPr>
        <w:tc>
          <w:tcPr>
            <w:tcW w:w="3440" w:type="dxa"/>
            <w:shd w:val="clear" w:color="auto" w:fill="D9D9D9" w:themeFill="background1" w:themeFillShade="D9"/>
            <w:noWrap/>
            <w:vAlign w:val="bottom"/>
            <w:hideMark/>
          </w:tcPr>
          <w:p w14:paraId="61B429DC" w14:textId="77777777" w:rsidR="001C4073" w:rsidRPr="00C57178" w:rsidRDefault="001C4073" w:rsidP="001C4073">
            <w:pPr>
              <w:keepNext/>
              <w:keepLines/>
              <w:spacing w:after="0" w:line="240" w:lineRule="auto"/>
              <w:jc w:val="left"/>
              <w:rPr>
                <w:sz w:val="20"/>
                <w:szCs w:val="20"/>
              </w:rPr>
            </w:pPr>
            <w:r w:rsidRPr="00C57178">
              <w:rPr>
                <w:sz w:val="20"/>
                <w:szCs w:val="20"/>
              </w:rPr>
              <w:t>2nd apparatus/ladder operator</w:t>
            </w:r>
          </w:p>
        </w:tc>
        <w:tc>
          <w:tcPr>
            <w:tcW w:w="1300" w:type="dxa"/>
            <w:shd w:val="clear" w:color="auto" w:fill="D9D9D9" w:themeFill="background1" w:themeFillShade="D9"/>
            <w:noWrap/>
            <w:vAlign w:val="bottom"/>
            <w:hideMark/>
          </w:tcPr>
          <w:p w14:paraId="57B6D601" w14:textId="77777777" w:rsidR="001C4073" w:rsidRPr="00C57178" w:rsidRDefault="001C4073" w:rsidP="001C4073">
            <w:pPr>
              <w:keepNext/>
              <w:keepLines/>
              <w:spacing w:after="0" w:line="240" w:lineRule="auto"/>
              <w:jc w:val="center"/>
              <w:rPr>
                <w:sz w:val="20"/>
                <w:szCs w:val="20"/>
              </w:rPr>
            </w:pPr>
            <w:r w:rsidRPr="00C57178">
              <w:rPr>
                <w:sz w:val="20"/>
                <w:szCs w:val="20"/>
              </w:rPr>
              <w:t>1</w:t>
            </w:r>
          </w:p>
        </w:tc>
        <w:tc>
          <w:tcPr>
            <w:tcW w:w="1300" w:type="dxa"/>
            <w:shd w:val="clear" w:color="auto" w:fill="D9D9D9" w:themeFill="background1" w:themeFillShade="D9"/>
            <w:noWrap/>
            <w:vAlign w:val="bottom"/>
            <w:hideMark/>
          </w:tcPr>
          <w:p w14:paraId="1C3CD296" w14:textId="77777777" w:rsidR="001C4073" w:rsidRPr="00C57178" w:rsidRDefault="001C4073" w:rsidP="001C4073">
            <w:pPr>
              <w:keepNext/>
              <w:keepLines/>
              <w:spacing w:after="0" w:line="240" w:lineRule="auto"/>
              <w:jc w:val="center"/>
              <w:rPr>
                <w:sz w:val="20"/>
                <w:szCs w:val="20"/>
              </w:rPr>
            </w:pPr>
            <w:r w:rsidRPr="00C57178">
              <w:rPr>
                <w:sz w:val="20"/>
                <w:szCs w:val="20"/>
              </w:rPr>
              <w:t>1</w:t>
            </w:r>
          </w:p>
        </w:tc>
        <w:tc>
          <w:tcPr>
            <w:tcW w:w="1300" w:type="dxa"/>
            <w:shd w:val="clear" w:color="auto" w:fill="D9D9D9" w:themeFill="background1" w:themeFillShade="D9"/>
            <w:noWrap/>
            <w:vAlign w:val="bottom"/>
            <w:hideMark/>
          </w:tcPr>
          <w:p w14:paraId="64677F62" w14:textId="77777777" w:rsidR="001C4073" w:rsidRPr="00C57178" w:rsidRDefault="001C4073" w:rsidP="001C4073">
            <w:pPr>
              <w:keepNext/>
              <w:keepLines/>
              <w:spacing w:after="0" w:line="240" w:lineRule="auto"/>
              <w:jc w:val="center"/>
              <w:rPr>
                <w:sz w:val="20"/>
                <w:szCs w:val="20"/>
              </w:rPr>
            </w:pPr>
            <w:r w:rsidRPr="00C57178">
              <w:rPr>
                <w:sz w:val="20"/>
                <w:szCs w:val="20"/>
              </w:rPr>
              <w:t>(1)</w:t>
            </w:r>
          </w:p>
        </w:tc>
        <w:tc>
          <w:tcPr>
            <w:tcW w:w="1300" w:type="dxa"/>
            <w:shd w:val="clear" w:color="auto" w:fill="D9D9D9" w:themeFill="background1" w:themeFillShade="D9"/>
            <w:noWrap/>
            <w:vAlign w:val="bottom"/>
            <w:hideMark/>
          </w:tcPr>
          <w:p w14:paraId="718EC9F6" w14:textId="77777777" w:rsidR="001C4073" w:rsidRPr="00C57178" w:rsidRDefault="001C4073" w:rsidP="001C4073">
            <w:pPr>
              <w:keepNext/>
              <w:keepLines/>
              <w:spacing w:after="0" w:line="240" w:lineRule="auto"/>
              <w:jc w:val="center"/>
              <w:rPr>
                <w:sz w:val="20"/>
                <w:szCs w:val="20"/>
              </w:rPr>
            </w:pPr>
            <w:r w:rsidRPr="00C57178">
              <w:rPr>
                <w:sz w:val="20"/>
                <w:szCs w:val="20"/>
              </w:rPr>
              <w:t> </w:t>
            </w:r>
          </w:p>
        </w:tc>
      </w:tr>
      <w:tr w:rsidR="001C4073" w:rsidRPr="00C57178" w14:paraId="097B5562" w14:textId="77777777" w:rsidTr="001C4073">
        <w:trPr>
          <w:trHeight w:val="300"/>
          <w:jc w:val="center"/>
        </w:trPr>
        <w:tc>
          <w:tcPr>
            <w:tcW w:w="3440" w:type="dxa"/>
            <w:shd w:val="clear" w:color="auto" w:fill="auto"/>
            <w:noWrap/>
            <w:vAlign w:val="bottom"/>
            <w:hideMark/>
          </w:tcPr>
          <w:p w14:paraId="69D75784" w14:textId="77777777" w:rsidR="001C4073" w:rsidRPr="00C57178" w:rsidRDefault="001C4073" w:rsidP="001C4073">
            <w:pPr>
              <w:keepNext/>
              <w:keepLines/>
              <w:spacing w:after="0" w:line="240" w:lineRule="auto"/>
              <w:jc w:val="left"/>
              <w:rPr>
                <w:sz w:val="20"/>
                <w:szCs w:val="20"/>
              </w:rPr>
            </w:pPr>
            <w:r w:rsidRPr="00C57178">
              <w:rPr>
                <w:sz w:val="20"/>
                <w:szCs w:val="20"/>
              </w:rPr>
              <w:t>Command</w:t>
            </w:r>
          </w:p>
        </w:tc>
        <w:tc>
          <w:tcPr>
            <w:tcW w:w="1300" w:type="dxa"/>
            <w:shd w:val="clear" w:color="auto" w:fill="auto"/>
            <w:noWrap/>
            <w:vAlign w:val="bottom"/>
            <w:hideMark/>
          </w:tcPr>
          <w:p w14:paraId="054551B3" w14:textId="77777777" w:rsidR="001C4073" w:rsidRPr="00C57178" w:rsidRDefault="001C4073" w:rsidP="001C4073">
            <w:pPr>
              <w:keepNext/>
              <w:keepLines/>
              <w:spacing w:after="0" w:line="240" w:lineRule="auto"/>
              <w:jc w:val="center"/>
              <w:rPr>
                <w:sz w:val="20"/>
                <w:szCs w:val="20"/>
              </w:rPr>
            </w:pPr>
            <w:r w:rsidRPr="00C57178">
              <w:rPr>
                <w:sz w:val="20"/>
                <w:szCs w:val="20"/>
              </w:rPr>
              <w:t>2</w:t>
            </w:r>
          </w:p>
        </w:tc>
        <w:tc>
          <w:tcPr>
            <w:tcW w:w="1300" w:type="dxa"/>
            <w:shd w:val="clear" w:color="auto" w:fill="auto"/>
            <w:noWrap/>
            <w:vAlign w:val="bottom"/>
            <w:hideMark/>
          </w:tcPr>
          <w:p w14:paraId="4F5C0556" w14:textId="77777777" w:rsidR="001C4073" w:rsidRPr="00C57178" w:rsidRDefault="001C4073" w:rsidP="001C4073">
            <w:pPr>
              <w:keepNext/>
              <w:keepLines/>
              <w:spacing w:after="0" w:line="240" w:lineRule="auto"/>
              <w:jc w:val="center"/>
              <w:rPr>
                <w:sz w:val="20"/>
                <w:szCs w:val="20"/>
              </w:rPr>
            </w:pPr>
            <w:r w:rsidRPr="00C57178">
              <w:rPr>
                <w:sz w:val="20"/>
                <w:szCs w:val="20"/>
              </w:rPr>
              <w:t>1</w:t>
            </w:r>
          </w:p>
        </w:tc>
        <w:tc>
          <w:tcPr>
            <w:tcW w:w="1300" w:type="dxa"/>
            <w:shd w:val="clear" w:color="auto" w:fill="auto"/>
            <w:noWrap/>
            <w:vAlign w:val="bottom"/>
            <w:hideMark/>
          </w:tcPr>
          <w:p w14:paraId="18458EC2" w14:textId="77777777" w:rsidR="001C4073" w:rsidRPr="00C57178" w:rsidRDefault="001C4073" w:rsidP="001C4073">
            <w:pPr>
              <w:keepNext/>
              <w:keepLines/>
              <w:spacing w:after="0" w:line="240" w:lineRule="auto"/>
              <w:jc w:val="center"/>
              <w:rPr>
                <w:sz w:val="20"/>
                <w:szCs w:val="20"/>
              </w:rPr>
            </w:pPr>
            <w:r w:rsidRPr="00C57178">
              <w:rPr>
                <w:sz w:val="20"/>
                <w:szCs w:val="20"/>
              </w:rPr>
              <w:t>1</w:t>
            </w:r>
          </w:p>
        </w:tc>
        <w:tc>
          <w:tcPr>
            <w:tcW w:w="1300" w:type="dxa"/>
            <w:shd w:val="clear" w:color="auto" w:fill="auto"/>
            <w:noWrap/>
            <w:vAlign w:val="bottom"/>
            <w:hideMark/>
          </w:tcPr>
          <w:p w14:paraId="3F826C23" w14:textId="77777777" w:rsidR="001C4073" w:rsidRPr="00C57178" w:rsidRDefault="001C4073" w:rsidP="001C4073">
            <w:pPr>
              <w:keepNext/>
              <w:keepLines/>
              <w:spacing w:after="0" w:line="240" w:lineRule="auto"/>
              <w:jc w:val="center"/>
              <w:rPr>
                <w:sz w:val="20"/>
                <w:szCs w:val="20"/>
              </w:rPr>
            </w:pPr>
            <w:r w:rsidRPr="00C57178">
              <w:rPr>
                <w:sz w:val="20"/>
                <w:szCs w:val="20"/>
              </w:rPr>
              <w:t>1#</w:t>
            </w:r>
          </w:p>
        </w:tc>
      </w:tr>
      <w:tr w:rsidR="001C4073" w:rsidRPr="00C57178" w14:paraId="1B8255DB" w14:textId="77777777" w:rsidTr="001C4073">
        <w:trPr>
          <w:trHeight w:val="300"/>
          <w:jc w:val="center"/>
        </w:trPr>
        <w:tc>
          <w:tcPr>
            <w:tcW w:w="3440" w:type="dxa"/>
            <w:shd w:val="clear" w:color="auto" w:fill="D9D9D9" w:themeFill="background1" w:themeFillShade="D9"/>
            <w:noWrap/>
            <w:vAlign w:val="bottom"/>
            <w:hideMark/>
          </w:tcPr>
          <w:p w14:paraId="5B873BD5" w14:textId="77777777" w:rsidR="001C4073" w:rsidRPr="00C57178" w:rsidRDefault="001C4073" w:rsidP="001C4073">
            <w:pPr>
              <w:keepNext/>
              <w:keepLines/>
              <w:spacing w:after="0" w:line="240" w:lineRule="auto"/>
              <w:jc w:val="left"/>
              <w:rPr>
                <w:sz w:val="20"/>
                <w:szCs w:val="20"/>
              </w:rPr>
            </w:pPr>
            <w:r w:rsidRPr="00C57178">
              <w:rPr>
                <w:sz w:val="20"/>
                <w:szCs w:val="20"/>
              </w:rPr>
              <w:t>Safety</w:t>
            </w:r>
          </w:p>
        </w:tc>
        <w:tc>
          <w:tcPr>
            <w:tcW w:w="1300" w:type="dxa"/>
            <w:shd w:val="clear" w:color="auto" w:fill="D9D9D9" w:themeFill="background1" w:themeFillShade="D9"/>
            <w:noWrap/>
            <w:vAlign w:val="bottom"/>
            <w:hideMark/>
          </w:tcPr>
          <w:p w14:paraId="6E0F5329" w14:textId="77777777" w:rsidR="001C4073" w:rsidRPr="00C57178" w:rsidRDefault="001C4073" w:rsidP="001C4073">
            <w:pPr>
              <w:keepNext/>
              <w:keepLines/>
              <w:spacing w:after="0" w:line="240" w:lineRule="auto"/>
              <w:jc w:val="center"/>
              <w:rPr>
                <w:sz w:val="20"/>
                <w:szCs w:val="20"/>
              </w:rPr>
            </w:pPr>
            <w:r w:rsidRPr="00C57178">
              <w:rPr>
                <w:sz w:val="20"/>
                <w:szCs w:val="20"/>
              </w:rPr>
              <w:t>2</w:t>
            </w:r>
          </w:p>
        </w:tc>
        <w:tc>
          <w:tcPr>
            <w:tcW w:w="1300" w:type="dxa"/>
            <w:shd w:val="clear" w:color="auto" w:fill="D9D9D9" w:themeFill="background1" w:themeFillShade="D9"/>
            <w:noWrap/>
            <w:vAlign w:val="bottom"/>
            <w:hideMark/>
          </w:tcPr>
          <w:p w14:paraId="5CF6449A" w14:textId="77777777" w:rsidR="001C4073" w:rsidRPr="00C57178" w:rsidRDefault="001C4073" w:rsidP="001C4073">
            <w:pPr>
              <w:keepNext/>
              <w:keepLines/>
              <w:spacing w:after="0" w:line="240" w:lineRule="auto"/>
              <w:jc w:val="center"/>
              <w:rPr>
                <w:sz w:val="20"/>
                <w:szCs w:val="20"/>
              </w:rPr>
            </w:pPr>
            <w:r w:rsidRPr="00C57178">
              <w:rPr>
                <w:sz w:val="20"/>
                <w:szCs w:val="20"/>
              </w:rPr>
              <w:t>1</w:t>
            </w:r>
          </w:p>
        </w:tc>
        <w:tc>
          <w:tcPr>
            <w:tcW w:w="1300" w:type="dxa"/>
            <w:shd w:val="clear" w:color="auto" w:fill="D9D9D9" w:themeFill="background1" w:themeFillShade="D9"/>
            <w:noWrap/>
            <w:vAlign w:val="bottom"/>
            <w:hideMark/>
          </w:tcPr>
          <w:p w14:paraId="6EB2B9C2" w14:textId="77777777" w:rsidR="001C4073" w:rsidRPr="00C57178" w:rsidRDefault="001C4073" w:rsidP="001C4073">
            <w:pPr>
              <w:keepNext/>
              <w:keepLines/>
              <w:spacing w:after="0" w:line="240" w:lineRule="auto"/>
              <w:jc w:val="center"/>
              <w:rPr>
                <w:sz w:val="20"/>
                <w:szCs w:val="20"/>
              </w:rPr>
            </w:pPr>
            <w:r w:rsidRPr="00C57178">
              <w:rPr>
                <w:sz w:val="20"/>
                <w:szCs w:val="20"/>
              </w:rPr>
              <w:t>1#</w:t>
            </w:r>
          </w:p>
        </w:tc>
        <w:tc>
          <w:tcPr>
            <w:tcW w:w="1300" w:type="dxa"/>
            <w:shd w:val="clear" w:color="auto" w:fill="D9D9D9" w:themeFill="background1" w:themeFillShade="D9"/>
            <w:noWrap/>
            <w:vAlign w:val="bottom"/>
            <w:hideMark/>
          </w:tcPr>
          <w:p w14:paraId="598D444E" w14:textId="77777777" w:rsidR="001C4073" w:rsidRPr="00C57178" w:rsidRDefault="001C4073" w:rsidP="001C4073">
            <w:pPr>
              <w:keepNext/>
              <w:keepLines/>
              <w:spacing w:after="0" w:line="240" w:lineRule="auto"/>
              <w:jc w:val="center"/>
              <w:rPr>
                <w:sz w:val="20"/>
                <w:szCs w:val="20"/>
              </w:rPr>
            </w:pPr>
            <w:r w:rsidRPr="00C57178">
              <w:rPr>
                <w:sz w:val="20"/>
                <w:szCs w:val="20"/>
              </w:rPr>
              <w:t> </w:t>
            </w:r>
          </w:p>
        </w:tc>
      </w:tr>
      <w:tr w:rsidR="001C4073" w:rsidRPr="00C57178" w14:paraId="36A0958B" w14:textId="77777777" w:rsidTr="001C4073">
        <w:trPr>
          <w:trHeight w:val="300"/>
          <w:jc w:val="center"/>
        </w:trPr>
        <w:tc>
          <w:tcPr>
            <w:tcW w:w="3440" w:type="dxa"/>
            <w:shd w:val="clear" w:color="auto" w:fill="auto"/>
            <w:noWrap/>
            <w:vAlign w:val="bottom"/>
            <w:hideMark/>
          </w:tcPr>
          <w:p w14:paraId="72246D26" w14:textId="77777777" w:rsidR="001C4073" w:rsidRPr="00C57178" w:rsidRDefault="001C4073" w:rsidP="001C4073">
            <w:pPr>
              <w:keepNext/>
              <w:keepLines/>
              <w:spacing w:after="0" w:line="240" w:lineRule="auto"/>
              <w:jc w:val="left"/>
              <w:rPr>
                <w:sz w:val="20"/>
                <w:szCs w:val="20"/>
              </w:rPr>
            </w:pPr>
            <w:r w:rsidRPr="00C57178">
              <w:rPr>
                <w:sz w:val="20"/>
                <w:szCs w:val="20"/>
              </w:rPr>
              <w:t>Salvage</w:t>
            </w:r>
          </w:p>
        </w:tc>
        <w:tc>
          <w:tcPr>
            <w:tcW w:w="1300" w:type="dxa"/>
            <w:shd w:val="clear" w:color="auto" w:fill="auto"/>
            <w:noWrap/>
            <w:vAlign w:val="bottom"/>
            <w:hideMark/>
          </w:tcPr>
          <w:p w14:paraId="7A7C4CA7" w14:textId="77777777" w:rsidR="001C4073" w:rsidRPr="00C57178" w:rsidRDefault="001C4073" w:rsidP="001C4073">
            <w:pPr>
              <w:keepNext/>
              <w:keepLines/>
              <w:spacing w:after="0" w:line="240" w:lineRule="auto"/>
              <w:jc w:val="center"/>
              <w:rPr>
                <w:sz w:val="20"/>
                <w:szCs w:val="20"/>
              </w:rPr>
            </w:pPr>
            <w:r w:rsidRPr="00C57178">
              <w:rPr>
                <w:sz w:val="20"/>
                <w:szCs w:val="20"/>
              </w:rPr>
              <w:t>4</w:t>
            </w:r>
          </w:p>
        </w:tc>
        <w:tc>
          <w:tcPr>
            <w:tcW w:w="1300" w:type="dxa"/>
            <w:shd w:val="clear" w:color="auto" w:fill="auto"/>
            <w:noWrap/>
            <w:vAlign w:val="bottom"/>
            <w:hideMark/>
          </w:tcPr>
          <w:p w14:paraId="0D959AA2" w14:textId="77777777" w:rsidR="001C4073" w:rsidRPr="00C57178" w:rsidRDefault="001C4073" w:rsidP="001C4073">
            <w:pPr>
              <w:keepNext/>
              <w:keepLines/>
              <w:spacing w:after="0" w:line="240" w:lineRule="auto"/>
              <w:jc w:val="center"/>
              <w:rPr>
                <w:sz w:val="20"/>
                <w:szCs w:val="20"/>
              </w:rPr>
            </w:pPr>
            <w:r w:rsidRPr="00C57178">
              <w:rPr>
                <w:sz w:val="20"/>
                <w:szCs w:val="20"/>
              </w:rPr>
              <w:t> </w:t>
            </w:r>
          </w:p>
        </w:tc>
        <w:tc>
          <w:tcPr>
            <w:tcW w:w="1300" w:type="dxa"/>
            <w:shd w:val="clear" w:color="auto" w:fill="auto"/>
            <w:noWrap/>
            <w:vAlign w:val="bottom"/>
            <w:hideMark/>
          </w:tcPr>
          <w:p w14:paraId="3F59E4FC" w14:textId="77777777" w:rsidR="001C4073" w:rsidRPr="00C57178" w:rsidRDefault="001C4073" w:rsidP="001C4073">
            <w:pPr>
              <w:keepNext/>
              <w:keepLines/>
              <w:spacing w:after="0" w:line="240" w:lineRule="auto"/>
              <w:jc w:val="center"/>
              <w:rPr>
                <w:sz w:val="20"/>
                <w:szCs w:val="20"/>
              </w:rPr>
            </w:pPr>
            <w:r w:rsidRPr="00C57178">
              <w:rPr>
                <w:sz w:val="20"/>
                <w:szCs w:val="20"/>
              </w:rPr>
              <w:t> </w:t>
            </w:r>
          </w:p>
        </w:tc>
        <w:tc>
          <w:tcPr>
            <w:tcW w:w="1300" w:type="dxa"/>
            <w:shd w:val="clear" w:color="auto" w:fill="auto"/>
            <w:noWrap/>
            <w:vAlign w:val="bottom"/>
            <w:hideMark/>
          </w:tcPr>
          <w:p w14:paraId="76B270DC" w14:textId="77777777" w:rsidR="001C4073" w:rsidRPr="00C57178" w:rsidRDefault="001C4073" w:rsidP="001C4073">
            <w:pPr>
              <w:keepNext/>
              <w:keepLines/>
              <w:spacing w:after="0" w:line="240" w:lineRule="auto"/>
              <w:jc w:val="center"/>
              <w:rPr>
                <w:sz w:val="20"/>
                <w:szCs w:val="20"/>
              </w:rPr>
            </w:pPr>
            <w:r w:rsidRPr="00C57178">
              <w:rPr>
                <w:sz w:val="20"/>
                <w:szCs w:val="20"/>
              </w:rPr>
              <w:t> </w:t>
            </w:r>
          </w:p>
        </w:tc>
      </w:tr>
      <w:tr w:rsidR="001C4073" w:rsidRPr="00C57178" w14:paraId="6F098FF8" w14:textId="77777777" w:rsidTr="001C4073">
        <w:trPr>
          <w:trHeight w:val="300"/>
          <w:jc w:val="center"/>
        </w:trPr>
        <w:tc>
          <w:tcPr>
            <w:tcW w:w="3440" w:type="dxa"/>
            <w:shd w:val="clear" w:color="auto" w:fill="D9D9D9" w:themeFill="background1" w:themeFillShade="D9"/>
            <w:noWrap/>
            <w:vAlign w:val="bottom"/>
            <w:hideMark/>
          </w:tcPr>
          <w:p w14:paraId="4995C572" w14:textId="77777777" w:rsidR="001C4073" w:rsidRPr="00C57178" w:rsidRDefault="001C4073" w:rsidP="001C4073">
            <w:pPr>
              <w:keepNext/>
              <w:keepLines/>
              <w:spacing w:after="0" w:line="240" w:lineRule="auto"/>
              <w:jc w:val="left"/>
              <w:rPr>
                <w:sz w:val="20"/>
                <w:szCs w:val="20"/>
              </w:rPr>
            </w:pPr>
            <w:r w:rsidRPr="00C57178">
              <w:rPr>
                <w:sz w:val="20"/>
                <w:szCs w:val="20"/>
              </w:rPr>
              <w:t>Rehabilitation</w:t>
            </w:r>
          </w:p>
        </w:tc>
        <w:tc>
          <w:tcPr>
            <w:tcW w:w="1300" w:type="dxa"/>
            <w:shd w:val="clear" w:color="auto" w:fill="D9D9D9" w:themeFill="background1" w:themeFillShade="D9"/>
            <w:noWrap/>
            <w:vAlign w:val="bottom"/>
            <w:hideMark/>
          </w:tcPr>
          <w:p w14:paraId="11C478FD" w14:textId="77777777" w:rsidR="001C4073" w:rsidRPr="00C57178" w:rsidRDefault="001C4073" w:rsidP="001C4073">
            <w:pPr>
              <w:keepNext/>
              <w:keepLines/>
              <w:spacing w:after="0" w:line="240" w:lineRule="auto"/>
              <w:jc w:val="center"/>
              <w:rPr>
                <w:sz w:val="20"/>
                <w:szCs w:val="20"/>
              </w:rPr>
            </w:pPr>
            <w:r w:rsidRPr="00C57178">
              <w:rPr>
                <w:sz w:val="20"/>
                <w:szCs w:val="20"/>
              </w:rPr>
              <w:t>2</w:t>
            </w:r>
          </w:p>
        </w:tc>
        <w:tc>
          <w:tcPr>
            <w:tcW w:w="1300" w:type="dxa"/>
            <w:shd w:val="clear" w:color="auto" w:fill="D9D9D9" w:themeFill="background1" w:themeFillShade="D9"/>
            <w:noWrap/>
            <w:vAlign w:val="bottom"/>
            <w:hideMark/>
          </w:tcPr>
          <w:p w14:paraId="39623BD5" w14:textId="77777777" w:rsidR="001C4073" w:rsidRPr="00C57178" w:rsidRDefault="001C4073" w:rsidP="001C4073">
            <w:pPr>
              <w:keepNext/>
              <w:keepLines/>
              <w:spacing w:after="0" w:line="240" w:lineRule="auto"/>
              <w:jc w:val="center"/>
              <w:rPr>
                <w:sz w:val="20"/>
                <w:szCs w:val="20"/>
              </w:rPr>
            </w:pPr>
            <w:r w:rsidRPr="00C57178">
              <w:rPr>
                <w:sz w:val="20"/>
                <w:szCs w:val="20"/>
              </w:rPr>
              <w:t> </w:t>
            </w:r>
          </w:p>
        </w:tc>
        <w:tc>
          <w:tcPr>
            <w:tcW w:w="1300" w:type="dxa"/>
            <w:shd w:val="clear" w:color="auto" w:fill="D9D9D9" w:themeFill="background1" w:themeFillShade="D9"/>
            <w:noWrap/>
            <w:vAlign w:val="bottom"/>
            <w:hideMark/>
          </w:tcPr>
          <w:p w14:paraId="089E1D85" w14:textId="77777777" w:rsidR="001C4073" w:rsidRPr="00C57178" w:rsidRDefault="001C4073" w:rsidP="001C4073">
            <w:pPr>
              <w:keepNext/>
              <w:keepLines/>
              <w:spacing w:after="0" w:line="240" w:lineRule="auto"/>
              <w:jc w:val="center"/>
              <w:rPr>
                <w:sz w:val="20"/>
                <w:szCs w:val="20"/>
              </w:rPr>
            </w:pPr>
            <w:r w:rsidRPr="00C57178">
              <w:rPr>
                <w:sz w:val="20"/>
                <w:szCs w:val="20"/>
              </w:rPr>
              <w:t> </w:t>
            </w:r>
          </w:p>
        </w:tc>
        <w:tc>
          <w:tcPr>
            <w:tcW w:w="1300" w:type="dxa"/>
            <w:shd w:val="clear" w:color="auto" w:fill="D9D9D9" w:themeFill="background1" w:themeFillShade="D9"/>
            <w:noWrap/>
            <w:vAlign w:val="bottom"/>
            <w:hideMark/>
          </w:tcPr>
          <w:p w14:paraId="34DF2134" w14:textId="77777777" w:rsidR="001C4073" w:rsidRPr="00C57178" w:rsidRDefault="001C4073" w:rsidP="001C4073">
            <w:pPr>
              <w:keepNext/>
              <w:keepLines/>
              <w:spacing w:after="0" w:line="240" w:lineRule="auto"/>
              <w:jc w:val="center"/>
              <w:rPr>
                <w:sz w:val="20"/>
                <w:szCs w:val="20"/>
              </w:rPr>
            </w:pPr>
            <w:r w:rsidRPr="00C57178">
              <w:rPr>
                <w:sz w:val="20"/>
                <w:szCs w:val="20"/>
              </w:rPr>
              <w:t> </w:t>
            </w:r>
          </w:p>
        </w:tc>
      </w:tr>
      <w:tr w:rsidR="001C4073" w:rsidRPr="00C57178" w14:paraId="75BDB644" w14:textId="77777777" w:rsidTr="001C4073">
        <w:trPr>
          <w:trHeight w:val="300"/>
          <w:jc w:val="center"/>
        </w:trPr>
        <w:tc>
          <w:tcPr>
            <w:tcW w:w="3440" w:type="dxa"/>
            <w:shd w:val="clear" w:color="auto" w:fill="auto"/>
            <w:noWrap/>
            <w:vAlign w:val="bottom"/>
            <w:hideMark/>
          </w:tcPr>
          <w:p w14:paraId="5CE51341" w14:textId="77777777" w:rsidR="001C4073" w:rsidRPr="00C57178" w:rsidRDefault="001C4073" w:rsidP="001C4073">
            <w:pPr>
              <w:keepNext/>
              <w:keepLines/>
              <w:spacing w:after="0" w:line="240" w:lineRule="auto"/>
              <w:jc w:val="left"/>
              <w:rPr>
                <w:sz w:val="20"/>
                <w:szCs w:val="20"/>
              </w:rPr>
            </w:pPr>
            <w:r w:rsidRPr="00C57178">
              <w:rPr>
                <w:sz w:val="20"/>
                <w:szCs w:val="20"/>
              </w:rPr>
              <w:t>Division/group supervisors</w:t>
            </w:r>
          </w:p>
        </w:tc>
        <w:tc>
          <w:tcPr>
            <w:tcW w:w="1300" w:type="dxa"/>
            <w:shd w:val="clear" w:color="auto" w:fill="auto"/>
            <w:noWrap/>
            <w:vAlign w:val="bottom"/>
            <w:hideMark/>
          </w:tcPr>
          <w:p w14:paraId="5B208FAF" w14:textId="77777777" w:rsidR="001C4073" w:rsidRPr="00C57178" w:rsidRDefault="001C4073" w:rsidP="001C4073">
            <w:pPr>
              <w:keepNext/>
              <w:keepLines/>
              <w:spacing w:after="0" w:line="240" w:lineRule="auto"/>
              <w:jc w:val="center"/>
              <w:rPr>
                <w:sz w:val="20"/>
                <w:szCs w:val="20"/>
              </w:rPr>
            </w:pPr>
            <w:r w:rsidRPr="00C57178">
              <w:rPr>
                <w:sz w:val="20"/>
                <w:szCs w:val="20"/>
              </w:rPr>
              <w:t>(2)</w:t>
            </w:r>
          </w:p>
        </w:tc>
        <w:tc>
          <w:tcPr>
            <w:tcW w:w="1300" w:type="dxa"/>
            <w:shd w:val="clear" w:color="auto" w:fill="auto"/>
            <w:noWrap/>
            <w:vAlign w:val="bottom"/>
            <w:hideMark/>
          </w:tcPr>
          <w:p w14:paraId="0B351C12" w14:textId="77777777" w:rsidR="001C4073" w:rsidRPr="00C57178" w:rsidRDefault="001C4073" w:rsidP="001C4073">
            <w:pPr>
              <w:keepNext/>
              <w:keepLines/>
              <w:spacing w:after="0" w:line="240" w:lineRule="auto"/>
              <w:jc w:val="center"/>
              <w:rPr>
                <w:sz w:val="20"/>
                <w:szCs w:val="20"/>
              </w:rPr>
            </w:pPr>
            <w:r w:rsidRPr="00C57178">
              <w:rPr>
                <w:sz w:val="20"/>
                <w:szCs w:val="20"/>
              </w:rPr>
              <w:t> </w:t>
            </w:r>
          </w:p>
        </w:tc>
        <w:tc>
          <w:tcPr>
            <w:tcW w:w="1300" w:type="dxa"/>
            <w:shd w:val="clear" w:color="auto" w:fill="auto"/>
            <w:noWrap/>
            <w:vAlign w:val="bottom"/>
            <w:hideMark/>
          </w:tcPr>
          <w:p w14:paraId="0F829CCF" w14:textId="77777777" w:rsidR="001C4073" w:rsidRPr="00C57178" w:rsidRDefault="001C4073" w:rsidP="001C4073">
            <w:pPr>
              <w:keepNext/>
              <w:keepLines/>
              <w:spacing w:after="0" w:line="240" w:lineRule="auto"/>
              <w:jc w:val="center"/>
              <w:rPr>
                <w:sz w:val="20"/>
                <w:szCs w:val="20"/>
              </w:rPr>
            </w:pPr>
            <w:r w:rsidRPr="00C57178">
              <w:rPr>
                <w:sz w:val="20"/>
                <w:szCs w:val="20"/>
              </w:rPr>
              <w:t> </w:t>
            </w:r>
          </w:p>
        </w:tc>
        <w:tc>
          <w:tcPr>
            <w:tcW w:w="1300" w:type="dxa"/>
            <w:shd w:val="clear" w:color="auto" w:fill="auto"/>
            <w:noWrap/>
            <w:vAlign w:val="bottom"/>
            <w:hideMark/>
          </w:tcPr>
          <w:p w14:paraId="20C66281" w14:textId="77777777" w:rsidR="001C4073" w:rsidRPr="00C57178" w:rsidRDefault="001C4073" w:rsidP="001C4073">
            <w:pPr>
              <w:keepNext/>
              <w:keepLines/>
              <w:spacing w:after="0" w:line="240" w:lineRule="auto"/>
              <w:jc w:val="center"/>
              <w:rPr>
                <w:sz w:val="20"/>
                <w:szCs w:val="20"/>
              </w:rPr>
            </w:pPr>
            <w:r w:rsidRPr="00C57178">
              <w:rPr>
                <w:sz w:val="20"/>
                <w:szCs w:val="20"/>
              </w:rPr>
              <w:t> </w:t>
            </w:r>
          </w:p>
        </w:tc>
      </w:tr>
      <w:tr w:rsidR="001C4073" w:rsidRPr="00C57178" w14:paraId="4E013BD4" w14:textId="77777777" w:rsidTr="001C4073">
        <w:trPr>
          <w:trHeight w:val="320"/>
          <w:jc w:val="center"/>
        </w:trPr>
        <w:tc>
          <w:tcPr>
            <w:tcW w:w="3440" w:type="dxa"/>
            <w:shd w:val="clear" w:color="auto" w:fill="BFBFBF"/>
            <w:noWrap/>
            <w:vAlign w:val="bottom"/>
            <w:hideMark/>
          </w:tcPr>
          <w:p w14:paraId="0A0652E1" w14:textId="77777777" w:rsidR="001C4073" w:rsidRPr="00C57178" w:rsidRDefault="001C4073" w:rsidP="001C4073">
            <w:pPr>
              <w:keepNext/>
              <w:keepLines/>
              <w:spacing w:after="0" w:line="240" w:lineRule="auto"/>
              <w:jc w:val="left"/>
              <w:rPr>
                <w:b/>
                <w:bCs/>
                <w:sz w:val="20"/>
                <w:szCs w:val="20"/>
              </w:rPr>
            </w:pPr>
            <w:r w:rsidRPr="00C57178">
              <w:rPr>
                <w:b/>
                <w:bCs/>
                <w:sz w:val="20"/>
                <w:szCs w:val="20"/>
              </w:rPr>
              <w:t>Total</w:t>
            </w:r>
          </w:p>
        </w:tc>
        <w:tc>
          <w:tcPr>
            <w:tcW w:w="1300" w:type="dxa"/>
            <w:shd w:val="clear" w:color="auto" w:fill="BFBFBF"/>
            <w:noWrap/>
            <w:vAlign w:val="bottom"/>
            <w:hideMark/>
          </w:tcPr>
          <w:p w14:paraId="2FA6451A" w14:textId="77777777" w:rsidR="001C4073" w:rsidRPr="00C57178" w:rsidRDefault="001C4073" w:rsidP="001C4073">
            <w:pPr>
              <w:keepNext/>
              <w:keepLines/>
              <w:spacing w:after="0" w:line="240" w:lineRule="auto"/>
              <w:jc w:val="center"/>
              <w:rPr>
                <w:b/>
                <w:bCs/>
                <w:sz w:val="20"/>
                <w:szCs w:val="20"/>
              </w:rPr>
            </w:pPr>
            <w:r w:rsidRPr="00C57178">
              <w:rPr>
                <w:b/>
                <w:bCs/>
                <w:sz w:val="20"/>
                <w:szCs w:val="20"/>
              </w:rPr>
              <w:t>37-39</w:t>
            </w:r>
          </w:p>
        </w:tc>
        <w:tc>
          <w:tcPr>
            <w:tcW w:w="1300" w:type="dxa"/>
            <w:shd w:val="clear" w:color="auto" w:fill="BFBFBF"/>
            <w:noWrap/>
            <w:vAlign w:val="bottom"/>
            <w:hideMark/>
          </w:tcPr>
          <w:p w14:paraId="18B5B53D" w14:textId="77777777" w:rsidR="001C4073" w:rsidRPr="00C57178" w:rsidRDefault="001C4073" w:rsidP="001C4073">
            <w:pPr>
              <w:keepNext/>
              <w:keepLines/>
              <w:spacing w:after="0" w:line="240" w:lineRule="auto"/>
              <w:jc w:val="center"/>
              <w:rPr>
                <w:b/>
                <w:bCs/>
                <w:sz w:val="20"/>
                <w:szCs w:val="20"/>
              </w:rPr>
            </w:pPr>
            <w:r w:rsidRPr="00C57178">
              <w:rPr>
                <w:b/>
                <w:bCs/>
                <w:sz w:val="20"/>
                <w:szCs w:val="20"/>
              </w:rPr>
              <w:t>23</w:t>
            </w:r>
          </w:p>
        </w:tc>
        <w:tc>
          <w:tcPr>
            <w:tcW w:w="1300" w:type="dxa"/>
            <w:shd w:val="clear" w:color="auto" w:fill="BFBFBF"/>
            <w:noWrap/>
            <w:vAlign w:val="bottom"/>
            <w:hideMark/>
          </w:tcPr>
          <w:p w14:paraId="0DF6A0E2" w14:textId="77777777" w:rsidR="001C4073" w:rsidRPr="00C57178" w:rsidRDefault="001C4073" w:rsidP="001C4073">
            <w:pPr>
              <w:keepNext/>
              <w:keepLines/>
              <w:spacing w:after="0" w:line="240" w:lineRule="auto"/>
              <w:jc w:val="center"/>
              <w:rPr>
                <w:b/>
                <w:bCs/>
                <w:sz w:val="20"/>
                <w:szCs w:val="20"/>
              </w:rPr>
            </w:pPr>
            <w:r w:rsidRPr="00C57178">
              <w:rPr>
                <w:b/>
                <w:bCs/>
                <w:sz w:val="20"/>
                <w:szCs w:val="20"/>
              </w:rPr>
              <w:t>14-16</w:t>
            </w:r>
          </w:p>
        </w:tc>
        <w:tc>
          <w:tcPr>
            <w:tcW w:w="1300" w:type="dxa"/>
            <w:shd w:val="clear" w:color="auto" w:fill="BFBFBF"/>
            <w:noWrap/>
            <w:vAlign w:val="bottom"/>
            <w:hideMark/>
          </w:tcPr>
          <w:p w14:paraId="4986A8A9" w14:textId="77777777" w:rsidR="001C4073" w:rsidRPr="00C57178" w:rsidRDefault="001C4073" w:rsidP="001C4073">
            <w:pPr>
              <w:keepNext/>
              <w:keepLines/>
              <w:spacing w:after="0" w:line="240" w:lineRule="auto"/>
              <w:jc w:val="center"/>
              <w:rPr>
                <w:b/>
                <w:bCs/>
                <w:sz w:val="20"/>
                <w:szCs w:val="20"/>
              </w:rPr>
            </w:pPr>
            <w:r w:rsidRPr="00C57178">
              <w:rPr>
                <w:b/>
                <w:bCs/>
                <w:sz w:val="20"/>
                <w:szCs w:val="20"/>
              </w:rPr>
              <w:t>3-6</w:t>
            </w:r>
          </w:p>
        </w:tc>
      </w:tr>
      <w:tr w:rsidR="001C4073" w:rsidRPr="00C57178" w14:paraId="450D0B5D" w14:textId="77777777" w:rsidTr="001C4073">
        <w:trPr>
          <w:trHeight w:val="300"/>
          <w:jc w:val="center"/>
        </w:trPr>
        <w:tc>
          <w:tcPr>
            <w:tcW w:w="8640" w:type="dxa"/>
            <w:gridSpan w:val="5"/>
            <w:shd w:val="clear" w:color="auto" w:fill="auto"/>
            <w:vAlign w:val="bottom"/>
            <w:hideMark/>
          </w:tcPr>
          <w:p w14:paraId="20610517" w14:textId="39D39540" w:rsidR="001C4073" w:rsidRPr="00C57178" w:rsidRDefault="001C4073" w:rsidP="00891F63">
            <w:pPr>
              <w:keepNext/>
              <w:keepLines/>
              <w:spacing w:after="0" w:line="240" w:lineRule="auto"/>
              <w:jc w:val="left"/>
              <w:rPr>
                <w:i/>
                <w:iCs/>
                <w:sz w:val="20"/>
                <w:szCs w:val="20"/>
              </w:rPr>
            </w:pPr>
            <w:r w:rsidRPr="00C57178">
              <w:rPr>
                <w:i/>
                <w:iCs/>
                <w:sz w:val="20"/>
                <w:szCs w:val="20"/>
              </w:rPr>
              <w:t>() indicates task may not be required at all such incident</w:t>
            </w:r>
            <w:r w:rsidR="00891F63">
              <w:rPr>
                <w:i/>
                <w:iCs/>
                <w:sz w:val="20"/>
                <w:szCs w:val="20"/>
              </w:rPr>
              <w:t>s</w:t>
            </w:r>
            <w:r w:rsidRPr="00C57178">
              <w:rPr>
                <w:i/>
                <w:iCs/>
                <w:sz w:val="20"/>
                <w:szCs w:val="20"/>
              </w:rPr>
              <w:t>.</w:t>
            </w:r>
          </w:p>
        </w:tc>
      </w:tr>
      <w:tr w:rsidR="001C4073" w:rsidRPr="00C57178" w14:paraId="7885F127" w14:textId="77777777" w:rsidTr="001C4073">
        <w:trPr>
          <w:trHeight w:val="300"/>
          <w:jc w:val="center"/>
        </w:trPr>
        <w:tc>
          <w:tcPr>
            <w:tcW w:w="8640" w:type="dxa"/>
            <w:gridSpan w:val="5"/>
            <w:shd w:val="clear" w:color="auto" w:fill="auto"/>
            <w:vAlign w:val="bottom"/>
            <w:hideMark/>
          </w:tcPr>
          <w:p w14:paraId="2079B79E" w14:textId="77777777" w:rsidR="001C4073" w:rsidRPr="00C57178" w:rsidRDefault="001C4073" w:rsidP="001C4073">
            <w:pPr>
              <w:keepNext/>
              <w:keepLines/>
              <w:spacing w:after="0" w:line="240" w:lineRule="auto"/>
              <w:jc w:val="left"/>
              <w:rPr>
                <w:i/>
                <w:iCs/>
                <w:sz w:val="20"/>
                <w:szCs w:val="20"/>
              </w:rPr>
            </w:pPr>
            <w:r w:rsidRPr="00C57178">
              <w:rPr>
                <w:i/>
                <w:iCs/>
                <w:sz w:val="20"/>
                <w:szCs w:val="20"/>
              </w:rPr>
              <w:t># indicates task may, at times, be completed concurrently with other position.</w:t>
            </w:r>
          </w:p>
        </w:tc>
      </w:tr>
    </w:tbl>
    <w:p w14:paraId="45814D51" w14:textId="77777777" w:rsidR="001C4073" w:rsidRDefault="001C4073" w:rsidP="001C4073">
      <w:pPr>
        <w:jc w:val="center"/>
      </w:pPr>
    </w:p>
    <w:p w14:paraId="0C8008DA" w14:textId="77777777" w:rsidR="001C4073" w:rsidRDefault="001C4073" w:rsidP="001C4073">
      <w:r w:rsidRPr="00C57178">
        <w:t>The first 15 minutes is the most crucial period in the suppression of a fire. How effectively and efficiently firefighters perform during this period has a significant impact on the overall outcome of the event.</w:t>
      </w:r>
      <w:r>
        <w:t xml:space="preserve"> </w:t>
      </w:r>
    </w:p>
    <w:p w14:paraId="26E0404E" w14:textId="77777777" w:rsidR="001C4073" w:rsidRDefault="001C4073" w:rsidP="001C4073">
      <w:pPr>
        <w:pStyle w:val="Heading4"/>
      </w:pPr>
      <w:r w:rsidRPr="00364BC1">
        <w:t xml:space="preserve">All Risk </w:t>
      </w:r>
      <w:bookmarkStart w:id="290" w:name="TOC258406281"/>
      <w:r w:rsidRPr="00364BC1">
        <w:t>Critical Resource Task</w:t>
      </w:r>
      <w:bookmarkEnd w:id="290"/>
      <w:r w:rsidRPr="00364BC1">
        <w:t xml:space="preserve">ing </w:t>
      </w:r>
    </w:p>
    <w:p w14:paraId="040FB127" w14:textId="2A1365B5" w:rsidR="001C4073" w:rsidRDefault="001C4073" w:rsidP="001C4073">
      <w:pPr>
        <w:rPr>
          <w:rFonts w:cs="Calibri"/>
        </w:rPr>
      </w:pPr>
      <w:r w:rsidRPr="004E35CD">
        <w:rPr>
          <w:rFonts w:cs="Calibri"/>
        </w:rPr>
        <w:t>Critical task analysis also applies to non-fire type emergencies including medical, technical rescue, and hazardous materials emergencies.</w:t>
      </w:r>
      <w:r>
        <w:rPr>
          <w:rFonts w:cs="Calibri"/>
        </w:rPr>
        <w:t xml:space="preserve"> </w:t>
      </w:r>
      <w:r w:rsidRPr="004E35CD">
        <w:rPr>
          <w:rFonts w:cs="Calibri"/>
        </w:rPr>
        <w:t xml:space="preserve">Numerous simultaneous tasks </w:t>
      </w:r>
      <w:r>
        <w:rPr>
          <w:rFonts w:cs="Calibri"/>
        </w:rPr>
        <w:t>are necessary</w:t>
      </w:r>
      <w:r w:rsidRPr="004E35CD">
        <w:rPr>
          <w:rFonts w:cs="Calibri"/>
        </w:rPr>
        <w:t xml:space="preserve"> to effectively control an emergency.</w:t>
      </w:r>
      <w:r>
        <w:rPr>
          <w:rFonts w:cs="Calibri"/>
        </w:rPr>
        <w:t xml:space="preserve"> </w:t>
      </w:r>
      <w:r w:rsidRPr="004E35CD">
        <w:rPr>
          <w:rFonts w:cs="Calibri"/>
        </w:rPr>
        <w:t xml:space="preserve">The department’s ability to muster needed numbers of trained </w:t>
      </w:r>
      <w:r w:rsidR="00891F63">
        <w:rPr>
          <w:rFonts w:cs="Calibri"/>
        </w:rPr>
        <w:t xml:space="preserve">and certified </w:t>
      </w:r>
      <w:r w:rsidRPr="004E35CD">
        <w:rPr>
          <w:rFonts w:cs="Calibri"/>
        </w:rPr>
        <w:t>personnel quickly enough to make a difference is critical to successful incident outcomes.</w:t>
      </w:r>
      <w:r>
        <w:rPr>
          <w:rFonts w:cs="Calibri"/>
        </w:rPr>
        <w:t xml:space="preserve"> The following figures provide examples of the number of personnel required to perform the critical tasks in a prompt, effective, and safe manner.</w:t>
      </w:r>
    </w:p>
    <w:p w14:paraId="690BDD36" w14:textId="71B36601" w:rsidR="001C4073" w:rsidRPr="002F2160" w:rsidRDefault="001C4073" w:rsidP="001236B6">
      <w:pPr>
        <w:pStyle w:val="Caption"/>
      </w:pPr>
      <w:bookmarkStart w:id="291" w:name="_Toc392664793"/>
      <w:bookmarkStart w:id="292" w:name="_Toc427135782"/>
      <w:bookmarkStart w:id="293" w:name="_Toc464323732"/>
      <w:r w:rsidRPr="002F2160">
        <w:t xml:space="preserve">Figure </w:t>
      </w:r>
      <w:r w:rsidR="00432AD4">
        <w:fldChar w:fldCharType="begin"/>
      </w:r>
      <w:r w:rsidR="00432AD4">
        <w:instrText xml:space="preserve"> </w:instrText>
      </w:r>
      <w:r w:rsidR="00432AD4">
        <w:instrText xml:space="preserve">SEQ Figure \* ARABIC </w:instrText>
      </w:r>
      <w:r w:rsidR="00432AD4">
        <w:fldChar w:fldCharType="separate"/>
      </w:r>
      <w:r w:rsidR="008209A2">
        <w:rPr>
          <w:noProof/>
        </w:rPr>
        <w:t>90</w:t>
      </w:r>
      <w:r w:rsidR="00432AD4">
        <w:rPr>
          <w:noProof/>
        </w:rPr>
        <w:fldChar w:fldCharType="end"/>
      </w:r>
      <w:r w:rsidRPr="002F2160">
        <w:t>: Non-Structure Fire Critical Tasking</w:t>
      </w:r>
      <w:bookmarkEnd w:id="291"/>
      <w:bookmarkEnd w:id="292"/>
      <w:bookmarkEnd w:id="293"/>
    </w:p>
    <w:tbl>
      <w:tblPr>
        <w:tblW w:w="4800" w:type="dxa"/>
        <w:jc w:val="center"/>
        <w:tblLook w:val="04A0" w:firstRow="1" w:lastRow="0" w:firstColumn="1" w:lastColumn="0" w:noHBand="0" w:noVBand="1"/>
      </w:tblPr>
      <w:tblGrid>
        <w:gridCol w:w="3440"/>
        <w:gridCol w:w="1360"/>
      </w:tblGrid>
      <w:tr w:rsidR="001C4073" w:rsidRPr="007B33BD" w14:paraId="39D77B31" w14:textId="77777777" w:rsidTr="001C4073">
        <w:trPr>
          <w:trHeight w:val="20"/>
          <w:jc w:val="center"/>
        </w:trPr>
        <w:tc>
          <w:tcPr>
            <w:tcW w:w="3440" w:type="dxa"/>
            <w:shd w:val="clear" w:color="auto" w:fill="365F91"/>
            <w:noWrap/>
            <w:vAlign w:val="bottom"/>
            <w:hideMark/>
          </w:tcPr>
          <w:p w14:paraId="07325BBA" w14:textId="77777777" w:rsidR="001C4073" w:rsidRPr="00150A23" w:rsidRDefault="001C4073" w:rsidP="001C4073">
            <w:pPr>
              <w:spacing w:after="0" w:line="240" w:lineRule="auto"/>
              <w:jc w:val="center"/>
              <w:rPr>
                <w:b/>
                <w:bCs/>
                <w:color w:val="FFFFFF"/>
                <w:sz w:val="20"/>
                <w:szCs w:val="20"/>
              </w:rPr>
            </w:pPr>
            <w:r w:rsidRPr="00150A23">
              <w:rPr>
                <w:b/>
                <w:bCs/>
                <w:color w:val="FFFFFF"/>
                <w:sz w:val="20"/>
                <w:szCs w:val="20"/>
              </w:rPr>
              <w:t>Task</w:t>
            </w:r>
          </w:p>
        </w:tc>
        <w:tc>
          <w:tcPr>
            <w:tcW w:w="1360" w:type="dxa"/>
            <w:shd w:val="clear" w:color="auto" w:fill="365F91"/>
            <w:noWrap/>
            <w:vAlign w:val="bottom"/>
            <w:hideMark/>
          </w:tcPr>
          <w:p w14:paraId="31F5B2C2" w14:textId="77777777" w:rsidR="001C4073" w:rsidRPr="00150A23" w:rsidRDefault="001C4073" w:rsidP="001C4073">
            <w:pPr>
              <w:spacing w:after="0" w:line="240" w:lineRule="auto"/>
              <w:jc w:val="center"/>
              <w:rPr>
                <w:b/>
                <w:bCs/>
                <w:color w:val="FFFFFF"/>
                <w:sz w:val="20"/>
                <w:szCs w:val="20"/>
              </w:rPr>
            </w:pPr>
            <w:r w:rsidRPr="00150A23">
              <w:rPr>
                <w:b/>
                <w:bCs/>
                <w:color w:val="FFFFFF"/>
                <w:sz w:val="20"/>
                <w:szCs w:val="20"/>
              </w:rPr>
              <w:t>Personnel</w:t>
            </w:r>
          </w:p>
        </w:tc>
      </w:tr>
      <w:tr w:rsidR="001C4073" w:rsidRPr="007B33BD" w14:paraId="6BAC09C7" w14:textId="77777777" w:rsidTr="001C4073">
        <w:trPr>
          <w:trHeight w:val="20"/>
          <w:jc w:val="center"/>
        </w:trPr>
        <w:tc>
          <w:tcPr>
            <w:tcW w:w="3440" w:type="dxa"/>
            <w:shd w:val="clear" w:color="auto" w:fill="auto"/>
            <w:noWrap/>
            <w:vAlign w:val="bottom"/>
            <w:hideMark/>
          </w:tcPr>
          <w:p w14:paraId="1A9DE1EB" w14:textId="77777777" w:rsidR="001C4073" w:rsidRPr="00150A23" w:rsidRDefault="001C4073" w:rsidP="001C4073">
            <w:pPr>
              <w:spacing w:after="0" w:line="240" w:lineRule="auto"/>
              <w:jc w:val="left"/>
              <w:rPr>
                <w:sz w:val="20"/>
                <w:szCs w:val="20"/>
              </w:rPr>
            </w:pPr>
            <w:r w:rsidRPr="00150A23">
              <w:rPr>
                <w:sz w:val="20"/>
                <w:szCs w:val="20"/>
              </w:rPr>
              <w:t>Command</w:t>
            </w:r>
          </w:p>
        </w:tc>
        <w:tc>
          <w:tcPr>
            <w:tcW w:w="1360" w:type="dxa"/>
            <w:shd w:val="clear" w:color="auto" w:fill="auto"/>
            <w:noWrap/>
            <w:vAlign w:val="bottom"/>
            <w:hideMark/>
          </w:tcPr>
          <w:p w14:paraId="35F0A30D" w14:textId="77777777" w:rsidR="001C4073" w:rsidRPr="00150A23" w:rsidRDefault="001C4073" w:rsidP="001C4073">
            <w:pPr>
              <w:spacing w:after="0" w:line="240" w:lineRule="auto"/>
              <w:jc w:val="center"/>
              <w:rPr>
                <w:sz w:val="20"/>
                <w:szCs w:val="20"/>
              </w:rPr>
            </w:pPr>
            <w:r w:rsidRPr="00150A23">
              <w:rPr>
                <w:sz w:val="20"/>
                <w:szCs w:val="20"/>
              </w:rPr>
              <w:t>1</w:t>
            </w:r>
          </w:p>
        </w:tc>
      </w:tr>
      <w:tr w:rsidR="001C4073" w:rsidRPr="007B33BD" w14:paraId="14C2AE1E" w14:textId="77777777" w:rsidTr="001C4073">
        <w:trPr>
          <w:trHeight w:val="20"/>
          <w:jc w:val="center"/>
        </w:trPr>
        <w:tc>
          <w:tcPr>
            <w:tcW w:w="3440" w:type="dxa"/>
            <w:shd w:val="clear" w:color="auto" w:fill="D9D9D9" w:themeFill="background1" w:themeFillShade="D9"/>
            <w:noWrap/>
            <w:vAlign w:val="bottom"/>
            <w:hideMark/>
          </w:tcPr>
          <w:p w14:paraId="42001240" w14:textId="77777777" w:rsidR="001C4073" w:rsidRPr="00150A23" w:rsidRDefault="001C4073" w:rsidP="001C4073">
            <w:pPr>
              <w:spacing w:after="0" w:line="240" w:lineRule="auto"/>
              <w:jc w:val="left"/>
              <w:rPr>
                <w:sz w:val="20"/>
                <w:szCs w:val="20"/>
              </w:rPr>
            </w:pPr>
            <w:r w:rsidRPr="00150A23">
              <w:rPr>
                <w:sz w:val="20"/>
                <w:szCs w:val="20"/>
              </w:rPr>
              <w:t>Pump Operator</w:t>
            </w:r>
          </w:p>
        </w:tc>
        <w:tc>
          <w:tcPr>
            <w:tcW w:w="1360" w:type="dxa"/>
            <w:shd w:val="clear" w:color="auto" w:fill="D9D9D9" w:themeFill="background1" w:themeFillShade="D9"/>
            <w:noWrap/>
            <w:vAlign w:val="bottom"/>
            <w:hideMark/>
          </w:tcPr>
          <w:p w14:paraId="17C8FDF0" w14:textId="77777777" w:rsidR="001C4073" w:rsidRPr="00150A23" w:rsidRDefault="001C4073" w:rsidP="001C4073">
            <w:pPr>
              <w:spacing w:after="0" w:line="240" w:lineRule="auto"/>
              <w:jc w:val="center"/>
              <w:rPr>
                <w:sz w:val="20"/>
                <w:szCs w:val="20"/>
              </w:rPr>
            </w:pPr>
            <w:r w:rsidRPr="00150A23">
              <w:rPr>
                <w:sz w:val="20"/>
                <w:szCs w:val="20"/>
              </w:rPr>
              <w:t>1</w:t>
            </w:r>
          </w:p>
        </w:tc>
      </w:tr>
      <w:tr w:rsidR="001C4073" w:rsidRPr="007B33BD" w14:paraId="7AAF857E" w14:textId="77777777" w:rsidTr="001C4073">
        <w:trPr>
          <w:trHeight w:val="20"/>
          <w:jc w:val="center"/>
        </w:trPr>
        <w:tc>
          <w:tcPr>
            <w:tcW w:w="3440" w:type="dxa"/>
            <w:shd w:val="clear" w:color="auto" w:fill="auto"/>
            <w:noWrap/>
            <w:vAlign w:val="bottom"/>
            <w:hideMark/>
          </w:tcPr>
          <w:p w14:paraId="0B9E64C8" w14:textId="77777777" w:rsidR="001C4073" w:rsidRPr="00150A23" w:rsidRDefault="001C4073" w:rsidP="001C4073">
            <w:pPr>
              <w:spacing w:after="0" w:line="240" w:lineRule="auto"/>
              <w:jc w:val="left"/>
              <w:rPr>
                <w:sz w:val="20"/>
                <w:szCs w:val="20"/>
              </w:rPr>
            </w:pPr>
            <w:r w:rsidRPr="00150A23">
              <w:rPr>
                <w:sz w:val="20"/>
                <w:szCs w:val="20"/>
              </w:rPr>
              <w:t>Primary Attack Line</w:t>
            </w:r>
          </w:p>
        </w:tc>
        <w:tc>
          <w:tcPr>
            <w:tcW w:w="1360" w:type="dxa"/>
            <w:shd w:val="clear" w:color="auto" w:fill="auto"/>
            <w:noWrap/>
            <w:vAlign w:val="bottom"/>
            <w:hideMark/>
          </w:tcPr>
          <w:p w14:paraId="568D02C1" w14:textId="77777777" w:rsidR="001C4073" w:rsidRPr="00150A23" w:rsidRDefault="001C4073" w:rsidP="001C4073">
            <w:pPr>
              <w:spacing w:after="0" w:line="240" w:lineRule="auto"/>
              <w:jc w:val="center"/>
              <w:rPr>
                <w:sz w:val="20"/>
                <w:szCs w:val="20"/>
              </w:rPr>
            </w:pPr>
            <w:r w:rsidRPr="00150A23">
              <w:rPr>
                <w:sz w:val="20"/>
                <w:szCs w:val="20"/>
              </w:rPr>
              <w:t>2</w:t>
            </w:r>
          </w:p>
        </w:tc>
      </w:tr>
      <w:tr w:rsidR="001C4073" w:rsidRPr="007B33BD" w14:paraId="31BC8A5F" w14:textId="77777777" w:rsidTr="001C4073">
        <w:trPr>
          <w:trHeight w:val="20"/>
          <w:jc w:val="center"/>
        </w:trPr>
        <w:tc>
          <w:tcPr>
            <w:tcW w:w="3440" w:type="dxa"/>
            <w:shd w:val="clear" w:color="auto" w:fill="A6A6A6" w:themeFill="background1" w:themeFillShade="A6"/>
            <w:noWrap/>
            <w:vAlign w:val="bottom"/>
            <w:hideMark/>
          </w:tcPr>
          <w:p w14:paraId="3AA13BBE" w14:textId="77777777" w:rsidR="001C4073" w:rsidRPr="00150A23" w:rsidRDefault="001C4073" w:rsidP="001C4073">
            <w:pPr>
              <w:spacing w:after="0" w:line="240" w:lineRule="auto"/>
              <w:jc w:val="left"/>
              <w:rPr>
                <w:b/>
                <w:bCs/>
                <w:color w:val="FFFFFF" w:themeColor="background1"/>
                <w:sz w:val="20"/>
                <w:szCs w:val="20"/>
              </w:rPr>
            </w:pPr>
            <w:r w:rsidRPr="00150A23">
              <w:rPr>
                <w:b/>
                <w:bCs/>
                <w:color w:val="FFFFFF" w:themeColor="background1"/>
                <w:sz w:val="20"/>
                <w:szCs w:val="20"/>
              </w:rPr>
              <w:t>Total</w:t>
            </w:r>
          </w:p>
        </w:tc>
        <w:tc>
          <w:tcPr>
            <w:tcW w:w="1360" w:type="dxa"/>
            <w:shd w:val="clear" w:color="auto" w:fill="A6A6A6" w:themeFill="background1" w:themeFillShade="A6"/>
            <w:noWrap/>
            <w:vAlign w:val="bottom"/>
            <w:hideMark/>
          </w:tcPr>
          <w:p w14:paraId="567DC35C" w14:textId="77777777" w:rsidR="001C4073" w:rsidRPr="00150A23" w:rsidRDefault="001C4073" w:rsidP="001C4073">
            <w:pPr>
              <w:spacing w:after="0" w:line="240" w:lineRule="auto"/>
              <w:jc w:val="center"/>
              <w:rPr>
                <w:b/>
                <w:bCs/>
                <w:color w:val="FFFFFF" w:themeColor="background1"/>
                <w:sz w:val="20"/>
                <w:szCs w:val="20"/>
              </w:rPr>
            </w:pPr>
            <w:r w:rsidRPr="00150A23">
              <w:rPr>
                <w:b/>
                <w:bCs/>
                <w:color w:val="FFFFFF" w:themeColor="background1"/>
                <w:sz w:val="20"/>
                <w:szCs w:val="20"/>
              </w:rPr>
              <w:t>4</w:t>
            </w:r>
          </w:p>
        </w:tc>
      </w:tr>
    </w:tbl>
    <w:p w14:paraId="29153235" w14:textId="77777777" w:rsidR="001C4073" w:rsidRPr="00150A23" w:rsidRDefault="001C4073" w:rsidP="001C4073">
      <w:pPr>
        <w:keepNext/>
        <w:keepLines/>
        <w:rPr>
          <w:sz w:val="20"/>
          <w:szCs w:val="20"/>
        </w:rPr>
      </w:pPr>
    </w:p>
    <w:p w14:paraId="2D33F0F9" w14:textId="385C553D" w:rsidR="001C4073" w:rsidRPr="002F2160" w:rsidRDefault="001C4073" w:rsidP="001236B6">
      <w:pPr>
        <w:pStyle w:val="Caption"/>
      </w:pPr>
      <w:bookmarkStart w:id="294" w:name="_Toc392664794"/>
      <w:bookmarkStart w:id="295" w:name="_Toc427135783"/>
      <w:bookmarkStart w:id="296" w:name="_Toc464323733"/>
      <w:r w:rsidRPr="002F2160">
        <w:t xml:space="preserve">Figure </w:t>
      </w:r>
      <w:r w:rsidR="00432AD4">
        <w:fldChar w:fldCharType="begin"/>
      </w:r>
      <w:r w:rsidR="00432AD4">
        <w:instrText xml:space="preserve"> SEQ Figure \* ARABIC </w:instrText>
      </w:r>
      <w:r w:rsidR="00432AD4">
        <w:fldChar w:fldCharType="separate"/>
      </w:r>
      <w:r w:rsidR="008209A2">
        <w:rPr>
          <w:noProof/>
        </w:rPr>
        <w:t>91</w:t>
      </w:r>
      <w:r w:rsidR="00432AD4">
        <w:rPr>
          <w:noProof/>
        </w:rPr>
        <w:fldChar w:fldCharType="end"/>
      </w:r>
      <w:r w:rsidRPr="002F2160">
        <w:t>: Hazardous Materials Incident Critical Tasking</w:t>
      </w:r>
      <w:bookmarkEnd w:id="294"/>
      <w:bookmarkEnd w:id="295"/>
      <w:bookmarkEnd w:id="296"/>
    </w:p>
    <w:tbl>
      <w:tblPr>
        <w:tblW w:w="4740" w:type="dxa"/>
        <w:jc w:val="center"/>
        <w:tblLook w:val="04A0" w:firstRow="1" w:lastRow="0" w:firstColumn="1" w:lastColumn="0" w:noHBand="0" w:noVBand="1"/>
      </w:tblPr>
      <w:tblGrid>
        <w:gridCol w:w="3440"/>
        <w:gridCol w:w="1300"/>
      </w:tblGrid>
      <w:tr w:rsidR="001C4073" w:rsidRPr="007B33BD" w14:paraId="3D0E89EB" w14:textId="77777777" w:rsidTr="001C4073">
        <w:trPr>
          <w:trHeight w:val="20"/>
          <w:jc w:val="center"/>
        </w:trPr>
        <w:tc>
          <w:tcPr>
            <w:tcW w:w="3440" w:type="dxa"/>
            <w:shd w:val="clear" w:color="auto" w:fill="365F91"/>
            <w:noWrap/>
            <w:vAlign w:val="bottom"/>
            <w:hideMark/>
          </w:tcPr>
          <w:p w14:paraId="3CB05281" w14:textId="77777777" w:rsidR="001C4073" w:rsidRPr="00150A23" w:rsidRDefault="001C4073" w:rsidP="001C4073">
            <w:pPr>
              <w:keepNext/>
              <w:keepLines/>
              <w:spacing w:after="0" w:line="240" w:lineRule="auto"/>
              <w:jc w:val="center"/>
              <w:rPr>
                <w:b/>
                <w:bCs/>
                <w:color w:val="FFFFFF"/>
                <w:sz w:val="20"/>
                <w:szCs w:val="20"/>
              </w:rPr>
            </w:pPr>
            <w:r w:rsidRPr="00150A23">
              <w:rPr>
                <w:b/>
                <w:bCs/>
                <w:color w:val="FFFFFF"/>
                <w:sz w:val="20"/>
                <w:szCs w:val="20"/>
              </w:rPr>
              <w:t>Task</w:t>
            </w:r>
          </w:p>
        </w:tc>
        <w:tc>
          <w:tcPr>
            <w:tcW w:w="1300" w:type="dxa"/>
            <w:shd w:val="clear" w:color="auto" w:fill="365F91"/>
            <w:noWrap/>
            <w:vAlign w:val="bottom"/>
            <w:hideMark/>
          </w:tcPr>
          <w:p w14:paraId="5359F4BB" w14:textId="77777777" w:rsidR="001C4073" w:rsidRPr="00150A23" w:rsidRDefault="001C4073" w:rsidP="001C4073">
            <w:pPr>
              <w:keepNext/>
              <w:keepLines/>
              <w:spacing w:after="0" w:line="240" w:lineRule="auto"/>
              <w:jc w:val="center"/>
              <w:rPr>
                <w:b/>
                <w:bCs/>
                <w:color w:val="FFFFFF"/>
                <w:sz w:val="20"/>
                <w:szCs w:val="20"/>
              </w:rPr>
            </w:pPr>
            <w:r w:rsidRPr="00150A23">
              <w:rPr>
                <w:b/>
                <w:bCs/>
                <w:color w:val="FFFFFF"/>
                <w:sz w:val="20"/>
                <w:szCs w:val="20"/>
              </w:rPr>
              <w:t>Personnel</w:t>
            </w:r>
          </w:p>
        </w:tc>
      </w:tr>
      <w:tr w:rsidR="001C4073" w:rsidRPr="007B33BD" w14:paraId="510C2F2B" w14:textId="77777777" w:rsidTr="001C4073">
        <w:trPr>
          <w:trHeight w:val="20"/>
          <w:jc w:val="center"/>
        </w:trPr>
        <w:tc>
          <w:tcPr>
            <w:tcW w:w="3440" w:type="dxa"/>
            <w:shd w:val="clear" w:color="auto" w:fill="auto"/>
            <w:noWrap/>
            <w:vAlign w:val="bottom"/>
            <w:hideMark/>
          </w:tcPr>
          <w:p w14:paraId="71CDC9FE" w14:textId="77777777" w:rsidR="001C4073" w:rsidRPr="00150A23" w:rsidRDefault="001C4073" w:rsidP="001C4073">
            <w:pPr>
              <w:keepNext/>
              <w:keepLines/>
              <w:spacing w:after="0" w:line="240" w:lineRule="auto"/>
              <w:jc w:val="left"/>
              <w:rPr>
                <w:sz w:val="20"/>
                <w:szCs w:val="20"/>
              </w:rPr>
            </w:pPr>
            <w:r w:rsidRPr="00150A23">
              <w:rPr>
                <w:sz w:val="20"/>
                <w:szCs w:val="20"/>
              </w:rPr>
              <w:t>Command</w:t>
            </w:r>
          </w:p>
        </w:tc>
        <w:tc>
          <w:tcPr>
            <w:tcW w:w="1300" w:type="dxa"/>
            <w:shd w:val="clear" w:color="auto" w:fill="auto"/>
            <w:noWrap/>
            <w:vAlign w:val="bottom"/>
            <w:hideMark/>
          </w:tcPr>
          <w:p w14:paraId="7ECB1C5E" w14:textId="77777777" w:rsidR="001C4073" w:rsidRPr="00150A23" w:rsidRDefault="001C4073" w:rsidP="001C4073">
            <w:pPr>
              <w:keepNext/>
              <w:keepLines/>
              <w:spacing w:after="0" w:line="240" w:lineRule="auto"/>
              <w:jc w:val="center"/>
              <w:rPr>
                <w:sz w:val="20"/>
                <w:szCs w:val="20"/>
              </w:rPr>
            </w:pPr>
            <w:r w:rsidRPr="00150A23">
              <w:rPr>
                <w:sz w:val="20"/>
                <w:szCs w:val="20"/>
              </w:rPr>
              <w:t>1</w:t>
            </w:r>
          </w:p>
        </w:tc>
      </w:tr>
      <w:tr w:rsidR="001C4073" w:rsidRPr="007B33BD" w14:paraId="09650D58" w14:textId="77777777" w:rsidTr="001C4073">
        <w:trPr>
          <w:trHeight w:val="20"/>
          <w:jc w:val="center"/>
        </w:trPr>
        <w:tc>
          <w:tcPr>
            <w:tcW w:w="3440" w:type="dxa"/>
            <w:shd w:val="clear" w:color="auto" w:fill="D9D9D9" w:themeFill="background1" w:themeFillShade="D9"/>
            <w:noWrap/>
            <w:vAlign w:val="bottom"/>
            <w:hideMark/>
          </w:tcPr>
          <w:p w14:paraId="5B7A698C" w14:textId="77777777" w:rsidR="001C4073" w:rsidRPr="00150A23" w:rsidRDefault="001C4073" w:rsidP="001C4073">
            <w:pPr>
              <w:keepNext/>
              <w:keepLines/>
              <w:spacing w:after="0" w:line="240" w:lineRule="auto"/>
              <w:jc w:val="left"/>
              <w:rPr>
                <w:sz w:val="20"/>
                <w:szCs w:val="20"/>
              </w:rPr>
            </w:pPr>
            <w:r w:rsidRPr="00150A23">
              <w:rPr>
                <w:sz w:val="20"/>
                <w:szCs w:val="20"/>
              </w:rPr>
              <w:t>Pump Operator</w:t>
            </w:r>
          </w:p>
        </w:tc>
        <w:tc>
          <w:tcPr>
            <w:tcW w:w="1300" w:type="dxa"/>
            <w:shd w:val="clear" w:color="auto" w:fill="D9D9D9" w:themeFill="background1" w:themeFillShade="D9"/>
            <w:noWrap/>
            <w:vAlign w:val="bottom"/>
            <w:hideMark/>
          </w:tcPr>
          <w:p w14:paraId="02301367" w14:textId="77777777" w:rsidR="001C4073" w:rsidRPr="00150A23" w:rsidRDefault="001C4073" w:rsidP="001C4073">
            <w:pPr>
              <w:keepNext/>
              <w:keepLines/>
              <w:spacing w:after="0" w:line="240" w:lineRule="auto"/>
              <w:jc w:val="center"/>
              <w:rPr>
                <w:sz w:val="20"/>
                <w:szCs w:val="20"/>
              </w:rPr>
            </w:pPr>
            <w:r w:rsidRPr="00150A23">
              <w:rPr>
                <w:sz w:val="20"/>
                <w:szCs w:val="20"/>
              </w:rPr>
              <w:t>1</w:t>
            </w:r>
          </w:p>
        </w:tc>
      </w:tr>
      <w:tr w:rsidR="001C4073" w:rsidRPr="007B33BD" w14:paraId="73C8DAB6" w14:textId="77777777" w:rsidTr="001C4073">
        <w:trPr>
          <w:trHeight w:val="20"/>
          <w:jc w:val="center"/>
        </w:trPr>
        <w:tc>
          <w:tcPr>
            <w:tcW w:w="3440" w:type="dxa"/>
            <w:shd w:val="clear" w:color="auto" w:fill="auto"/>
            <w:noWrap/>
            <w:vAlign w:val="bottom"/>
            <w:hideMark/>
          </w:tcPr>
          <w:p w14:paraId="04BDA1EC" w14:textId="77777777" w:rsidR="001C4073" w:rsidRPr="00150A23" w:rsidRDefault="001C4073" w:rsidP="001C4073">
            <w:pPr>
              <w:keepNext/>
              <w:keepLines/>
              <w:spacing w:after="0" w:line="240" w:lineRule="auto"/>
              <w:jc w:val="left"/>
              <w:rPr>
                <w:sz w:val="20"/>
                <w:szCs w:val="20"/>
              </w:rPr>
            </w:pPr>
            <w:r w:rsidRPr="00150A23">
              <w:rPr>
                <w:sz w:val="20"/>
                <w:szCs w:val="20"/>
              </w:rPr>
              <w:t>Primary Attack Line</w:t>
            </w:r>
          </w:p>
        </w:tc>
        <w:tc>
          <w:tcPr>
            <w:tcW w:w="1300" w:type="dxa"/>
            <w:shd w:val="clear" w:color="auto" w:fill="auto"/>
            <w:noWrap/>
            <w:vAlign w:val="bottom"/>
            <w:hideMark/>
          </w:tcPr>
          <w:p w14:paraId="79F980A3" w14:textId="77777777" w:rsidR="001C4073" w:rsidRPr="00150A23" w:rsidRDefault="001C4073" w:rsidP="001C4073">
            <w:pPr>
              <w:keepNext/>
              <w:keepLines/>
              <w:spacing w:after="0" w:line="240" w:lineRule="auto"/>
              <w:jc w:val="center"/>
              <w:rPr>
                <w:sz w:val="20"/>
                <w:szCs w:val="20"/>
              </w:rPr>
            </w:pPr>
            <w:r w:rsidRPr="00150A23">
              <w:rPr>
                <w:sz w:val="20"/>
                <w:szCs w:val="20"/>
              </w:rPr>
              <w:t>2</w:t>
            </w:r>
          </w:p>
        </w:tc>
      </w:tr>
      <w:tr w:rsidR="001C4073" w:rsidRPr="007B33BD" w14:paraId="0C486F43" w14:textId="77777777" w:rsidTr="001C4073">
        <w:trPr>
          <w:trHeight w:val="20"/>
          <w:jc w:val="center"/>
        </w:trPr>
        <w:tc>
          <w:tcPr>
            <w:tcW w:w="3440" w:type="dxa"/>
            <w:shd w:val="clear" w:color="auto" w:fill="D9D9D9" w:themeFill="background1" w:themeFillShade="D9"/>
            <w:noWrap/>
            <w:vAlign w:val="bottom"/>
            <w:hideMark/>
          </w:tcPr>
          <w:p w14:paraId="7B7B67D5" w14:textId="77777777" w:rsidR="001C4073" w:rsidRPr="00150A23" w:rsidRDefault="001C4073" w:rsidP="001C4073">
            <w:pPr>
              <w:keepNext/>
              <w:keepLines/>
              <w:spacing w:after="0" w:line="240" w:lineRule="auto"/>
              <w:jc w:val="left"/>
              <w:rPr>
                <w:sz w:val="20"/>
                <w:szCs w:val="20"/>
              </w:rPr>
            </w:pPr>
            <w:r w:rsidRPr="00150A23">
              <w:rPr>
                <w:sz w:val="20"/>
                <w:szCs w:val="20"/>
              </w:rPr>
              <w:t>Back-Up Line</w:t>
            </w:r>
          </w:p>
        </w:tc>
        <w:tc>
          <w:tcPr>
            <w:tcW w:w="1300" w:type="dxa"/>
            <w:shd w:val="clear" w:color="auto" w:fill="D9D9D9" w:themeFill="background1" w:themeFillShade="D9"/>
            <w:noWrap/>
            <w:vAlign w:val="bottom"/>
            <w:hideMark/>
          </w:tcPr>
          <w:p w14:paraId="484B4FFD" w14:textId="77777777" w:rsidR="001C4073" w:rsidRPr="00150A23" w:rsidRDefault="001C4073" w:rsidP="001C4073">
            <w:pPr>
              <w:keepNext/>
              <w:keepLines/>
              <w:spacing w:after="0" w:line="240" w:lineRule="auto"/>
              <w:jc w:val="center"/>
              <w:rPr>
                <w:sz w:val="20"/>
                <w:szCs w:val="20"/>
              </w:rPr>
            </w:pPr>
            <w:r w:rsidRPr="00150A23">
              <w:rPr>
                <w:sz w:val="20"/>
                <w:szCs w:val="20"/>
              </w:rPr>
              <w:t>2</w:t>
            </w:r>
          </w:p>
        </w:tc>
      </w:tr>
      <w:tr w:rsidR="001C4073" w:rsidRPr="007B33BD" w14:paraId="46CE3913" w14:textId="77777777" w:rsidTr="001C4073">
        <w:trPr>
          <w:trHeight w:val="20"/>
          <w:jc w:val="center"/>
        </w:trPr>
        <w:tc>
          <w:tcPr>
            <w:tcW w:w="3440" w:type="dxa"/>
            <w:shd w:val="clear" w:color="auto" w:fill="auto"/>
            <w:noWrap/>
            <w:vAlign w:val="bottom"/>
            <w:hideMark/>
          </w:tcPr>
          <w:p w14:paraId="51E1025B" w14:textId="77777777" w:rsidR="001C4073" w:rsidRPr="00150A23" w:rsidRDefault="001C4073" w:rsidP="001C4073">
            <w:pPr>
              <w:keepNext/>
              <w:keepLines/>
              <w:spacing w:after="0" w:line="240" w:lineRule="auto"/>
              <w:jc w:val="left"/>
              <w:rPr>
                <w:sz w:val="20"/>
                <w:szCs w:val="20"/>
              </w:rPr>
            </w:pPr>
            <w:r w:rsidRPr="00150A23">
              <w:rPr>
                <w:sz w:val="20"/>
                <w:szCs w:val="20"/>
              </w:rPr>
              <w:t>Support Personnel</w:t>
            </w:r>
          </w:p>
        </w:tc>
        <w:tc>
          <w:tcPr>
            <w:tcW w:w="1300" w:type="dxa"/>
            <w:shd w:val="clear" w:color="auto" w:fill="auto"/>
            <w:noWrap/>
            <w:vAlign w:val="bottom"/>
            <w:hideMark/>
          </w:tcPr>
          <w:p w14:paraId="40242C8F" w14:textId="77777777" w:rsidR="001C4073" w:rsidRPr="00150A23" w:rsidRDefault="001C4073" w:rsidP="001C4073">
            <w:pPr>
              <w:keepNext/>
              <w:keepLines/>
              <w:spacing w:after="0" w:line="240" w:lineRule="auto"/>
              <w:jc w:val="center"/>
              <w:rPr>
                <w:sz w:val="20"/>
                <w:szCs w:val="20"/>
              </w:rPr>
            </w:pPr>
            <w:r w:rsidRPr="00150A23">
              <w:rPr>
                <w:sz w:val="20"/>
                <w:szCs w:val="20"/>
              </w:rPr>
              <w:t>7</w:t>
            </w:r>
          </w:p>
        </w:tc>
      </w:tr>
      <w:tr w:rsidR="001C4073" w:rsidRPr="007B33BD" w14:paraId="5D0791B3" w14:textId="77777777" w:rsidTr="001C4073">
        <w:trPr>
          <w:trHeight w:val="20"/>
          <w:jc w:val="center"/>
        </w:trPr>
        <w:tc>
          <w:tcPr>
            <w:tcW w:w="3440" w:type="dxa"/>
            <w:shd w:val="clear" w:color="auto" w:fill="A6A6A6" w:themeFill="background1" w:themeFillShade="A6"/>
            <w:noWrap/>
            <w:vAlign w:val="bottom"/>
            <w:hideMark/>
          </w:tcPr>
          <w:p w14:paraId="7070608C" w14:textId="77777777" w:rsidR="001C4073" w:rsidRPr="00150A23" w:rsidRDefault="001C4073" w:rsidP="001C4073">
            <w:pPr>
              <w:spacing w:after="0" w:line="240" w:lineRule="auto"/>
              <w:jc w:val="left"/>
              <w:rPr>
                <w:b/>
                <w:bCs/>
                <w:color w:val="FFFFFF" w:themeColor="background1"/>
                <w:sz w:val="20"/>
                <w:szCs w:val="20"/>
              </w:rPr>
            </w:pPr>
            <w:r w:rsidRPr="00150A23">
              <w:rPr>
                <w:b/>
                <w:bCs/>
                <w:color w:val="FFFFFF" w:themeColor="background1"/>
                <w:sz w:val="20"/>
                <w:szCs w:val="20"/>
              </w:rPr>
              <w:t>Total</w:t>
            </w:r>
          </w:p>
        </w:tc>
        <w:tc>
          <w:tcPr>
            <w:tcW w:w="1300" w:type="dxa"/>
            <w:shd w:val="clear" w:color="auto" w:fill="A6A6A6" w:themeFill="background1" w:themeFillShade="A6"/>
            <w:noWrap/>
            <w:vAlign w:val="bottom"/>
            <w:hideMark/>
          </w:tcPr>
          <w:p w14:paraId="2234C21D" w14:textId="77777777" w:rsidR="001C4073" w:rsidRPr="00150A23" w:rsidRDefault="001C4073" w:rsidP="001C4073">
            <w:pPr>
              <w:spacing w:after="0" w:line="240" w:lineRule="auto"/>
              <w:jc w:val="center"/>
              <w:rPr>
                <w:b/>
                <w:bCs/>
                <w:color w:val="FFFFFF" w:themeColor="background1"/>
                <w:sz w:val="20"/>
                <w:szCs w:val="20"/>
              </w:rPr>
            </w:pPr>
            <w:r w:rsidRPr="00150A23">
              <w:rPr>
                <w:b/>
                <w:bCs/>
                <w:color w:val="FFFFFF" w:themeColor="background1"/>
                <w:sz w:val="20"/>
                <w:szCs w:val="20"/>
              </w:rPr>
              <w:t>13</w:t>
            </w:r>
          </w:p>
        </w:tc>
      </w:tr>
    </w:tbl>
    <w:p w14:paraId="066D5E97" w14:textId="77777777" w:rsidR="001C4073" w:rsidRPr="00150A23" w:rsidRDefault="001C4073" w:rsidP="001C4073">
      <w:pPr>
        <w:rPr>
          <w:sz w:val="20"/>
          <w:szCs w:val="20"/>
        </w:rPr>
      </w:pPr>
    </w:p>
    <w:p w14:paraId="2CD2832D" w14:textId="0A42ED39" w:rsidR="001C4073" w:rsidRPr="002F2160" w:rsidRDefault="001C4073" w:rsidP="001236B6">
      <w:pPr>
        <w:pStyle w:val="Caption"/>
      </w:pPr>
      <w:bookmarkStart w:id="297" w:name="_Toc392664795"/>
      <w:bookmarkStart w:id="298" w:name="_Toc427135784"/>
      <w:bookmarkStart w:id="299" w:name="_Toc464323734"/>
      <w:r w:rsidRPr="002F2160">
        <w:t xml:space="preserve">Figure </w:t>
      </w:r>
      <w:r w:rsidR="00432AD4">
        <w:fldChar w:fldCharType="begin"/>
      </w:r>
      <w:r w:rsidR="00432AD4">
        <w:instrText xml:space="preserve"> SEQ Figure \* ARABIC </w:instrText>
      </w:r>
      <w:r w:rsidR="00432AD4">
        <w:fldChar w:fldCharType="separate"/>
      </w:r>
      <w:r w:rsidR="008209A2">
        <w:rPr>
          <w:noProof/>
        </w:rPr>
        <w:t>92</w:t>
      </w:r>
      <w:r w:rsidR="00432AD4">
        <w:rPr>
          <w:noProof/>
        </w:rPr>
        <w:fldChar w:fldCharType="end"/>
      </w:r>
      <w:r w:rsidRPr="002F2160">
        <w:t>: Motor Vehicle Collision with Entrapment Critical Tasking</w:t>
      </w:r>
      <w:bookmarkEnd w:id="297"/>
      <w:bookmarkEnd w:id="298"/>
      <w:bookmarkEnd w:id="299"/>
    </w:p>
    <w:tbl>
      <w:tblPr>
        <w:tblW w:w="4740" w:type="dxa"/>
        <w:jc w:val="center"/>
        <w:tblLook w:val="04A0" w:firstRow="1" w:lastRow="0" w:firstColumn="1" w:lastColumn="0" w:noHBand="0" w:noVBand="1"/>
      </w:tblPr>
      <w:tblGrid>
        <w:gridCol w:w="3440"/>
        <w:gridCol w:w="1300"/>
      </w:tblGrid>
      <w:tr w:rsidR="001C4073" w:rsidRPr="007B33BD" w14:paraId="7B17FF2F" w14:textId="77777777" w:rsidTr="001C4073">
        <w:trPr>
          <w:trHeight w:val="20"/>
          <w:jc w:val="center"/>
        </w:trPr>
        <w:tc>
          <w:tcPr>
            <w:tcW w:w="3440" w:type="dxa"/>
            <w:shd w:val="clear" w:color="auto" w:fill="365F91"/>
            <w:noWrap/>
            <w:vAlign w:val="bottom"/>
            <w:hideMark/>
          </w:tcPr>
          <w:p w14:paraId="22FF114B" w14:textId="77777777" w:rsidR="001C4073" w:rsidRPr="00150A23" w:rsidRDefault="001C4073" w:rsidP="001C4073">
            <w:pPr>
              <w:spacing w:after="0" w:line="240" w:lineRule="auto"/>
              <w:jc w:val="center"/>
              <w:rPr>
                <w:b/>
                <w:bCs/>
                <w:color w:val="FFFFFF"/>
                <w:sz w:val="20"/>
                <w:szCs w:val="20"/>
              </w:rPr>
            </w:pPr>
            <w:r w:rsidRPr="00150A23">
              <w:rPr>
                <w:b/>
                <w:bCs/>
                <w:color w:val="FFFFFF"/>
                <w:sz w:val="20"/>
                <w:szCs w:val="20"/>
              </w:rPr>
              <w:t>Task</w:t>
            </w:r>
          </w:p>
        </w:tc>
        <w:tc>
          <w:tcPr>
            <w:tcW w:w="1300" w:type="dxa"/>
            <w:shd w:val="clear" w:color="auto" w:fill="365F91"/>
            <w:noWrap/>
            <w:vAlign w:val="bottom"/>
            <w:hideMark/>
          </w:tcPr>
          <w:p w14:paraId="2E4729B6" w14:textId="77777777" w:rsidR="001C4073" w:rsidRPr="00150A23" w:rsidRDefault="001C4073" w:rsidP="001C4073">
            <w:pPr>
              <w:spacing w:after="0" w:line="240" w:lineRule="auto"/>
              <w:jc w:val="center"/>
              <w:rPr>
                <w:b/>
                <w:bCs/>
                <w:color w:val="FFFFFF"/>
                <w:sz w:val="20"/>
                <w:szCs w:val="20"/>
              </w:rPr>
            </w:pPr>
            <w:r w:rsidRPr="00150A23">
              <w:rPr>
                <w:b/>
                <w:bCs/>
                <w:color w:val="FFFFFF"/>
                <w:sz w:val="20"/>
                <w:szCs w:val="20"/>
              </w:rPr>
              <w:t>Personnel</w:t>
            </w:r>
          </w:p>
        </w:tc>
      </w:tr>
      <w:tr w:rsidR="001C4073" w:rsidRPr="007B33BD" w14:paraId="15827CA5" w14:textId="77777777" w:rsidTr="001C4073">
        <w:trPr>
          <w:trHeight w:val="20"/>
          <w:jc w:val="center"/>
        </w:trPr>
        <w:tc>
          <w:tcPr>
            <w:tcW w:w="3440" w:type="dxa"/>
            <w:shd w:val="clear" w:color="auto" w:fill="auto"/>
            <w:noWrap/>
            <w:vAlign w:val="bottom"/>
            <w:hideMark/>
          </w:tcPr>
          <w:p w14:paraId="62A5A6A2" w14:textId="77777777" w:rsidR="001C4073" w:rsidRPr="00150A23" w:rsidRDefault="001C4073" w:rsidP="001C4073">
            <w:pPr>
              <w:spacing w:after="0" w:line="240" w:lineRule="auto"/>
              <w:jc w:val="left"/>
              <w:rPr>
                <w:sz w:val="20"/>
                <w:szCs w:val="20"/>
              </w:rPr>
            </w:pPr>
            <w:r w:rsidRPr="00150A23">
              <w:rPr>
                <w:sz w:val="20"/>
                <w:szCs w:val="20"/>
              </w:rPr>
              <w:t>Command</w:t>
            </w:r>
          </w:p>
        </w:tc>
        <w:tc>
          <w:tcPr>
            <w:tcW w:w="1300" w:type="dxa"/>
            <w:shd w:val="clear" w:color="auto" w:fill="auto"/>
            <w:noWrap/>
            <w:vAlign w:val="bottom"/>
            <w:hideMark/>
          </w:tcPr>
          <w:p w14:paraId="07F678BC" w14:textId="77777777" w:rsidR="001C4073" w:rsidRPr="00150A23" w:rsidRDefault="001C4073" w:rsidP="001C4073">
            <w:pPr>
              <w:spacing w:after="0" w:line="240" w:lineRule="auto"/>
              <w:jc w:val="center"/>
              <w:rPr>
                <w:sz w:val="20"/>
                <w:szCs w:val="20"/>
              </w:rPr>
            </w:pPr>
            <w:r w:rsidRPr="00150A23">
              <w:rPr>
                <w:sz w:val="20"/>
                <w:szCs w:val="20"/>
              </w:rPr>
              <w:t>1</w:t>
            </w:r>
          </w:p>
        </w:tc>
      </w:tr>
      <w:tr w:rsidR="001C4073" w:rsidRPr="007B33BD" w14:paraId="05DE9FA7" w14:textId="77777777" w:rsidTr="001C4073">
        <w:trPr>
          <w:trHeight w:val="20"/>
          <w:jc w:val="center"/>
        </w:trPr>
        <w:tc>
          <w:tcPr>
            <w:tcW w:w="3440" w:type="dxa"/>
            <w:shd w:val="clear" w:color="auto" w:fill="D9D9D9" w:themeFill="background1" w:themeFillShade="D9"/>
            <w:noWrap/>
            <w:vAlign w:val="bottom"/>
            <w:hideMark/>
          </w:tcPr>
          <w:p w14:paraId="49F49032" w14:textId="77777777" w:rsidR="001C4073" w:rsidRPr="00150A23" w:rsidRDefault="001C4073" w:rsidP="001C4073">
            <w:pPr>
              <w:spacing w:after="0" w:line="240" w:lineRule="auto"/>
              <w:jc w:val="left"/>
              <w:rPr>
                <w:sz w:val="20"/>
                <w:szCs w:val="20"/>
              </w:rPr>
            </w:pPr>
            <w:r w:rsidRPr="00150A23">
              <w:rPr>
                <w:sz w:val="20"/>
                <w:szCs w:val="20"/>
              </w:rPr>
              <w:t>Pump Operator</w:t>
            </w:r>
          </w:p>
        </w:tc>
        <w:tc>
          <w:tcPr>
            <w:tcW w:w="1300" w:type="dxa"/>
            <w:shd w:val="clear" w:color="auto" w:fill="D9D9D9" w:themeFill="background1" w:themeFillShade="D9"/>
            <w:noWrap/>
            <w:vAlign w:val="bottom"/>
            <w:hideMark/>
          </w:tcPr>
          <w:p w14:paraId="464CA83A" w14:textId="77777777" w:rsidR="001C4073" w:rsidRPr="00150A23" w:rsidRDefault="001C4073" w:rsidP="001C4073">
            <w:pPr>
              <w:spacing w:after="0" w:line="240" w:lineRule="auto"/>
              <w:jc w:val="center"/>
              <w:rPr>
                <w:sz w:val="20"/>
                <w:szCs w:val="20"/>
              </w:rPr>
            </w:pPr>
            <w:r w:rsidRPr="00150A23">
              <w:rPr>
                <w:sz w:val="20"/>
                <w:szCs w:val="20"/>
              </w:rPr>
              <w:t>1</w:t>
            </w:r>
          </w:p>
        </w:tc>
      </w:tr>
      <w:tr w:rsidR="001C4073" w:rsidRPr="007B33BD" w14:paraId="090464A0" w14:textId="77777777" w:rsidTr="001C4073">
        <w:trPr>
          <w:trHeight w:val="20"/>
          <w:jc w:val="center"/>
        </w:trPr>
        <w:tc>
          <w:tcPr>
            <w:tcW w:w="3440" w:type="dxa"/>
            <w:shd w:val="clear" w:color="auto" w:fill="auto"/>
            <w:noWrap/>
            <w:vAlign w:val="bottom"/>
            <w:hideMark/>
          </w:tcPr>
          <w:p w14:paraId="489F7055" w14:textId="77777777" w:rsidR="001C4073" w:rsidRPr="00150A23" w:rsidRDefault="001C4073" w:rsidP="001C4073">
            <w:pPr>
              <w:spacing w:after="0" w:line="240" w:lineRule="auto"/>
              <w:jc w:val="left"/>
              <w:rPr>
                <w:sz w:val="20"/>
                <w:szCs w:val="20"/>
              </w:rPr>
            </w:pPr>
            <w:r w:rsidRPr="00150A23">
              <w:rPr>
                <w:sz w:val="20"/>
                <w:szCs w:val="20"/>
              </w:rPr>
              <w:t>Primary Attack Line</w:t>
            </w:r>
          </w:p>
        </w:tc>
        <w:tc>
          <w:tcPr>
            <w:tcW w:w="1300" w:type="dxa"/>
            <w:shd w:val="clear" w:color="auto" w:fill="auto"/>
            <w:noWrap/>
            <w:vAlign w:val="bottom"/>
            <w:hideMark/>
          </w:tcPr>
          <w:p w14:paraId="27A53C3B" w14:textId="77777777" w:rsidR="001C4073" w:rsidRPr="00150A23" w:rsidRDefault="001C4073" w:rsidP="001C4073">
            <w:pPr>
              <w:spacing w:after="0" w:line="240" w:lineRule="auto"/>
              <w:jc w:val="center"/>
              <w:rPr>
                <w:sz w:val="20"/>
                <w:szCs w:val="20"/>
              </w:rPr>
            </w:pPr>
            <w:r w:rsidRPr="00150A23">
              <w:rPr>
                <w:sz w:val="20"/>
                <w:szCs w:val="20"/>
              </w:rPr>
              <w:t>2</w:t>
            </w:r>
          </w:p>
        </w:tc>
      </w:tr>
      <w:tr w:rsidR="001C4073" w:rsidRPr="007B33BD" w14:paraId="50C14B42" w14:textId="77777777" w:rsidTr="001C4073">
        <w:trPr>
          <w:trHeight w:val="20"/>
          <w:jc w:val="center"/>
        </w:trPr>
        <w:tc>
          <w:tcPr>
            <w:tcW w:w="3440" w:type="dxa"/>
            <w:shd w:val="clear" w:color="auto" w:fill="D9D9D9" w:themeFill="background1" w:themeFillShade="D9"/>
            <w:noWrap/>
            <w:vAlign w:val="bottom"/>
            <w:hideMark/>
          </w:tcPr>
          <w:p w14:paraId="089502A7" w14:textId="77777777" w:rsidR="001C4073" w:rsidRPr="00150A23" w:rsidRDefault="001C4073" w:rsidP="001C4073">
            <w:pPr>
              <w:spacing w:after="0" w:line="240" w:lineRule="auto"/>
              <w:jc w:val="left"/>
              <w:rPr>
                <w:sz w:val="20"/>
                <w:szCs w:val="20"/>
              </w:rPr>
            </w:pPr>
            <w:r w:rsidRPr="00150A23">
              <w:rPr>
                <w:sz w:val="20"/>
                <w:szCs w:val="20"/>
              </w:rPr>
              <w:t>Extrication</w:t>
            </w:r>
          </w:p>
        </w:tc>
        <w:tc>
          <w:tcPr>
            <w:tcW w:w="1300" w:type="dxa"/>
            <w:shd w:val="clear" w:color="auto" w:fill="D9D9D9" w:themeFill="background1" w:themeFillShade="D9"/>
            <w:noWrap/>
            <w:vAlign w:val="bottom"/>
            <w:hideMark/>
          </w:tcPr>
          <w:p w14:paraId="579380CE" w14:textId="77777777" w:rsidR="001C4073" w:rsidRPr="00150A23" w:rsidRDefault="001C4073" w:rsidP="001C4073">
            <w:pPr>
              <w:spacing w:after="0" w:line="240" w:lineRule="auto"/>
              <w:jc w:val="center"/>
              <w:rPr>
                <w:sz w:val="20"/>
                <w:szCs w:val="20"/>
              </w:rPr>
            </w:pPr>
            <w:r w:rsidRPr="00150A23">
              <w:rPr>
                <w:sz w:val="20"/>
                <w:szCs w:val="20"/>
              </w:rPr>
              <w:t>3</w:t>
            </w:r>
          </w:p>
        </w:tc>
      </w:tr>
      <w:tr w:rsidR="001C4073" w:rsidRPr="007B33BD" w14:paraId="62BF3143" w14:textId="77777777" w:rsidTr="001C4073">
        <w:trPr>
          <w:trHeight w:val="20"/>
          <w:jc w:val="center"/>
        </w:trPr>
        <w:tc>
          <w:tcPr>
            <w:tcW w:w="3440" w:type="dxa"/>
            <w:shd w:val="clear" w:color="auto" w:fill="auto"/>
            <w:noWrap/>
            <w:vAlign w:val="bottom"/>
            <w:hideMark/>
          </w:tcPr>
          <w:p w14:paraId="2270F673" w14:textId="77777777" w:rsidR="001C4073" w:rsidRPr="00150A23" w:rsidRDefault="001C4073" w:rsidP="001C4073">
            <w:pPr>
              <w:spacing w:after="0" w:line="240" w:lineRule="auto"/>
              <w:jc w:val="left"/>
              <w:rPr>
                <w:sz w:val="20"/>
                <w:szCs w:val="20"/>
              </w:rPr>
            </w:pPr>
            <w:r w:rsidRPr="00150A23">
              <w:rPr>
                <w:sz w:val="20"/>
                <w:szCs w:val="20"/>
              </w:rPr>
              <w:t>Patient Care</w:t>
            </w:r>
          </w:p>
        </w:tc>
        <w:tc>
          <w:tcPr>
            <w:tcW w:w="1300" w:type="dxa"/>
            <w:shd w:val="clear" w:color="auto" w:fill="auto"/>
            <w:noWrap/>
            <w:vAlign w:val="bottom"/>
            <w:hideMark/>
          </w:tcPr>
          <w:p w14:paraId="62AB5A97" w14:textId="77777777" w:rsidR="001C4073" w:rsidRPr="00150A23" w:rsidRDefault="001C4073" w:rsidP="001C4073">
            <w:pPr>
              <w:spacing w:after="0" w:line="240" w:lineRule="auto"/>
              <w:jc w:val="center"/>
              <w:rPr>
                <w:sz w:val="20"/>
                <w:szCs w:val="20"/>
              </w:rPr>
            </w:pPr>
            <w:r w:rsidRPr="00150A23">
              <w:rPr>
                <w:sz w:val="20"/>
                <w:szCs w:val="20"/>
              </w:rPr>
              <w:t>2</w:t>
            </w:r>
          </w:p>
        </w:tc>
      </w:tr>
      <w:tr w:rsidR="001C4073" w:rsidRPr="007B33BD" w14:paraId="16B94773" w14:textId="77777777" w:rsidTr="001C4073">
        <w:trPr>
          <w:trHeight w:val="20"/>
          <w:jc w:val="center"/>
        </w:trPr>
        <w:tc>
          <w:tcPr>
            <w:tcW w:w="3440" w:type="dxa"/>
            <w:shd w:val="clear" w:color="auto" w:fill="A6A6A6" w:themeFill="background1" w:themeFillShade="A6"/>
            <w:noWrap/>
            <w:vAlign w:val="bottom"/>
            <w:hideMark/>
          </w:tcPr>
          <w:p w14:paraId="5BD1D272" w14:textId="77777777" w:rsidR="001C4073" w:rsidRPr="00150A23" w:rsidRDefault="001C4073" w:rsidP="001C4073">
            <w:pPr>
              <w:spacing w:after="0" w:line="240" w:lineRule="auto"/>
              <w:jc w:val="left"/>
              <w:rPr>
                <w:b/>
                <w:bCs/>
                <w:color w:val="FFFFFF" w:themeColor="background1"/>
                <w:sz w:val="20"/>
                <w:szCs w:val="20"/>
              </w:rPr>
            </w:pPr>
            <w:r w:rsidRPr="00150A23">
              <w:rPr>
                <w:b/>
                <w:bCs/>
                <w:color w:val="FFFFFF" w:themeColor="background1"/>
                <w:sz w:val="20"/>
                <w:szCs w:val="20"/>
              </w:rPr>
              <w:t>Total</w:t>
            </w:r>
          </w:p>
        </w:tc>
        <w:tc>
          <w:tcPr>
            <w:tcW w:w="1300" w:type="dxa"/>
            <w:shd w:val="clear" w:color="auto" w:fill="A6A6A6" w:themeFill="background1" w:themeFillShade="A6"/>
            <w:noWrap/>
            <w:vAlign w:val="bottom"/>
            <w:hideMark/>
          </w:tcPr>
          <w:p w14:paraId="1B8349F7" w14:textId="77777777" w:rsidR="001C4073" w:rsidRPr="00150A23" w:rsidRDefault="001C4073" w:rsidP="001C4073">
            <w:pPr>
              <w:spacing w:after="0" w:line="240" w:lineRule="auto"/>
              <w:jc w:val="center"/>
              <w:rPr>
                <w:b/>
                <w:bCs/>
                <w:color w:val="FFFFFF" w:themeColor="background1"/>
                <w:sz w:val="20"/>
                <w:szCs w:val="20"/>
              </w:rPr>
            </w:pPr>
            <w:r w:rsidRPr="00150A23">
              <w:rPr>
                <w:b/>
                <w:bCs/>
                <w:color w:val="FFFFFF" w:themeColor="background1"/>
                <w:sz w:val="20"/>
                <w:szCs w:val="20"/>
              </w:rPr>
              <w:t>9</w:t>
            </w:r>
          </w:p>
        </w:tc>
      </w:tr>
    </w:tbl>
    <w:p w14:paraId="5CF6BB87" w14:textId="77777777" w:rsidR="001C4073" w:rsidRPr="00150A23" w:rsidRDefault="001C4073" w:rsidP="001C4073">
      <w:pPr>
        <w:spacing w:after="200"/>
        <w:jc w:val="left"/>
        <w:rPr>
          <w:b/>
          <w:bCs/>
          <w:color w:val="000000" w:themeColor="text1"/>
          <w:sz w:val="20"/>
          <w:szCs w:val="20"/>
        </w:rPr>
      </w:pPr>
      <w:bookmarkStart w:id="300" w:name="TOC257982068"/>
      <w:bookmarkStart w:id="301" w:name="_Toc361295906"/>
    </w:p>
    <w:p w14:paraId="0084FF17" w14:textId="48954F2B" w:rsidR="001C4073" w:rsidRPr="001236B6" w:rsidRDefault="001C4073" w:rsidP="001236B6">
      <w:pPr>
        <w:pStyle w:val="Caption"/>
      </w:pPr>
      <w:bookmarkStart w:id="302" w:name="_Toc392664796"/>
      <w:bookmarkStart w:id="303" w:name="_Toc427135785"/>
      <w:bookmarkStart w:id="304" w:name="_Toc464323735"/>
      <w:bookmarkEnd w:id="300"/>
      <w:bookmarkEnd w:id="301"/>
      <w:r w:rsidRPr="001236B6">
        <w:t>F</w:t>
      </w:r>
      <w:r w:rsidRPr="001236B6">
        <w:rPr>
          <w:rStyle w:val="ESCICaptionChar"/>
          <w:rFonts w:cs="Times New Roman"/>
          <w:b/>
          <w:bCs/>
          <w:lang w:eastAsia="en-US"/>
        </w:rPr>
        <w:t xml:space="preserve">igure </w:t>
      </w:r>
      <w:r w:rsidRPr="001236B6">
        <w:rPr>
          <w:rStyle w:val="ESCICaptionChar"/>
          <w:rFonts w:cs="Times New Roman"/>
          <w:b/>
          <w:bCs/>
          <w:lang w:eastAsia="en-US"/>
        </w:rPr>
        <w:fldChar w:fldCharType="begin"/>
      </w:r>
      <w:r w:rsidRPr="001236B6">
        <w:rPr>
          <w:rStyle w:val="ESCICaptionChar"/>
          <w:rFonts w:cs="Times New Roman"/>
          <w:b/>
          <w:bCs/>
          <w:lang w:eastAsia="en-US"/>
        </w:rPr>
        <w:instrText xml:space="preserve"> SEQ Figure \* ARABIC </w:instrText>
      </w:r>
      <w:r w:rsidRPr="001236B6">
        <w:rPr>
          <w:rStyle w:val="ESCICaptionChar"/>
          <w:rFonts w:cs="Times New Roman"/>
          <w:b/>
          <w:bCs/>
          <w:lang w:eastAsia="en-US"/>
        </w:rPr>
        <w:fldChar w:fldCharType="separate"/>
      </w:r>
      <w:r w:rsidR="008209A2">
        <w:rPr>
          <w:rStyle w:val="ESCICaptionChar"/>
          <w:rFonts w:cs="Times New Roman"/>
          <w:b/>
          <w:bCs/>
          <w:noProof/>
          <w:lang w:eastAsia="en-US"/>
        </w:rPr>
        <w:t>93</w:t>
      </w:r>
      <w:r w:rsidRPr="001236B6">
        <w:rPr>
          <w:rStyle w:val="ESCICaptionChar"/>
          <w:rFonts w:cs="Times New Roman"/>
          <w:b/>
          <w:bCs/>
          <w:lang w:eastAsia="en-US"/>
        </w:rPr>
        <w:fldChar w:fldCharType="end"/>
      </w:r>
      <w:r w:rsidRPr="001236B6">
        <w:rPr>
          <w:rStyle w:val="ESCICaptionChar"/>
          <w:rFonts w:cs="Times New Roman"/>
          <w:b/>
          <w:bCs/>
          <w:lang w:eastAsia="en-US"/>
        </w:rPr>
        <w:t>: Emergency Medical Incident Critical Tasking</w:t>
      </w:r>
      <w:bookmarkEnd w:id="302"/>
      <w:bookmarkEnd w:id="303"/>
      <w:r w:rsidRPr="001236B6">
        <w:rPr>
          <w:rStyle w:val="ESCICaptionChar"/>
          <w:rFonts w:cs="Times New Roman"/>
          <w:b/>
          <w:bCs/>
          <w:lang w:eastAsia="en-US"/>
        </w:rPr>
        <w:t xml:space="preserve"> (BLS)</w:t>
      </w:r>
      <w:bookmarkEnd w:id="304"/>
    </w:p>
    <w:tbl>
      <w:tblPr>
        <w:tblW w:w="4740" w:type="dxa"/>
        <w:jc w:val="center"/>
        <w:tblLook w:val="04A0" w:firstRow="1" w:lastRow="0" w:firstColumn="1" w:lastColumn="0" w:noHBand="0" w:noVBand="1"/>
      </w:tblPr>
      <w:tblGrid>
        <w:gridCol w:w="3440"/>
        <w:gridCol w:w="1300"/>
      </w:tblGrid>
      <w:tr w:rsidR="001C4073" w:rsidRPr="007B33BD" w14:paraId="3C00DD8A" w14:textId="77777777" w:rsidTr="001C4073">
        <w:trPr>
          <w:trHeight w:val="20"/>
          <w:jc w:val="center"/>
        </w:trPr>
        <w:tc>
          <w:tcPr>
            <w:tcW w:w="3440" w:type="dxa"/>
            <w:shd w:val="clear" w:color="auto" w:fill="365F91"/>
            <w:noWrap/>
            <w:vAlign w:val="bottom"/>
            <w:hideMark/>
          </w:tcPr>
          <w:p w14:paraId="093ACF0E" w14:textId="77777777" w:rsidR="001C4073" w:rsidRPr="00150A23" w:rsidRDefault="001C4073" w:rsidP="001C4073">
            <w:pPr>
              <w:keepNext/>
              <w:spacing w:after="0" w:line="240" w:lineRule="auto"/>
              <w:jc w:val="center"/>
              <w:rPr>
                <w:b/>
                <w:bCs/>
                <w:color w:val="FFFFFF"/>
                <w:sz w:val="20"/>
                <w:szCs w:val="20"/>
              </w:rPr>
            </w:pPr>
            <w:r w:rsidRPr="00150A23">
              <w:rPr>
                <w:b/>
                <w:bCs/>
                <w:color w:val="FFFFFF"/>
                <w:sz w:val="20"/>
                <w:szCs w:val="20"/>
              </w:rPr>
              <w:t>Task</w:t>
            </w:r>
          </w:p>
        </w:tc>
        <w:tc>
          <w:tcPr>
            <w:tcW w:w="1300" w:type="dxa"/>
            <w:shd w:val="clear" w:color="auto" w:fill="365F91"/>
            <w:noWrap/>
            <w:vAlign w:val="bottom"/>
            <w:hideMark/>
          </w:tcPr>
          <w:p w14:paraId="3025FA52" w14:textId="77777777" w:rsidR="001C4073" w:rsidRPr="00150A23" w:rsidRDefault="001C4073" w:rsidP="001C4073">
            <w:pPr>
              <w:keepNext/>
              <w:spacing w:after="0" w:line="240" w:lineRule="auto"/>
              <w:jc w:val="center"/>
              <w:rPr>
                <w:b/>
                <w:bCs/>
                <w:color w:val="FFFFFF"/>
                <w:sz w:val="20"/>
                <w:szCs w:val="20"/>
              </w:rPr>
            </w:pPr>
            <w:r w:rsidRPr="00150A23">
              <w:rPr>
                <w:b/>
                <w:bCs/>
                <w:color w:val="FFFFFF"/>
                <w:sz w:val="20"/>
                <w:szCs w:val="20"/>
              </w:rPr>
              <w:t>Personnel</w:t>
            </w:r>
          </w:p>
        </w:tc>
      </w:tr>
      <w:tr w:rsidR="001C4073" w:rsidRPr="007B33BD" w14:paraId="5D75867D" w14:textId="77777777" w:rsidTr="001C4073">
        <w:trPr>
          <w:trHeight w:val="20"/>
          <w:jc w:val="center"/>
        </w:trPr>
        <w:tc>
          <w:tcPr>
            <w:tcW w:w="3440" w:type="dxa"/>
            <w:shd w:val="clear" w:color="auto" w:fill="auto"/>
            <w:noWrap/>
            <w:vAlign w:val="bottom"/>
            <w:hideMark/>
          </w:tcPr>
          <w:p w14:paraId="083FCCBE" w14:textId="77777777" w:rsidR="001C4073" w:rsidRPr="00150A23" w:rsidRDefault="001C4073" w:rsidP="001C4073">
            <w:pPr>
              <w:keepNext/>
              <w:spacing w:after="0" w:line="240" w:lineRule="auto"/>
              <w:jc w:val="left"/>
              <w:rPr>
                <w:sz w:val="20"/>
                <w:szCs w:val="20"/>
              </w:rPr>
            </w:pPr>
            <w:r w:rsidRPr="00150A23">
              <w:rPr>
                <w:sz w:val="20"/>
                <w:szCs w:val="20"/>
              </w:rPr>
              <w:t>Ambulance Transport</w:t>
            </w:r>
          </w:p>
        </w:tc>
        <w:tc>
          <w:tcPr>
            <w:tcW w:w="1300" w:type="dxa"/>
            <w:shd w:val="clear" w:color="auto" w:fill="auto"/>
            <w:noWrap/>
            <w:vAlign w:val="bottom"/>
            <w:hideMark/>
          </w:tcPr>
          <w:p w14:paraId="129E497A" w14:textId="77777777" w:rsidR="001C4073" w:rsidRPr="00150A23" w:rsidRDefault="001C4073" w:rsidP="001C4073">
            <w:pPr>
              <w:keepNext/>
              <w:spacing w:after="0" w:line="240" w:lineRule="auto"/>
              <w:jc w:val="center"/>
              <w:rPr>
                <w:sz w:val="20"/>
                <w:szCs w:val="20"/>
              </w:rPr>
            </w:pPr>
            <w:r w:rsidRPr="00150A23">
              <w:rPr>
                <w:sz w:val="20"/>
                <w:szCs w:val="20"/>
              </w:rPr>
              <w:t>2</w:t>
            </w:r>
          </w:p>
        </w:tc>
      </w:tr>
      <w:tr w:rsidR="001C4073" w:rsidRPr="007B33BD" w14:paraId="28E3EEFF" w14:textId="77777777" w:rsidTr="001C4073">
        <w:trPr>
          <w:trHeight w:val="20"/>
          <w:jc w:val="center"/>
        </w:trPr>
        <w:tc>
          <w:tcPr>
            <w:tcW w:w="3440" w:type="dxa"/>
            <w:shd w:val="clear" w:color="auto" w:fill="D9D9D9" w:themeFill="background1" w:themeFillShade="D9"/>
            <w:noWrap/>
            <w:vAlign w:val="bottom"/>
            <w:hideMark/>
          </w:tcPr>
          <w:p w14:paraId="00B559F5" w14:textId="77777777" w:rsidR="001C4073" w:rsidRPr="00150A23" w:rsidRDefault="001C4073" w:rsidP="001C4073">
            <w:pPr>
              <w:keepNext/>
              <w:spacing w:after="0" w:line="240" w:lineRule="auto"/>
              <w:jc w:val="left"/>
              <w:rPr>
                <w:sz w:val="20"/>
                <w:szCs w:val="20"/>
              </w:rPr>
            </w:pPr>
            <w:r w:rsidRPr="00150A23">
              <w:rPr>
                <w:sz w:val="20"/>
                <w:szCs w:val="20"/>
              </w:rPr>
              <w:t>First Responder</w:t>
            </w:r>
          </w:p>
        </w:tc>
        <w:tc>
          <w:tcPr>
            <w:tcW w:w="1300" w:type="dxa"/>
            <w:shd w:val="clear" w:color="auto" w:fill="D9D9D9" w:themeFill="background1" w:themeFillShade="D9"/>
            <w:noWrap/>
            <w:vAlign w:val="bottom"/>
            <w:hideMark/>
          </w:tcPr>
          <w:p w14:paraId="4848B8BC" w14:textId="77777777" w:rsidR="001C4073" w:rsidRPr="00150A23" w:rsidRDefault="001C4073" w:rsidP="001C4073">
            <w:pPr>
              <w:keepNext/>
              <w:spacing w:after="0" w:line="240" w:lineRule="auto"/>
              <w:jc w:val="center"/>
              <w:rPr>
                <w:sz w:val="20"/>
                <w:szCs w:val="20"/>
              </w:rPr>
            </w:pPr>
            <w:r>
              <w:rPr>
                <w:sz w:val="20"/>
                <w:szCs w:val="20"/>
              </w:rPr>
              <w:t>2</w:t>
            </w:r>
          </w:p>
        </w:tc>
      </w:tr>
      <w:tr w:rsidR="001C4073" w:rsidRPr="007B33BD" w14:paraId="312CB12E" w14:textId="77777777" w:rsidTr="001C4073">
        <w:trPr>
          <w:trHeight w:val="20"/>
          <w:jc w:val="center"/>
        </w:trPr>
        <w:tc>
          <w:tcPr>
            <w:tcW w:w="3440" w:type="dxa"/>
            <w:shd w:val="clear" w:color="auto" w:fill="A6A6A6" w:themeFill="background1" w:themeFillShade="A6"/>
            <w:noWrap/>
            <w:vAlign w:val="bottom"/>
            <w:hideMark/>
          </w:tcPr>
          <w:p w14:paraId="4B5484C1" w14:textId="77777777" w:rsidR="001C4073" w:rsidRPr="00150A23" w:rsidRDefault="001C4073" w:rsidP="001C4073">
            <w:pPr>
              <w:keepNext/>
              <w:spacing w:after="0" w:line="240" w:lineRule="auto"/>
              <w:jc w:val="left"/>
              <w:rPr>
                <w:b/>
                <w:bCs/>
                <w:color w:val="FFFFFF" w:themeColor="background1"/>
                <w:sz w:val="20"/>
                <w:szCs w:val="20"/>
              </w:rPr>
            </w:pPr>
            <w:r w:rsidRPr="00150A23">
              <w:rPr>
                <w:b/>
                <w:bCs/>
                <w:color w:val="FFFFFF" w:themeColor="background1"/>
                <w:sz w:val="20"/>
                <w:szCs w:val="20"/>
              </w:rPr>
              <w:t>Total</w:t>
            </w:r>
          </w:p>
        </w:tc>
        <w:tc>
          <w:tcPr>
            <w:tcW w:w="1300" w:type="dxa"/>
            <w:shd w:val="clear" w:color="auto" w:fill="A6A6A6" w:themeFill="background1" w:themeFillShade="A6"/>
            <w:noWrap/>
            <w:vAlign w:val="bottom"/>
            <w:hideMark/>
          </w:tcPr>
          <w:p w14:paraId="0475AAF8" w14:textId="77777777" w:rsidR="001C4073" w:rsidRPr="00150A23" w:rsidRDefault="001C4073" w:rsidP="001C4073">
            <w:pPr>
              <w:keepNext/>
              <w:spacing w:after="0" w:line="240" w:lineRule="auto"/>
              <w:jc w:val="center"/>
              <w:rPr>
                <w:b/>
                <w:bCs/>
                <w:color w:val="FFFFFF" w:themeColor="background1"/>
                <w:sz w:val="20"/>
                <w:szCs w:val="20"/>
              </w:rPr>
            </w:pPr>
            <w:r>
              <w:rPr>
                <w:b/>
                <w:bCs/>
                <w:color w:val="FFFFFF" w:themeColor="background1"/>
                <w:sz w:val="20"/>
                <w:szCs w:val="20"/>
              </w:rPr>
              <w:t>4</w:t>
            </w:r>
          </w:p>
        </w:tc>
      </w:tr>
    </w:tbl>
    <w:p w14:paraId="1A95F752" w14:textId="77777777" w:rsidR="001C4073" w:rsidRDefault="001C4073" w:rsidP="001C4073">
      <w:pPr>
        <w:jc w:val="center"/>
      </w:pPr>
    </w:p>
    <w:p w14:paraId="063DD4D1" w14:textId="373E69B7" w:rsidR="001C4073" w:rsidRDefault="001C4073" w:rsidP="001236B6">
      <w:pPr>
        <w:pStyle w:val="Caption"/>
      </w:pPr>
      <w:bookmarkStart w:id="305" w:name="_Toc464323736"/>
      <w:r>
        <w:t xml:space="preserve">Figure </w:t>
      </w:r>
      <w:r w:rsidR="00432AD4">
        <w:fldChar w:fldCharType="begin"/>
      </w:r>
      <w:r w:rsidR="00432AD4">
        <w:instrText xml:space="preserve"> SEQ Figure \* ARABIC </w:instrText>
      </w:r>
      <w:r w:rsidR="00432AD4">
        <w:fldChar w:fldCharType="separate"/>
      </w:r>
      <w:r w:rsidR="008209A2">
        <w:rPr>
          <w:noProof/>
        </w:rPr>
        <w:t>94</w:t>
      </w:r>
      <w:r w:rsidR="00432AD4">
        <w:rPr>
          <w:noProof/>
        </w:rPr>
        <w:fldChar w:fldCharType="end"/>
      </w:r>
      <w:r>
        <w:t>: Emergency Medical Incident Critical Tasking (ALS)</w:t>
      </w:r>
      <w:bookmarkEnd w:id="305"/>
    </w:p>
    <w:tbl>
      <w:tblPr>
        <w:tblW w:w="4738" w:type="dxa"/>
        <w:jc w:val="center"/>
        <w:tblLook w:val="00A0" w:firstRow="1" w:lastRow="0" w:firstColumn="1" w:lastColumn="0" w:noHBand="0" w:noVBand="0"/>
      </w:tblPr>
      <w:tblGrid>
        <w:gridCol w:w="2428"/>
        <w:gridCol w:w="2310"/>
      </w:tblGrid>
      <w:tr w:rsidR="001C4073" w:rsidRPr="005F2B0E" w14:paraId="25F6522F" w14:textId="77777777" w:rsidTr="001C4073">
        <w:trPr>
          <w:tblHeader/>
          <w:jc w:val="center"/>
        </w:trPr>
        <w:tc>
          <w:tcPr>
            <w:tcW w:w="2428" w:type="dxa"/>
            <w:shd w:val="clear" w:color="auto" w:fill="365F91" w:themeFill="accent1" w:themeFillShade="BF"/>
          </w:tcPr>
          <w:p w14:paraId="0D1A091B" w14:textId="77777777" w:rsidR="001C4073" w:rsidRPr="00CE5080" w:rsidRDefault="001C4073" w:rsidP="001C4073">
            <w:pPr>
              <w:spacing w:after="0" w:line="240" w:lineRule="auto"/>
              <w:jc w:val="center"/>
              <w:rPr>
                <w:b/>
                <w:color w:val="FFFFFF" w:themeColor="background1"/>
                <w:sz w:val="20"/>
                <w:szCs w:val="20"/>
              </w:rPr>
            </w:pPr>
            <w:r w:rsidRPr="00CE5080">
              <w:rPr>
                <w:b/>
                <w:color w:val="FFFFFF" w:themeColor="background1"/>
                <w:sz w:val="20"/>
                <w:szCs w:val="20"/>
              </w:rPr>
              <w:t>Task</w:t>
            </w:r>
          </w:p>
        </w:tc>
        <w:tc>
          <w:tcPr>
            <w:tcW w:w="2310" w:type="dxa"/>
            <w:shd w:val="clear" w:color="auto" w:fill="365F91" w:themeFill="accent1" w:themeFillShade="BF"/>
          </w:tcPr>
          <w:p w14:paraId="3ADC069C" w14:textId="77777777" w:rsidR="001C4073" w:rsidRPr="00CE5080" w:rsidRDefault="001C4073" w:rsidP="001C4073">
            <w:pPr>
              <w:spacing w:after="0" w:line="240" w:lineRule="auto"/>
              <w:jc w:val="center"/>
              <w:rPr>
                <w:b/>
                <w:color w:val="FFFFFF" w:themeColor="background1"/>
                <w:sz w:val="20"/>
                <w:szCs w:val="20"/>
              </w:rPr>
            </w:pPr>
            <w:r w:rsidRPr="00CE5080">
              <w:rPr>
                <w:b/>
                <w:color w:val="FFFFFF" w:themeColor="background1"/>
                <w:sz w:val="20"/>
                <w:szCs w:val="20"/>
              </w:rPr>
              <w:t>Number of Personnel</w:t>
            </w:r>
          </w:p>
        </w:tc>
      </w:tr>
      <w:tr w:rsidR="001C4073" w:rsidRPr="00CC1B6C" w14:paraId="06C741D0" w14:textId="77777777" w:rsidTr="001C4073">
        <w:trPr>
          <w:jc w:val="center"/>
        </w:trPr>
        <w:tc>
          <w:tcPr>
            <w:tcW w:w="2428" w:type="dxa"/>
          </w:tcPr>
          <w:p w14:paraId="75BBA1CC" w14:textId="77777777" w:rsidR="001C4073" w:rsidRPr="00CE5080" w:rsidRDefault="001C4073" w:rsidP="001C4073">
            <w:pPr>
              <w:spacing w:after="0" w:line="240" w:lineRule="auto"/>
              <w:rPr>
                <w:sz w:val="20"/>
                <w:szCs w:val="20"/>
              </w:rPr>
            </w:pPr>
            <w:r w:rsidRPr="00CE5080">
              <w:rPr>
                <w:sz w:val="20"/>
                <w:szCs w:val="20"/>
              </w:rPr>
              <w:t>Command</w:t>
            </w:r>
          </w:p>
        </w:tc>
        <w:tc>
          <w:tcPr>
            <w:tcW w:w="2310" w:type="dxa"/>
          </w:tcPr>
          <w:p w14:paraId="3A3B0F50" w14:textId="77777777" w:rsidR="001C4073" w:rsidRPr="00CE5080" w:rsidRDefault="001C4073" w:rsidP="001C4073">
            <w:pPr>
              <w:spacing w:after="0" w:line="240" w:lineRule="auto"/>
              <w:jc w:val="center"/>
              <w:rPr>
                <w:sz w:val="20"/>
                <w:szCs w:val="20"/>
              </w:rPr>
            </w:pPr>
            <w:r w:rsidRPr="00CE5080">
              <w:rPr>
                <w:sz w:val="20"/>
                <w:szCs w:val="20"/>
              </w:rPr>
              <w:t>1</w:t>
            </w:r>
          </w:p>
        </w:tc>
      </w:tr>
      <w:tr w:rsidR="001C4073" w:rsidRPr="00CC1B6C" w14:paraId="03014F38" w14:textId="77777777" w:rsidTr="001C4073">
        <w:trPr>
          <w:jc w:val="center"/>
        </w:trPr>
        <w:tc>
          <w:tcPr>
            <w:tcW w:w="2428" w:type="dxa"/>
            <w:shd w:val="clear" w:color="auto" w:fill="D9D9D9" w:themeFill="background1" w:themeFillShade="D9"/>
          </w:tcPr>
          <w:p w14:paraId="2534828F" w14:textId="77777777" w:rsidR="001C4073" w:rsidRPr="00CE5080" w:rsidRDefault="001C4073" w:rsidP="001C4073">
            <w:pPr>
              <w:spacing w:after="0" w:line="240" w:lineRule="auto"/>
              <w:rPr>
                <w:sz w:val="20"/>
                <w:szCs w:val="20"/>
              </w:rPr>
            </w:pPr>
            <w:r w:rsidRPr="00CE5080">
              <w:rPr>
                <w:sz w:val="20"/>
                <w:szCs w:val="20"/>
              </w:rPr>
              <w:t>Transport Driver</w:t>
            </w:r>
          </w:p>
        </w:tc>
        <w:tc>
          <w:tcPr>
            <w:tcW w:w="2310" w:type="dxa"/>
            <w:shd w:val="clear" w:color="auto" w:fill="D9D9D9" w:themeFill="background1" w:themeFillShade="D9"/>
          </w:tcPr>
          <w:p w14:paraId="6A81720D" w14:textId="77777777" w:rsidR="001C4073" w:rsidRPr="00CE5080" w:rsidRDefault="001C4073" w:rsidP="001C4073">
            <w:pPr>
              <w:spacing w:after="0" w:line="240" w:lineRule="auto"/>
              <w:jc w:val="center"/>
              <w:rPr>
                <w:sz w:val="20"/>
                <w:szCs w:val="20"/>
              </w:rPr>
            </w:pPr>
            <w:r w:rsidRPr="00CE5080">
              <w:rPr>
                <w:sz w:val="20"/>
                <w:szCs w:val="20"/>
              </w:rPr>
              <w:t>1</w:t>
            </w:r>
          </w:p>
        </w:tc>
      </w:tr>
      <w:tr w:rsidR="001C4073" w:rsidRPr="00CC1B6C" w14:paraId="4D96F620" w14:textId="77777777" w:rsidTr="001C4073">
        <w:trPr>
          <w:jc w:val="center"/>
        </w:trPr>
        <w:tc>
          <w:tcPr>
            <w:tcW w:w="2428" w:type="dxa"/>
            <w:shd w:val="clear" w:color="auto" w:fill="FFFFFF" w:themeFill="background1"/>
          </w:tcPr>
          <w:p w14:paraId="6448B96F" w14:textId="77777777" w:rsidR="001C4073" w:rsidRPr="00CE5080" w:rsidRDefault="001C4073" w:rsidP="001C4073">
            <w:pPr>
              <w:spacing w:after="0" w:line="240" w:lineRule="auto"/>
              <w:rPr>
                <w:sz w:val="20"/>
                <w:szCs w:val="20"/>
              </w:rPr>
            </w:pPr>
            <w:r w:rsidRPr="00CE5080">
              <w:rPr>
                <w:sz w:val="20"/>
                <w:szCs w:val="20"/>
              </w:rPr>
              <w:t>Patient Care</w:t>
            </w:r>
          </w:p>
        </w:tc>
        <w:tc>
          <w:tcPr>
            <w:tcW w:w="2310" w:type="dxa"/>
            <w:shd w:val="clear" w:color="auto" w:fill="FFFFFF" w:themeFill="background1"/>
          </w:tcPr>
          <w:p w14:paraId="54FEC9F7" w14:textId="77777777" w:rsidR="001C4073" w:rsidRPr="00CE5080" w:rsidRDefault="001C4073" w:rsidP="001C4073">
            <w:pPr>
              <w:spacing w:after="0" w:line="240" w:lineRule="auto"/>
              <w:jc w:val="center"/>
              <w:rPr>
                <w:sz w:val="20"/>
                <w:szCs w:val="20"/>
              </w:rPr>
            </w:pPr>
            <w:r w:rsidRPr="00CE5080">
              <w:rPr>
                <w:sz w:val="20"/>
                <w:szCs w:val="20"/>
              </w:rPr>
              <w:t>3</w:t>
            </w:r>
          </w:p>
        </w:tc>
      </w:tr>
      <w:tr w:rsidR="001C4073" w:rsidRPr="00CC1B6C" w14:paraId="2E457D60" w14:textId="77777777" w:rsidTr="001C4073">
        <w:trPr>
          <w:jc w:val="center"/>
        </w:trPr>
        <w:tc>
          <w:tcPr>
            <w:tcW w:w="2428" w:type="dxa"/>
            <w:shd w:val="clear" w:color="auto" w:fill="A6A6A6" w:themeFill="background1" w:themeFillShade="A6"/>
          </w:tcPr>
          <w:p w14:paraId="336D0AF5" w14:textId="77777777" w:rsidR="001C4073" w:rsidRPr="00CE5080" w:rsidRDefault="001C4073" w:rsidP="001C4073">
            <w:pPr>
              <w:spacing w:after="0" w:line="240" w:lineRule="auto"/>
              <w:rPr>
                <w:b/>
                <w:color w:val="FFFFFF" w:themeColor="background1"/>
                <w:sz w:val="20"/>
                <w:szCs w:val="20"/>
              </w:rPr>
            </w:pPr>
            <w:r w:rsidRPr="00CE5080">
              <w:rPr>
                <w:b/>
                <w:color w:val="FFFFFF" w:themeColor="background1"/>
                <w:sz w:val="20"/>
                <w:szCs w:val="20"/>
              </w:rPr>
              <w:t>Total</w:t>
            </w:r>
          </w:p>
        </w:tc>
        <w:tc>
          <w:tcPr>
            <w:tcW w:w="2310" w:type="dxa"/>
            <w:shd w:val="clear" w:color="auto" w:fill="A6A6A6" w:themeFill="background1" w:themeFillShade="A6"/>
          </w:tcPr>
          <w:p w14:paraId="794A30F7" w14:textId="77777777" w:rsidR="001C4073" w:rsidRPr="00CE5080" w:rsidRDefault="001C4073" w:rsidP="001C4073">
            <w:pPr>
              <w:spacing w:after="0" w:line="240" w:lineRule="auto"/>
              <w:jc w:val="center"/>
              <w:rPr>
                <w:b/>
                <w:color w:val="FFFFFF" w:themeColor="background1"/>
                <w:sz w:val="20"/>
                <w:szCs w:val="20"/>
              </w:rPr>
            </w:pPr>
            <w:r w:rsidRPr="00CE5080">
              <w:rPr>
                <w:b/>
                <w:color w:val="FFFFFF" w:themeColor="background1"/>
                <w:sz w:val="20"/>
                <w:szCs w:val="20"/>
              </w:rPr>
              <w:t>5</w:t>
            </w:r>
          </w:p>
        </w:tc>
      </w:tr>
    </w:tbl>
    <w:p w14:paraId="3AE79947" w14:textId="77777777" w:rsidR="001C4073" w:rsidRDefault="001C4073" w:rsidP="001C4073">
      <w:pPr>
        <w:jc w:val="center"/>
      </w:pPr>
    </w:p>
    <w:p w14:paraId="61F0049E" w14:textId="31ACDC21" w:rsidR="001C4073" w:rsidRDefault="001C4073" w:rsidP="001C4073">
      <w:pPr>
        <w:rPr>
          <w:rFonts w:cs="Calibri"/>
        </w:rPr>
      </w:pPr>
      <w:r>
        <w:t xml:space="preserve">ESCI stresses that the critical tasks presented above are only presented as examples. Establishing the resource level needed for various types of emergencies is a local decision. </w:t>
      </w:r>
      <w:r>
        <w:rPr>
          <w:rFonts w:cs="Calibri"/>
        </w:rPr>
        <w:t xml:space="preserve">Factors influencing decisions for incident staffing include the type of equipment operated, training levels of responders, the number of personnel available, operating procedures, and the nature of risks protected. </w:t>
      </w:r>
    </w:p>
    <w:p w14:paraId="4FEE1AB5" w14:textId="53C84147" w:rsidR="001C4073" w:rsidRDefault="001C4073" w:rsidP="001C4073">
      <w:r w:rsidRPr="003B4E14">
        <w:rPr>
          <w:rFonts w:cs="Calibri"/>
        </w:rPr>
        <w:t xml:space="preserve">ESCI recommends that PFD conduct field validation of critical tasks and staffing levels. Scenarios should be conducted using </w:t>
      </w:r>
      <w:r w:rsidRPr="003B4E14">
        <w:t xml:space="preserve">standard operating procedures and realistic response times based on actual system performance. After field validation is complete, the </w:t>
      </w:r>
      <w:r w:rsidR="001236B6" w:rsidRPr="003B4E14">
        <w:t xml:space="preserve">Department </w:t>
      </w:r>
      <w:r w:rsidRPr="003B4E14">
        <w:t>may find that the critical tasking can be adjusted appropriately upward or downward for each incident type. Once the critical task analysis is completed and validated, PFD should review current run cards and dispatch protocols to ensure that adequate resources are dispatched to meet the critical tasks identified for a particular incident type.</w:t>
      </w:r>
      <w:r>
        <w:t xml:space="preserve"> </w:t>
      </w:r>
    </w:p>
    <w:p w14:paraId="7C836E83" w14:textId="77777777" w:rsidR="001C4073" w:rsidRDefault="001C4073" w:rsidP="001C4073">
      <w:pPr>
        <w:pStyle w:val="Heading3"/>
      </w:pPr>
      <w:bookmarkStart w:id="306" w:name="_Toc464323618"/>
      <w:r>
        <w:t>PFD Response Time Performance Objectives</w:t>
      </w:r>
      <w:bookmarkEnd w:id="306"/>
      <w:r>
        <w:t xml:space="preserve"> </w:t>
      </w:r>
    </w:p>
    <w:p w14:paraId="593392D8" w14:textId="77777777" w:rsidR="001C4073" w:rsidRPr="002F2160" w:rsidRDefault="001C4073" w:rsidP="001236B6">
      <w:pPr>
        <w:spacing w:after="0"/>
      </w:pPr>
      <w:r w:rsidRPr="002F2160">
        <w:t>The process of setting response time performance objectives will include two sets of questions:</w:t>
      </w:r>
    </w:p>
    <w:p w14:paraId="2A956108" w14:textId="77777777" w:rsidR="001C4073" w:rsidRDefault="001C4073" w:rsidP="00500DB3">
      <w:pPr>
        <w:pStyle w:val="ListParagraph"/>
        <w:numPr>
          <w:ilvl w:val="0"/>
          <w:numId w:val="46"/>
        </w:numPr>
        <w:spacing w:after="120" w:line="240" w:lineRule="auto"/>
        <w:ind w:left="720"/>
        <w:contextualSpacing w:val="0"/>
        <w:rPr>
          <w:rStyle w:val="EmphasisA"/>
          <w:rFonts w:ascii="Calibri" w:eastAsiaTheme="minorHAnsi" w:hAnsi="Calibri"/>
          <w:color w:val="auto"/>
          <w:sz w:val="22"/>
        </w:rPr>
      </w:pPr>
      <w:r w:rsidRPr="00CE5080">
        <w:rPr>
          <w:rStyle w:val="EmphasisA"/>
          <w:rFonts w:ascii="Calibri" w:eastAsiaTheme="minorHAnsi" w:hAnsi="Calibri"/>
          <w:color w:val="auto"/>
          <w:sz w:val="22"/>
        </w:rPr>
        <w:t xml:space="preserve">What are the expectations of the community and elected officials </w:t>
      </w:r>
      <w:r>
        <w:rPr>
          <w:rStyle w:val="EmphasisA"/>
          <w:rFonts w:ascii="Calibri" w:eastAsiaTheme="minorHAnsi" w:hAnsi="Calibri"/>
          <w:color w:val="auto"/>
          <w:sz w:val="22"/>
        </w:rPr>
        <w:t>for</w:t>
      </w:r>
      <w:r w:rsidRPr="00CE5080">
        <w:rPr>
          <w:rStyle w:val="EmphasisA"/>
          <w:rFonts w:ascii="Calibri" w:eastAsiaTheme="minorHAnsi" w:hAnsi="Calibri"/>
          <w:color w:val="auto"/>
          <w:sz w:val="22"/>
        </w:rPr>
        <w:t xml:space="preserve"> initial response times of the fire department to an emergency incident? What is the public’s perception of quality emergency services where response time is concerned?</w:t>
      </w:r>
    </w:p>
    <w:p w14:paraId="3FB82D59" w14:textId="77777777" w:rsidR="001C4073" w:rsidRPr="00CE5080" w:rsidRDefault="001C4073" w:rsidP="00500DB3">
      <w:pPr>
        <w:pStyle w:val="ListParagraph"/>
        <w:numPr>
          <w:ilvl w:val="0"/>
          <w:numId w:val="46"/>
        </w:numPr>
        <w:spacing w:line="240" w:lineRule="auto"/>
        <w:ind w:left="720"/>
        <w:contextualSpacing w:val="0"/>
        <w:rPr>
          <w:rStyle w:val="EmphasisA"/>
          <w:rFonts w:asciiTheme="majorHAnsi" w:eastAsiaTheme="minorHAnsi" w:hAnsiTheme="majorHAnsi"/>
          <w:color w:val="auto"/>
          <w:sz w:val="22"/>
        </w:rPr>
      </w:pPr>
      <w:r w:rsidRPr="00CE5080">
        <w:rPr>
          <w:rStyle w:val="EmphasisA"/>
          <w:rFonts w:asciiTheme="majorHAnsi" w:hAnsiTheme="majorHAnsi"/>
          <w:sz w:val="22"/>
          <w:szCs w:val="20"/>
        </w:rPr>
        <w:t xml:space="preserve">What response time performance would be reasonable and effective in containing fire, stopping the loss, and saving lives when considering the common types of incidents and fire risks faced by the </w:t>
      </w:r>
      <w:r>
        <w:rPr>
          <w:rStyle w:val="EmphasisA"/>
          <w:rFonts w:asciiTheme="majorHAnsi" w:hAnsiTheme="majorHAnsi"/>
          <w:sz w:val="22"/>
          <w:szCs w:val="20"/>
        </w:rPr>
        <w:t>Pasco Fire Department</w:t>
      </w:r>
      <w:r w:rsidRPr="007F0ADA">
        <w:rPr>
          <w:rStyle w:val="EmphasisA"/>
          <w:rFonts w:ascii="Calibri" w:hAnsi="Calibri"/>
          <w:sz w:val="22"/>
          <w:szCs w:val="20"/>
        </w:rPr>
        <w:t>?</w:t>
      </w:r>
    </w:p>
    <w:p w14:paraId="17B08713" w14:textId="6CC1D191" w:rsidR="001C4073" w:rsidRPr="00415409" w:rsidRDefault="001C4073" w:rsidP="001C4073">
      <w:pPr>
        <w:rPr>
          <w:rStyle w:val="EmphasisA"/>
          <w:rFonts w:asciiTheme="majorHAnsi" w:eastAsiaTheme="minorHAnsi" w:hAnsiTheme="majorHAnsi"/>
          <w:color w:val="auto"/>
          <w:sz w:val="22"/>
        </w:rPr>
      </w:pPr>
      <w:r w:rsidRPr="001C4073">
        <w:rPr>
          <w:rStyle w:val="EmphasisA"/>
          <w:rFonts w:asciiTheme="majorHAnsi" w:eastAsiaTheme="minorHAnsi" w:hAnsiTheme="majorHAnsi"/>
          <w:color w:val="auto"/>
          <w:sz w:val="22"/>
        </w:rPr>
        <w:t xml:space="preserve">ESCI has reviewed the Pasco Fire Department response performance goals and believes the </w:t>
      </w:r>
      <w:r w:rsidR="004035AD">
        <w:rPr>
          <w:rStyle w:val="EmphasisA"/>
          <w:rFonts w:asciiTheme="majorHAnsi" w:eastAsiaTheme="minorHAnsi" w:hAnsiTheme="majorHAnsi"/>
          <w:color w:val="auto"/>
          <w:sz w:val="22"/>
        </w:rPr>
        <w:t xml:space="preserve">city council </w:t>
      </w:r>
      <w:r w:rsidRPr="001C4073">
        <w:rPr>
          <w:rStyle w:val="EmphasisA"/>
          <w:rFonts w:asciiTheme="majorHAnsi" w:eastAsiaTheme="minorHAnsi" w:hAnsiTheme="majorHAnsi"/>
          <w:color w:val="auto"/>
          <w:sz w:val="22"/>
        </w:rPr>
        <w:t>adopted goals address the questions listed in the previous paragraph. The PFD response standards meet t</w:t>
      </w:r>
      <w:r w:rsidR="001236B6">
        <w:rPr>
          <w:rStyle w:val="EmphasisA"/>
          <w:rFonts w:asciiTheme="majorHAnsi" w:eastAsiaTheme="minorHAnsi" w:hAnsiTheme="majorHAnsi"/>
          <w:color w:val="auto"/>
          <w:sz w:val="22"/>
        </w:rPr>
        <w:t>he intent of RCW Chapter 35.103</w:t>
      </w:r>
      <w:r w:rsidRPr="001C4073">
        <w:rPr>
          <w:rStyle w:val="EmphasisA"/>
          <w:rFonts w:asciiTheme="majorHAnsi" w:eastAsiaTheme="minorHAnsi" w:hAnsiTheme="majorHAnsi"/>
          <w:color w:val="auto"/>
          <w:sz w:val="22"/>
        </w:rPr>
        <w:t xml:space="preserve"> and follow industry best practices by measuring response performance at a specific percentile (90 percent) instead </w:t>
      </w:r>
      <w:r w:rsidR="001236B6">
        <w:rPr>
          <w:rStyle w:val="EmphasisA"/>
          <w:rFonts w:asciiTheme="majorHAnsi" w:eastAsiaTheme="minorHAnsi" w:hAnsiTheme="majorHAnsi"/>
          <w:color w:val="auto"/>
          <w:sz w:val="22"/>
        </w:rPr>
        <w:t>of an</w:t>
      </w:r>
      <w:r w:rsidRPr="001C4073">
        <w:rPr>
          <w:rStyle w:val="EmphasisA"/>
          <w:rFonts w:asciiTheme="majorHAnsi" w:eastAsiaTheme="minorHAnsi" w:hAnsiTheme="majorHAnsi"/>
          <w:color w:val="auto"/>
          <w:sz w:val="22"/>
        </w:rPr>
        <w:t xml:space="preserve"> average. In preparing the annual response performance report, PFD tracks the individual components of total response time (call processing, turnout, and travel time). This allows PFD to identify deficiencies an</w:t>
      </w:r>
      <w:r w:rsidR="001236B6">
        <w:rPr>
          <w:rStyle w:val="EmphasisA"/>
          <w:rFonts w:asciiTheme="majorHAnsi" w:eastAsiaTheme="minorHAnsi" w:hAnsiTheme="majorHAnsi"/>
          <w:color w:val="auto"/>
          <w:sz w:val="22"/>
        </w:rPr>
        <w:t>d develop a plan for correction</w:t>
      </w:r>
      <w:r w:rsidRPr="001C4073">
        <w:rPr>
          <w:rStyle w:val="EmphasisA"/>
          <w:rFonts w:asciiTheme="majorHAnsi" w:eastAsiaTheme="minorHAnsi" w:hAnsiTheme="majorHAnsi"/>
          <w:color w:val="auto"/>
          <w:sz w:val="22"/>
        </w:rPr>
        <w:t xml:space="preserve"> based on actual performance. Using geographic Fire Management Zones, PFD is able to track actual performance to identify underserved areas within the service area. ESCI encourages PFD to continue refining data collection and reporting methodology. PFD should consider publishing a standard of cover document.</w:t>
      </w:r>
      <w:r>
        <w:rPr>
          <w:rStyle w:val="EmphasisA"/>
          <w:rFonts w:asciiTheme="majorHAnsi" w:eastAsiaTheme="minorHAnsi" w:hAnsiTheme="majorHAnsi"/>
          <w:color w:val="auto"/>
          <w:sz w:val="22"/>
        </w:rPr>
        <w:t xml:space="preserve">     </w:t>
      </w:r>
    </w:p>
    <w:p w14:paraId="090C9709" w14:textId="77777777" w:rsidR="001236B6" w:rsidRDefault="001236B6" w:rsidP="00B20A43">
      <w:pPr>
        <w:pStyle w:val="Heading1"/>
        <w:rPr>
          <w:rFonts w:eastAsia="Times New Roman"/>
        </w:rPr>
        <w:sectPr w:rsidR="001236B6" w:rsidSect="00160980">
          <w:type w:val="oddPage"/>
          <w:pgSz w:w="12240" w:h="15840"/>
          <w:pgMar w:top="1440" w:right="1440" w:bottom="1440" w:left="1440" w:header="720" w:footer="720" w:gutter="0"/>
          <w:cols w:space="720"/>
          <w:docGrid w:linePitch="299"/>
        </w:sectPr>
      </w:pPr>
    </w:p>
    <w:p w14:paraId="5F282961" w14:textId="3C905B55" w:rsidR="00B20A43" w:rsidRDefault="00B20A43" w:rsidP="00B20A43">
      <w:pPr>
        <w:pStyle w:val="Heading1"/>
        <w:rPr>
          <w:rFonts w:eastAsia="Times New Roman"/>
        </w:rPr>
      </w:pPr>
      <w:bookmarkStart w:id="307" w:name="_Toc464323619"/>
      <w:r>
        <w:rPr>
          <w:rFonts w:eastAsia="Times New Roman"/>
        </w:rPr>
        <w:t>Strategy Recommendations</w:t>
      </w:r>
      <w:bookmarkEnd w:id="307"/>
    </w:p>
    <w:p w14:paraId="2A7739AC" w14:textId="705099C6" w:rsidR="00626D71" w:rsidRDefault="00626D71" w:rsidP="00626D71">
      <w:pPr>
        <w:pStyle w:val="Heading2"/>
        <w:rPr>
          <w:rFonts w:eastAsia="Times New Roman"/>
        </w:rPr>
      </w:pPr>
      <w:bookmarkStart w:id="308" w:name="_Toc464323620"/>
      <w:r w:rsidRPr="00626D71">
        <w:rPr>
          <w:rFonts w:eastAsia="Times New Roman"/>
        </w:rPr>
        <w:t xml:space="preserve">Short-Term </w:t>
      </w:r>
      <w:bookmarkEnd w:id="271"/>
      <w:r>
        <w:rPr>
          <w:rFonts w:eastAsia="Times New Roman"/>
        </w:rPr>
        <w:t>Strategies</w:t>
      </w:r>
      <w:bookmarkEnd w:id="308"/>
    </w:p>
    <w:p w14:paraId="273DE240" w14:textId="40599516" w:rsidR="00D37330" w:rsidRDefault="00D37330" w:rsidP="00D37330">
      <w:r>
        <w:t xml:space="preserve">This report has numerous recommendations which are intended to enhance the current practices of the Pasco Fire Department. The presence of these recommendations should not be construed to indicate that PFD has a lot of problems. On the contrary, the consulting team agreed that this agency was </w:t>
      </w:r>
      <w:r w:rsidR="008637A8">
        <w:t>one of the top professional organizations we have evaluated</w:t>
      </w:r>
      <w:r>
        <w:t xml:space="preserve">.  The data the </w:t>
      </w:r>
      <w:r w:rsidR="001236B6">
        <w:t xml:space="preserve">Department </w:t>
      </w:r>
      <w:r>
        <w:t>maintains is excellent, and the practices are professional and skillful, despite being constrained by scarce resources.</w:t>
      </w:r>
      <w:r w:rsidR="008637A8">
        <w:t xml:space="preserve"> These recommendation</w:t>
      </w:r>
      <w:r w:rsidR="00937782">
        <w:t>s</w:t>
      </w:r>
      <w:r w:rsidR="008637A8">
        <w:t xml:space="preserve"> reflect a continuous improvement mindset.</w:t>
      </w:r>
    </w:p>
    <w:p w14:paraId="0C1D83E6" w14:textId="77777777" w:rsidR="00D37330" w:rsidRDefault="00D37330" w:rsidP="00D37330">
      <w:r>
        <w:t>To categorize the types of recommendations into a priority list, they are inserted under the appropriate headings, defined as follows:</w:t>
      </w:r>
    </w:p>
    <w:p w14:paraId="72916F24" w14:textId="77777777" w:rsidR="00D37330" w:rsidRPr="00F93278" w:rsidRDefault="00D37330" w:rsidP="00D37330">
      <w:pPr>
        <w:pStyle w:val="Heading7"/>
        <w:rPr>
          <w:i w:val="0"/>
          <w:color w:val="auto"/>
          <w:sz w:val="22"/>
          <w:u w:val="single"/>
        </w:rPr>
      </w:pPr>
      <w:r w:rsidRPr="00F93278">
        <w:rPr>
          <w:i w:val="0"/>
          <w:color w:val="auto"/>
          <w:sz w:val="22"/>
          <w:u w:val="single"/>
        </w:rPr>
        <w:t>Priority 1 – Items Involving Immediate Internal Safety Concerns</w:t>
      </w:r>
    </w:p>
    <w:p w14:paraId="0778076F" w14:textId="2FC56E05" w:rsidR="00D37330" w:rsidRDefault="00D37330" w:rsidP="00D37330">
      <w:r>
        <w:t>The recommendation deals with an improvement or initiative that solves an issue affecting the safety of firefighters and/or other department personnel. These are not matters that simply make it easier to do a particular function</w:t>
      </w:r>
      <w:r w:rsidR="001236B6">
        <w:t xml:space="preserve"> but in fact render</w:t>
      </w:r>
      <w:r>
        <w:t xml:space="preserve"> a currently unsafe situation safe.  </w:t>
      </w:r>
    </w:p>
    <w:p w14:paraId="63109600" w14:textId="77777777" w:rsidR="00D37330" w:rsidRPr="00F93278" w:rsidRDefault="00D37330" w:rsidP="00D37330">
      <w:pPr>
        <w:pStyle w:val="Heading7"/>
        <w:rPr>
          <w:i w:val="0"/>
          <w:color w:val="auto"/>
          <w:sz w:val="22"/>
          <w:u w:val="single"/>
        </w:rPr>
      </w:pPr>
      <w:r w:rsidRPr="00F93278">
        <w:rPr>
          <w:i w:val="0"/>
          <w:color w:val="auto"/>
          <w:sz w:val="22"/>
          <w:u w:val="single"/>
        </w:rPr>
        <w:t>Priority 2 – Considerations That May Present Legal or Financial Exposure</w:t>
      </w:r>
    </w:p>
    <w:p w14:paraId="01785A0E" w14:textId="493CBAC1" w:rsidR="00D37330" w:rsidRDefault="00D37330" w:rsidP="00D37330">
      <w:r>
        <w:t>The recommendation resolves a situation that is creating or is likely to create the opportunity for legal action against the department, the city, or its members. It also may be a situation that could subject the department to a significant expense, such as resolving a leaking underground storage tank.</w:t>
      </w:r>
    </w:p>
    <w:p w14:paraId="505275D8" w14:textId="77777777" w:rsidR="00D37330" w:rsidRPr="00F93278" w:rsidRDefault="00D37330" w:rsidP="00D37330">
      <w:pPr>
        <w:pStyle w:val="Heading7"/>
        <w:rPr>
          <w:i w:val="0"/>
          <w:color w:val="auto"/>
          <w:sz w:val="22"/>
          <w:u w:val="single"/>
        </w:rPr>
      </w:pPr>
      <w:r w:rsidRPr="00F93278">
        <w:rPr>
          <w:i w:val="0"/>
          <w:color w:val="auto"/>
          <w:sz w:val="22"/>
          <w:u w:val="single"/>
        </w:rPr>
        <w:t>Priority 3 – Matters That Address a Service Delivery Issue</w:t>
      </w:r>
    </w:p>
    <w:p w14:paraId="4AE33EAA" w14:textId="047131AB" w:rsidR="00D37330" w:rsidRDefault="00D37330" w:rsidP="00D37330">
      <w:r>
        <w:t>The recommendation addresses a service delivery situation that, while it doesn’t create an immediate safety risk to personnel or the public</w:t>
      </w:r>
      <w:r w:rsidR="006D194A">
        <w:t>,</w:t>
      </w:r>
      <w:r>
        <w:t xml:space="preserve"> does affect the d</w:t>
      </w:r>
      <w:r w:rsidR="006D194A">
        <w:t>epartment</w:t>
      </w:r>
      <w:r>
        <w:t>’s ability to deliver service in accordance with its standards of performance. For example, delivering training needed to allow personnel to deal effectively with emergency responses already being encountered.</w:t>
      </w:r>
    </w:p>
    <w:p w14:paraId="0A50F40E" w14:textId="77777777" w:rsidR="00D37330" w:rsidRPr="00F93278" w:rsidRDefault="00D37330" w:rsidP="00D37330">
      <w:pPr>
        <w:pStyle w:val="Heading7"/>
        <w:rPr>
          <w:i w:val="0"/>
          <w:color w:val="auto"/>
          <w:sz w:val="22"/>
          <w:u w:val="single"/>
        </w:rPr>
      </w:pPr>
      <w:r w:rsidRPr="00F93278">
        <w:rPr>
          <w:i w:val="0"/>
          <w:color w:val="auto"/>
          <w:sz w:val="22"/>
          <w:u w:val="single"/>
        </w:rPr>
        <w:t>Priority 4 – Considerations to Enhance the Delivery of Services</w:t>
      </w:r>
    </w:p>
    <w:p w14:paraId="7CDC9E7A" w14:textId="77777777" w:rsidR="00D37330" w:rsidRDefault="00D37330" w:rsidP="00D37330">
      <w:r>
        <w:t>The recommendation improves the delivery of a particular service.  For example, adding a piece of equipment that will improve the delivery of a service.</w:t>
      </w:r>
    </w:p>
    <w:p w14:paraId="77671967" w14:textId="77777777" w:rsidR="00D37330" w:rsidRPr="00F93278" w:rsidRDefault="00D37330" w:rsidP="00D37330">
      <w:pPr>
        <w:pStyle w:val="Heading7"/>
        <w:rPr>
          <w:i w:val="0"/>
          <w:color w:val="auto"/>
          <w:sz w:val="22"/>
          <w:u w:val="single"/>
        </w:rPr>
      </w:pPr>
      <w:r w:rsidRPr="00F93278">
        <w:rPr>
          <w:i w:val="0"/>
          <w:color w:val="auto"/>
          <w:sz w:val="22"/>
          <w:u w:val="single"/>
        </w:rPr>
        <w:t>Priority 5 – An Important Thing to Do</w:t>
      </w:r>
    </w:p>
    <w:p w14:paraId="55836A5A" w14:textId="66231B64" w:rsidR="00D37330" w:rsidRPr="00D37330" w:rsidRDefault="00D37330" w:rsidP="00D37330">
      <w:r>
        <w:t>The recommendation doesn’t fit within any of the above priorities, but is still worth doing.</w:t>
      </w:r>
    </w:p>
    <w:p w14:paraId="27358A55" w14:textId="77777777" w:rsidR="00F93278" w:rsidRPr="00F93278" w:rsidRDefault="00F93278" w:rsidP="00B263B4">
      <w:pPr>
        <w:pStyle w:val="Heading3"/>
        <w:rPr>
          <w:rFonts w:eastAsia="Times New Roman"/>
          <w:lang w:val="en-CA"/>
        </w:rPr>
      </w:pPr>
      <w:bookmarkStart w:id="309" w:name="_Toc272921938"/>
      <w:bookmarkStart w:id="310" w:name="_Toc274230748"/>
      <w:bookmarkStart w:id="311" w:name="_Toc364933687"/>
      <w:bookmarkStart w:id="312" w:name="_Toc367260250"/>
      <w:bookmarkStart w:id="313" w:name="_Toc445193560"/>
      <w:bookmarkStart w:id="314" w:name="_Toc464323621"/>
      <w:r w:rsidRPr="00F93278">
        <w:rPr>
          <w:rFonts w:eastAsia="Times New Roman"/>
          <w:lang w:val="en-CA"/>
        </w:rPr>
        <w:t xml:space="preserve">Priority 1 – </w:t>
      </w:r>
      <w:bookmarkEnd w:id="309"/>
      <w:bookmarkEnd w:id="310"/>
      <w:bookmarkEnd w:id="311"/>
      <w:bookmarkEnd w:id="312"/>
      <w:r w:rsidRPr="00F93278">
        <w:rPr>
          <w:rFonts w:eastAsia="Times New Roman"/>
          <w:lang w:val="en-CA"/>
        </w:rPr>
        <w:t>Items Involving Immediate Internal Safety Concerns</w:t>
      </w:r>
      <w:bookmarkEnd w:id="313"/>
      <w:bookmarkEnd w:id="314"/>
    </w:p>
    <w:p w14:paraId="4C08B38C" w14:textId="77777777" w:rsidR="00F93278" w:rsidRPr="00F93278" w:rsidRDefault="00F93278" w:rsidP="007705AA">
      <w:pPr>
        <w:pStyle w:val="ListParagraph"/>
        <w:numPr>
          <w:ilvl w:val="0"/>
          <w:numId w:val="55"/>
        </w:numPr>
        <w:rPr>
          <w:lang w:eastAsia="en-US"/>
        </w:rPr>
      </w:pPr>
      <w:r w:rsidRPr="00F93278">
        <w:rPr>
          <w:lang w:eastAsia="en-US"/>
        </w:rPr>
        <w:t>Pasco Fire Department did not have any issues that ESCI identified as an internal safety concern.</w:t>
      </w:r>
    </w:p>
    <w:p w14:paraId="04DCE571" w14:textId="77777777" w:rsidR="00F93278" w:rsidRPr="00F93278" w:rsidRDefault="00F93278" w:rsidP="00B263B4">
      <w:pPr>
        <w:pStyle w:val="Heading3"/>
        <w:rPr>
          <w:rFonts w:eastAsia="Times New Roman"/>
          <w:lang w:val="en-CA"/>
        </w:rPr>
      </w:pPr>
      <w:bookmarkStart w:id="315" w:name="_Toc367260251"/>
      <w:bookmarkStart w:id="316" w:name="_Toc445193561"/>
      <w:bookmarkStart w:id="317" w:name="_Toc464323622"/>
      <w:r w:rsidRPr="00F93278">
        <w:rPr>
          <w:rFonts w:eastAsia="Times New Roman"/>
          <w:lang w:val="en-CA"/>
        </w:rPr>
        <w:t xml:space="preserve">Priority 2 – </w:t>
      </w:r>
      <w:bookmarkEnd w:id="315"/>
      <w:r w:rsidRPr="00F93278">
        <w:rPr>
          <w:rFonts w:eastAsia="Times New Roman"/>
          <w:lang w:val="en-CA"/>
        </w:rPr>
        <w:t>Considerations That May Present Legal or Financial Exposure</w:t>
      </w:r>
      <w:bookmarkEnd w:id="316"/>
      <w:bookmarkEnd w:id="317"/>
    </w:p>
    <w:p w14:paraId="295AE2E3" w14:textId="77777777" w:rsidR="00F93278" w:rsidRPr="00F93278" w:rsidRDefault="00F93278" w:rsidP="001236B6">
      <w:pPr>
        <w:keepNext/>
        <w:keepLines/>
        <w:numPr>
          <w:ilvl w:val="0"/>
          <w:numId w:val="17"/>
        </w:numPr>
        <w:spacing w:after="120" w:line="240" w:lineRule="auto"/>
        <w:jc w:val="left"/>
        <w:rPr>
          <w:rFonts w:eastAsia="Calibri" w:cs="Times New Roman"/>
          <w:lang w:eastAsia="en-US"/>
        </w:rPr>
      </w:pPr>
      <w:r w:rsidRPr="00F93278">
        <w:rPr>
          <w:rFonts w:eastAsia="Calibri" w:cs="Times New Roman"/>
          <w:color w:val="000000"/>
          <w:lang w:eastAsia="en-US"/>
        </w:rPr>
        <w:t>Periodically review Pasco’s financial ability to maintain its participation in the regional haz-mat team, assessing the cost-benefit ratio.</w:t>
      </w:r>
    </w:p>
    <w:p w14:paraId="1F6B1875" w14:textId="77777777" w:rsidR="00F93278" w:rsidRPr="00F93278" w:rsidRDefault="00F93278" w:rsidP="00B263B4">
      <w:pPr>
        <w:pStyle w:val="Heading3"/>
        <w:rPr>
          <w:rFonts w:eastAsia="Times New Roman"/>
          <w:lang w:val="en-CA"/>
        </w:rPr>
      </w:pPr>
      <w:bookmarkStart w:id="318" w:name="_Toc364933689"/>
      <w:bookmarkStart w:id="319" w:name="_Toc367260252"/>
      <w:bookmarkStart w:id="320" w:name="_Toc445193562"/>
      <w:bookmarkStart w:id="321" w:name="_Toc464323623"/>
      <w:r w:rsidRPr="00F93278">
        <w:rPr>
          <w:rFonts w:eastAsia="Times New Roman"/>
          <w:lang w:val="en-CA"/>
        </w:rPr>
        <w:t xml:space="preserve">Priority 3 – </w:t>
      </w:r>
      <w:bookmarkEnd w:id="318"/>
      <w:bookmarkEnd w:id="319"/>
      <w:r w:rsidRPr="00F93278">
        <w:rPr>
          <w:rFonts w:eastAsia="Times New Roman"/>
          <w:lang w:val="en-CA"/>
        </w:rPr>
        <w:t>Matters That Addre</w:t>
      </w:r>
      <w:r w:rsidRPr="00F93278">
        <w:rPr>
          <w:rFonts w:eastAsia="Times New Roman"/>
          <w:iCs/>
          <w:lang w:val="en-CA"/>
        </w:rPr>
        <w:t>s</w:t>
      </w:r>
      <w:r w:rsidRPr="00F93278">
        <w:rPr>
          <w:rFonts w:eastAsia="Times New Roman"/>
          <w:lang w:val="en-CA"/>
        </w:rPr>
        <w:t>s a Ser</w:t>
      </w:r>
      <w:r w:rsidRPr="00F93278">
        <w:rPr>
          <w:rFonts w:eastAsia="Times New Roman"/>
          <w:iCs/>
          <w:lang w:val="en-CA"/>
        </w:rPr>
        <w:t>vic</w:t>
      </w:r>
      <w:r w:rsidRPr="00F93278">
        <w:rPr>
          <w:rFonts w:eastAsia="Times New Roman"/>
          <w:lang w:val="en-CA"/>
        </w:rPr>
        <w:t>e Delivery Issue</w:t>
      </w:r>
      <w:bookmarkEnd w:id="320"/>
      <w:bookmarkEnd w:id="321"/>
    </w:p>
    <w:p w14:paraId="52EAEA4D" w14:textId="5748286E" w:rsidR="00B26FE8" w:rsidRPr="00B26FE8" w:rsidRDefault="00B26FE8" w:rsidP="00500DB3">
      <w:pPr>
        <w:keepNext/>
        <w:keepLines/>
        <w:numPr>
          <w:ilvl w:val="0"/>
          <w:numId w:val="17"/>
        </w:numPr>
        <w:adjustRightInd w:val="0"/>
        <w:spacing w:after="120" w:line="240" w:lineRule="auto"/>
        <w:jc w:val="left"/>
        <w:rPr>
          <w:rFonts w:eastAsia="Calibri" w:cs="Times New Roman"/>
          <w:color w:val="000000"/>
          <w:sz w:val="20"/>
          <w:szCs w:val="20"/>
          <w:lang w:eastAsia="en-US"/>
        </w:rPr>
      </w:pPr>
      <w:r>
        <w:rPr>
          <w:rFonts w:cs="Calibri"/>
        </w:rPr>
        <w:t xml:space="preserve">Develop a comprehensive Community Risk Reduction plan using </w:t>
      </w:r>
      <w:r w:rsidRPr="00716EA9">
        <w:rPr>
          <w:rFonts w:cs="Calibri"/>
          <w:i/>
        </w:rPr>
        <w:t>Vision 20/20</w:t>
      </w:r>
      <w:r>
        <w:rPr>
          <w:rFonts w:cs="Calibri"/>
        </w:rPr>
        <w:t xml:space="preserve"> as a resource.</w:t>
      </w:r>
    </w:p>
    <w:p w14:paraId="6A960ECD" w14:textId="59DEC9A7" w:rsidR="00F93278" w:rsidRPr="00F93278" w:rsidRDefault="00F93278" w:rsidP="00500DB3">
      <w:pPr>
        <w:keepNext/>
        <w:keepLines/>
        <w:numPr>
          <w:ilvl w:val="0"/>
          <w:numId w:val="17"/>
        </w:numPr>
        <w:adjustRightInd w:val="0"/>
        <w:spacing w:after="120" w:line="240" w:lineRule="auto"/>
        <w:jc w:val="left"/>
        <w:rPr>
          <w:rFonts w:eastAsia="Calibri" w:cs="Times New Roman"/>
          <w:color w:val="000000"/>
          <w:sz w:val="20"/>
          <w:szCs w:val="20"/>
          <w:lang w:eastAsia="en-US"/>
        </w:rPr>
      </w:pPr>
      <w:r w:rsidRPr="00F93278">
        <w:rPr>
          <w:rFonts w:eastAsia="Calibri" w:cs="Times New Roman"/>
          <w:color w:val="000000"/>
          <w:lang w:eastAsia="en-US"/>
        </w:rPr>
        <w:t>Maintain a hazardous materials equipment inventory that includes useful life of all equipment for which Pasco Fire is responsible so that replacement, repair, and maintenance can be planned for.</w:t>
      </w:r>
    </w:p>
    <w:p w14:paraId="19C2C78F" w14:textId="6AA11CD3" w:rsidR="00F93278" w:rsidRDefault="00F93278" w:rsidP="00500DB3">
      <w:pPr>
        <w:keepNext/>
        <w:keepLines/>
        <w:numPr>
          <w:ilvl w:val="0"/>
          <w:numId w:val="17"/>
        </w:numPr>
        <w:adjustRightInd w:val="0"/>
        <w:spacing w:after="120" w:line="240" w:lineRule="auto"/>
        <w:jc w:val="left"/>
        <w:rPr>
          <w:rFonts w:eastAsia="Calibri" w:cs="Times New Roman"/>
          <w:color w:val="000000"/>
          <w:lang w:eastAsia="en-US"/>
        </w:rPr>
      </w:pPr>
      <w:r w:rsidRPr="00F93278">
        <w:rPr>
          <w:rFonts w:eastAsia="Calibri" w:cs="Times New Roman"/>
          <w:color w:val="000000"/>
          <w:lang w:eastAsia="en-US"/>
        </w:rPr>
        <w:t>Establish and maintain a minimum staffing requirement for the haz-mat technicians.</w:t>
      </w:r>
    </w:p>
    <w:p w14:paraId="41DBA9E3" w14:textId="7CB97CE9" w:rsidR="00956065" w:rsidRPr="00F93278" w:rsidRDefault="00956065" w:rsidP="00500DB3">
      <w:pPr>
        <w:keepNext/>
        <w:keepLines/>
        <w:numPr>
          <w:ilvl w:val="0"/>
          <w:numId w:val="17"/>
        </w:numPr>
        <w:adjustRightInd w:val="0"/>
        <w:spacing w:after="120" w:line="240" w:lineRule="auto"/>
        <w:jc w:val="left"/>
        <w:rPr>
          <w:rFonts w:eastAsia="Calibri" w:cs="Times New Roman"/>
          <w:color w:val="000000"/>
          <w:lang w:eastAsia="en-US"/>
        </w:rPr>
      </w:pPr>
      <w:r>
        <w:rPr>
          <w:rFonts w:eastAsia="Calibri" w:cs="Times New Roman"/>
          <w:color w:val="000000"/>
          <w:lang w:eastAsia="en-US"/>
        </w:rPr>
        <w:t>Water Rescue Team members are assigned to work at Station 81; but all other Technical Rescue Team members should be assigned to Station 82, responding with the ladder/rescue units</w:t>
      </w:r>
    </w:p>
    <w:p w14:paraId="606E80CE" w14:textId="77777777" w:rsidR="00F93278" w:rsidRPr="00F93278" w:rsidRDefault="00F93278" w:rsidP="00500DB3">
      <w:pPr>
        <w:numPr>
          <w:ilvl w:val="0"/>
          <w:numId w:val="25"/>
        </w:numPr>
        <w:spacing w:after="120" w:line="240" w:lineRule="auto"/>
        <w:jc w:val="left"/>
        <w:rPr>
          <w:rFonts w:eastAsia="Cambria" w:cs="Arial"/>
        </w:rPr>
      </w:pPr>
      <w:r w:rsidRPr="00F93278">
        <w:rPr>
          <w:rFonts w:eastAsia="Cambria" w:cs="Calibri"/>
        </w:rPr>
        <w:t>Modify AEP Annex A to reflect improvements to the terminal.</w:t>
      </w:r>
    </w:p>
    <w:p w14:paraId="0A504019" w14:textId="6D713406" w:rsidR="00F93278" w:rsidRPr="00F93278" w:rsidRDefault="00F93278" w:rsidP="00500DB3">
      <w:pPr>
        <w:numPr>
          <w:ilvl w:val="0"/>
          <w:numId w:val="25"/>
        </w:numPr>
        <w:adjustRightInd w:val="0"/>
        <w:spacing w:after="120" w:line="240" w:lineRule="auto"/>
        <w:jc w:val="left"/>
        <w:rPr>
          <w:rFonts w:eastAsia="Calibri" w:cs="Times New Roman"/>
          <w:lang w:val="en-CA"/>
        </w:rPr>
      </w:pPr>
      <w:r w:rsidRPr="00F93278">
        <w:rPr>
          <w:rFonts w:eastAsia="Cambria" w:cs="Arial"/>
        </w:rPr>
        <w:t>PFD and ARFF personnel at Fire Station 82 conduct familiarization and interact with airport staff and terminal tenants weekly.</w:t>
      </w:r>
    </w:p>
    <w:p w14:paraId="43B7A9B7" w14:textId="77777777" w:rsidR="00F93278" w:rsidRPr="00F93278" w:rsidRDefault="00F93278" w:rsidP="00500DB3">
      <w:pPr>
        <w:numPr>
          <w:ilvl w:val="0"/>
          <w:numId w:val="25"/>
        </w:numPr>
        <w:adjustRightInd w:val="0"/>
        <w:spacing w:after="120" w:line="240" w:lineRule="auto"/>
        <w:jc w:val="left"/>
        <w:rPr>
          <w:rFonts w:eastAsia="Calibri" w:cs="Times New Roman"/>
          <w:lang w:val="en-CA"/>
        </w:rPr>
      </w:pPr>
      <w:r w:rsidRPr="00F93278">
        <w:rPr>
          <w:rFonts w:eastAsia="Calibri" w:cs="Times New Roman"/>
          <w:lang w:val="en-CA"/>
        </w:rPr>
        <w:t>Combine emergency communications for Franklin and Benton counties in a single PSAP.</w:t>
      </w:r>
    </w:p>
    <w:p w14:paraId="77F6B8E1" w14:textId="77777777" w:rsidR="00F93278" w:rsidRPr="00F93278" w:rsidRDefault="00F93278" w:rsidP="00500DB3">
      <w:pPr>
        <w:numPr>
          <w:ilvl w:val="0"/>
          <w:numId w:val="25"/>
        </w:numPr>
        <w:adjustRightInd w:val="0"/>
        <w:spacing w:after="120" w:line="240" w:lineRule="auto"/>
        <w:jc w:val="left"/>
        <w:rPr>
          <w:rFonts w:eastAsia="Calibri" w:cs="Times New Roman"/>
          <w:lang w:val="en-CA"/>
        </w:rPr>
      </w:pPr>
      <w:r w:rsidRPr="00F93278">
        <w:rPr>
          <w:rFonts w:eastAsia="Calibri" w:cs="Times New Roman"/>
          <w:lang w:val="en-CA"/>
        </w:rPr>
        <w:t>Include PFD ARFF personnel in applicable Annexes of the AEP.</w:t>
      </w:r>
    </w:p>
    <w:p w14:paraId="4F1F830D" w14:textId="77777777" w:rsidR="00F93278" w:rsidRPr="00F93278" w:rsidRDefault="00F93278" w:rsidP="00B263B4">
      <w:pPr>
        <w:pStyle w:val="Heading3"/>
        <w:rPr>
          <w:rFonts w:eastAsia="Times New Roman"/>
          <w:lang w:val="en-CA"/>
        </w:rPr>
      </w:pPr>
      <w:bookmarkStart w:id="322" w:name="_Toc272921941"/>
      <w:bookmarkStart w:id="323" w:name="_Toc274230751"/>
      <w:bookmarkStart w:id="324" w:name="_Toc364933690"/>
      <w:bookmarkStart w:id="325" w:name="_Toc367260253"/>
      <w:bookmarkStart w:id="326" w:name="_Toc445193563"/>
      <w:bookmarkStart w:id="327" w:name="_Toc464323624"/>
      <w:r w:rsidRPr="00F93278">
        <w:rPr>
          <w:rFonts w:eastAsia="Times New Roman"/>
          <w:lang w:val="en-CA"/>
        </w:rPr>
        <w:t xml:space="preserve">Priority 4 – </w:t>
      </w:r>
      <w:bookmarkEnd w:id="322"/>
      <w:bookmarkEnd w:id="323"/>
      <w:bookmarkEnd w:id="324"/>
      <w:bookmarkEnd w:id="325"/>
      <w:r w:rsidRPr="00F93278">
        <w:rPr>
          <w:rFonts w:eastAsia="Times New Roman"/>
          <w:lang w:val="en-CA"/>
        </w:rPr>
        <w:t>Considerations to Enhance the Delivery of Services</w:t>
      </w:r>
      <w:bookmarkEnd w:id="326"/>
      <w:bookmarkEnd w:id="327"/>
    </w:p>
    <w:p w14:paraId="06F3788C" w14:textId="77777777" w:rsidR="00F93278" w:rsidRPr="00F93278" w:rsidRDefault="00F93278" w:rsidP="001236B6">
      <w:pPr>
        <w:numPr>
          <w:ilvl w:val="0"/>
          <w:numId w:val="39"/>
        </w:numPr>
        <w:adjustRightInd w:val="0"/>
        <w:spacing w:after="120" w:line="240" w:lineRule="auto"/>
        <w:ind w:hanging="360"/>
        <w:contextualSpacing/>
        <w:jc w:val="left"/>
        <w:rPr>
          <w:rFonts w:eastAsia="Calibri" w:cs="Times New Roman"/>
        </w:rPr>
      </w:pPr>
      <w:r w:rsidRPr="00F93278">
        <w:rPr>
          <w:rFonts w:eastAsia="Calibri" w:cs="Times New Roman"/>
        </w:rPr>
        <w:t>Consider implementing improvements in hydrant testing, resource deployment, staffing and fire code inspections to achieve a PPC class 4.</w:t>
      </w:r>
    </w:p>
    <w:p w14:paraId="456438C6" w14:textId="77777777" w:rsidR="00F93278" w:rsidRPr="00F93278" w:rsidRDefault="00F93278" w:rsidP="001236B6">
      <w:pPr>
        <w:numPr>
          <w:ilvl w:val="0"/>
          <w:numId w:val="39"/>
        </w:numPr>
        <w:adjustRightInd w:val="0"/>
        <w:spacing w:after="120" w:line="240" w:lineRule="auto"/>
        <w:ind w:hanging="360"/>
        <w:jc w:val="left"/>
        <w:rPr>
          <w:rFonts w:eastAsia="Calibri" w:cs="Times New Roman"/>
        </w:rPr>
      </w:pPr>
      <w:r w:rsidRPr="00F93278">
        <w:rPr>
          <w:rFonts w:eastAsia="Calibri" w:cs="Times New Roman"/>
        </w:rPr>
        <w:t>Have PFD representative review commercial tenant improvement applications.</w:t>
      </w:r>
    </w:p>
    <w:p w14:paraId="30E2DA53" w14:textId="77777777" w:rsidR="00F93278" w:rsidRPr="00F93278" w:rsidRDefault="00F93278" w:rsidP="001236B6">
      <w:pPr>
        <w:numPr>
          <w:ilvl w:val="0"/>
          <w:numId w:val="39"/>
        </w:numPr>
        <w:adjustRightInd w:val="0"/>
        <w:spacing w:after="120" w:line="240" w:lineRule="auto"/>
        <w:ind w:hanging="360"/>
        <w:jc w:val="left"/>
        <w:rPr>
          <w:rFonts w:eastAsia="Calibri" w:cs="Times New Roman"/>
        </w:rPr>
      </w:pPr>
      <w:r w:rsidRPr="00F93278">
        <w:rPr>
          <w:rFonts w:eastAsia="Calibri" w:cs="Times New Roman"/>
        </w:rPr>
        <w:t>On-duty personnel tour larger building projects during the construction phase.</w:t>
      </w:r>
    </w:p>
    <w:p w14:paraId="09DE6631" w14:textId="77777777" w:rsidR="00F93278" w:rsidRPr="00F93278" w:rsidRDefault="00F93278" w:rsidP="001236B6">
      <w:pPr>
        <w:numPr>
          <w:ilvl w:val="0"/>
          <w:numId w:val="39"/>
        </w:numPr>
        <w:adjustRightInd w:val="0"/>
        <w:spacing w:after="120" w:line="240" w:lineRule="auto"/>
        <w:ind w:hanging="360"/>
        <w:jc w:val="left"/>
        <w:rPr>
          <w:rFonts w:eastAsia="Calibri" w:cs="Times New Roman"/>
        </w:rPr>
      </w:pPr>
      <w:r w:rsidRPr="00F93278">
        <w:rPr>
          <w:rFonts w:eastAsia="Cambria" w:cs="Calibri"/>
        </w:rPr>
        <w:t>Distribute a summary of active construction projects to PFD personnel.</w:t>
      </w:r>
    </w:p>
    <w:p w14:paraId="34031695" w14:textId="77777777" w:rsidR="00F93278" w:rsidRPr="00F93278" w:rsidRDefault="00F93278" w:rsidP="001236B6">
      <w:pPr>
        <w:numPr>
          <w:ilvl w:val="0"/>
          <w:numId w:val="39"/>
        </w:numPr>
        <w:adjustRightInd w:val="0"/>
        <w:spacing w:after="120" w:line="240" w:lineRule="auto"/>
        <w:ind w:hanging="360"/>
        <w:jc w:val="left"/>
        <w:rPr>
          <w:rFonts w:eastAsia="Calibri" w:cs="Times New Roman"/>
        </w:rPr>
      </w:pPr>
      <w:r w:rsidRPr="00F93278">
        <w:rPr>
          <w:rFonts w:eastAsia="Calibri" w:cs="Times New Roman"/>
        </w:rPr>
        <w:t>Deploy a shared agency staffed PAU during times of greatest EMS service demand.</w:t>
      </w:r>
    </w:p>
    <w:p w14:paraId="75860F1E" w14:textId="77777777" w:rsidR="00F93278" w:rsidRPr="00F93278" w:rsidRDefault="00F93278" w:rsidP="001236B6">
      <w:pPr>
        <w:numPr>
          <w:ilvl w:val="0"/>
          <w:numId w:val="39"/>
        </w:numPr>
        <w:adjustRightInd w:val="0"/>
        <w:spacing w:after="120" w:line="240" w:lineRule="auto"/>
        <w:ind w:hanging="360"/>
        <w:jc w:val="left"/>
        <w:rPr>
          <w:rFonts w:eastAsia="Calibri" w:cs="Times New Roman"/>
        </w:rPr>
      </w:pPr>
      <w:r w:rsidRPr="00F93278">
        <w:rPr>
          <w:rFonts w:eastAsia="Calibri" w:cs="Times New Roman"/>
        </w:rPr>
        <w:t>Consider alternative deployment options as demands for service increase, including a shared agency ARU.</w:t>
      </w:r>
    </w:p>
    <w:p w14:paraId="32FEEC8F" w14:textId="77777777" w:rsidR="00F93278" w:rsidRPr="00F93278" w:rsidRDefault="00F93278" w:rsidP="001236B6">
      <w:pPr>
        <w:numPr>
          <w:ilvl w:val="0"/>
          <w:numId w:val="39"/>
        </w:numPr>
        <w:adjustRightInd w:val="0"/>
        <w:spacing w:after="120" w:line="240" w:lineRule="auto"/>
        <w:ind w:hanging="360"/>
        <w:jc w:val="left"/>
        <w:rPr>
          <w:rFonts w:eastAsia="Calibri" w:cs="Times New Roman"/>
        </w:rPr>
      </w:pPr>
      <w:r w:rsidRPr="00F93278">
        <w:rPr>
          <w:rFonts w:eastAsia="Calibri" w:cs="Times New Roman"/>
        </w:rPr>
        <w:t>Deploy a Smartphone app to notify CPR-trained citizens of a Sudden Cardiac Arrest.</w:t>
      </w:r>
    </w:p>
    <w:p w14:paraId="78C5EAC2" w14:textId="77777777" w:rsidR="00F93278" w:rsidRPr="00F93278" w:rsidRDefault="00F93278" w:rsidP="001236B6">
      <w:pPr>
        <w:numPr>
          <w:ilvl w:val="0"/>
          <w:numId w:val="39"/>
        </w:numPr>
        <w:adjustRightInd w:val="0"/>
        <w:spacing w:after="120" w:line="240" w:lineRule="auto"/>
        <w:ind w:hanging="360"/>
        <w:jc w:val="left"/>
        <w:rPr>
          <w:rFonts w:eastAsia="Calibri" w:cs="Times New Roman"/>
        </w:rPr>
      </w:pPr>
      <w:r w:rsidRPr="00F93278">
        <w:rPr>
          <w:rFonts w:eastAsia="Calibri" w:cs="Times New Roman"/>
        </w:rPr>
        <w:t>Construct or acquire access to a centrally located fire-training center.</w:t>
      </w:r>
    </w:p>
    <w:p w14:paraId="5BCC1940" w14:textId="77777777" w:rsidR="00F93278" w:rsidRPr="00F93278" w:rsidRDefault="00F93278" w:rsidP="001236B6">
      <w:pPr>
        <w:numPr>
          <w:ilvl w:val="0"/>
          <w:numId w:val="39"/>
        </w:numPr>
        <w:adjustRightInd w:val="0"/>
        <w:spacing w:after="120" w:line="240" w:lineRule="auto"/>
        <w:ind w:hanging="360"/>
        <w:jc w:val="left"/>
        <w:rPr>
          <w:rFonts w:eastAsia="Calibri" w:cs="Times New Roman"/>
        </w:rPr>
      </w:pPr>
      <w:r w:rsidRPr="00F93278">
        <w:rPr>
          <w:rFonts w:eastAsia="Calibri" w:cs="Times New Roman"/>
        </w:rPr>
        <w:t>Involve on-duty suppression crews in fire and life safety inspections.</w:t>
      </w:r>
    </w:p>
    <w:p w14:paraId="3FF180FF" w14:textId="77777777" w:rsidR="00F93278" w:rsidRPr="00F93278" w:rsidRDefault="00F93278" w:rsidP="001236B6">
      <w:pPr>
        <w:numPr>
          <w:ilvl w:val="0"/>
          <w:numId w:val="39"/>
        </w:numPr>
        <w:adjustRightInd w:val="0"/>
        <w:spacing w:after="120" w:line="240" w:lineRule="auto"/>
        <w:ind w:hanging="360"/>
        <w:jc w:val="left"/>
        <w:rPr>
          <w:rFonts w:eastAsia="Calibri" w:cs="Times New Roman"/>
        </w:rPr>
      </w:pPr>
      <w:r w:rsidRPr="00F93278">
        <w:rPr>
          <w:rFonts w:eastAsia="Calibri" w:cs="Times New Roman"/>
        </w:rPr>
        <w:t>Complete formalization of the fire investigation and incident analysis process.</w:t>
      </w:r>
    </w:p>
    <w:p w14:paraId="2EEE7AD3" w14:textId="77777777" w:rsidR="00F93278" w:rsidRPr="00F93278" w:rsidRDefault="00F93278" w:rsidP="001236B6">
      <w:pPr>
        <w:numPr>
          <w:ilvl w:val="0"/>
          <w:numId w:val="39"/>
        </w:numPr>
        <w:adjustRightInd w:val="0"/>
        <w:spacing w:after="120" w:line="240" w:lineRule="auto"/>
        <w:ind w:hanging="360"/>
        <w:jc w:val="left"/>
        <w:rPr>
          <w:rFonts w:eastAsia="Calibri" w:cs="Times New Roman"/>
        </w:rPr>
      </w:pPr>
      <w:r w:rsidRPr="00F93278">
        <w:rPr>
          <w:rFonts w:eastAsia="Calibri" w:cs="Times New Roman"/>
        </w:rPr>
        <w:t>Address the following capital facilities issues:</w:t>
      </w:r>
    </w:p>
    <w:p w14:paraId="0DEAAF5F" w14:textId="77777777" w:rsidR="00F93278" w:rsidRPr="00F93278" w:rsidRDefault="00F93278" w:rsidP="00F93278">
      <w:pPr>
        <w:spacing w:after="0" w:line="240" w:lineRule="auto"/>
        <w:ind w:left="360"/>
        <w:jc w:val="left"/>
        <w:rPr>
          <w:rFonts w:eastAsia="Cambria" w:cs="Arial"/>
          <w:i/>
          <w:u w:val="single"/>
        </w:rPr>
      </w:pPr>
      <w:r w:rsidRPr="00F93278">
        <w:rPr>
          <w:rFonts w:eastAsia="Cambria" w:cs="Arial"/>
          <w:i/>
          <w:u w:val="single"/>
        </w:rPr>
        <w:t>Station 81</w:t>
      </w:r>
    </w:p>
    <w:p w14:paraId="7F568442" w14:textId="77777777" w:rsidR="00F93278" w:rsidRPr="00F93278" w:rsidRDefault="00F93278" w:rsidP="001236B6">
      <w:pPr>
        <w:numPr>
          <w:ilvl w:val="0"/>
          <w:numId w:val="25"/>
        </w:numPr>
        <w:spacing w:after="0" w:line="240" w:lineRule="auto"/>
        <w:jc w:val="left"/>
        <w:rPr>
          <w:rFonts w:eastAsia="Cambria" w:cs="Arial"/>
        </w:rPr>
      </w:pPr>
      <w:r w:rsidRPr="00F93278">
        <w:rPr>
          <w:rFonts w:eastAsia="Cambria" w:cs="Calibri"/>
        </w:rPr>
        <w:t xml:space="preserve">Relocate the administrative offices out of Station 81. </w:t>
      </w:r>
    </w:p>
    <w:p w14:paraId="351CD362" w14:textId="77777777" w:rsidR="00F93278" w:rsidRPr="00F93278" w:rsidRDefault="00F93278" w:rsidP="007705AA">
      <w:pPr>
        <w:numPr>
          <w:ilvl w:val="1"/>
          <w:numId w:val="25"/>
        </w:numPr>
        <w:spacing w:after="0" w:line="240" w:lineRule="auto"/>
        <w:ind w:left="1080"/>
        <w:jc w:val="left"/>
        <w:rPr>
          <w:rFonts w:eastAsia="Cambria" w:cs="Arial"/>
        </w:rPr>
      </w:pPr>
      <w:r w:rsidRPr="00F93278">
        <w:rPr>
          <w:rFonts w:eastAsia="Cambria" w:cs="Calibri"/>
        </w:rPr>
        <w:t>Consider collocating the administration with a new fire station designed to accommodate both a functioning fire station and the administrative offices.</w:t>
      </w:r>
    </w:p>
    <w:p w14:paraId="2DE636BC" w14:textId="77777777" w:rsidR="00F93278" w:rsidRPr="00F93278" w:rsidRDefault="00F93278" w:rsidP="001236B6">
      <w:pPr>
        <w:numPr>
          <w:ilvl w:val="0"/>
          <w:numId w:val="25"/>
        </w:numPr>
        <w:spacing w:after="0" w:line="240" w:lineRule="auto"/>
        <w:jc w:val="left"/>
        <w:rPr>
          <w:rFonts w:eastAsia="Cambria" w:cs="Arial"/>
        </w:rPr>
      </w:pPr>
      <w:r w:rsidRPr="00F93278">
        <w:rPr>
          <w:rFonts w:eastAsia="Cambria" w:cs="Calibri"/>
        </w:rPr>
        <w:t>Remodel Station 81 to convert the existing administrative offices into a training room.</w:t>
      </w:r>
    </w:p>
    <w:p w14:paraId="59BDC169" w14:textId="77777777" w:rsidR="00F93278" w:rsidRPr="00F93278" w:rsidRDefault="00F93278" w:rsidP="001236B6">
      <w:pPr>
        <w:spacing w:before="120" w:after="0" w:line="240" w:lineRule="auto"/>
        <w:ind w:left="360"/>
        <w:jc w:val="left"/>
        <w:rPr>
          <w:rFonts w:eastAsia="Cambria" w:cs="Arial"/>
          <w:i/>
          <w:u w:val="single"/>
        </w:rPr>
      </w:pPr>
      <w:r w:rsidRPr="00F93278">
        <w:rPr>
          <w:rFonts w:eastAsia="Cambria" w:cs="Arial"/>
          <w:i/>
          <w:u w:val="single"/>
        </w:rPr>
        <w:t>Station 82</w:t>
      </w:r>
    </w:p>
    <w:p w14:paraId="66B7C13E" w14:textId="77777777" w:rsidR="004C07AB" w:rsidRDefault="004C07AB" w:rsidP="004C07AB">
      <w:pPr>
        <w:pStyle w:val="ListParagraph"/>
        <w:numPr>
          <w:ilvl w:val="0"/>
          <w:numId w:val="32"/>
        </w:numPr>
        <w:spacing w:after="0" w:line="240" w:lineRule="auto"/>
        <w:jc w:val="left"/>
        <w:rPr>
          <w:rFonts w:asciiTheme="majorHAnsi" w:hAnsiTheme="majorHAnsi" w:cs="Arial"/>
        </w:rPr>
      </w:pPr>
      <w:r>
        <w:rPr>
          <w:rFonts w:asciiTheme="majorHAnsi" w:hAnsiTheme="majorHAnsi" w:cs="Arial"/>
        </w:rPr>
        <w:t>Evaluate exterior wall cracks to determine potential settling issues.</w:t>
      </w:r>
    </w:p>
    <w:p w14:paraId="327D4D34" w14:textId="77777777" w:rsidR="004C07AB" w:rsidRDefault="004C07AB" w:rsidP="004C07AB">
      <w:pPr>
        <w:pStyle w:val="ListParagraph"/>
        <w:numPr>
          <w:ilvl w:val="0"/>
          <w:numId w:val="32"/>
        </w:numPr>
        <w:spacing w:after="0" w:line="240" w:lineRule="auto"/>
        <w:jc w:val="left"/>
        <w:rPr>
          <w:rFonts w:asciiTheme="majorHAnsi" w:hAnsiTheme="majorHAnsi" w:cs="Arial"/>
        </w:rPr>
      </w:pPr>
      <w:r>
        <w:rPr>
          <w:rFonts w:asciiTheme="majorHAnsi" w:hAnsiTheme="majorHAnsi" w:cs="Arial"/>
        </w:rPr>
        <w:t>Interior dividing wall in apparatus bay impedes rapid turnout by crews.  Breaching this wall to facilitate rapid turnout should be explored.</w:t>
      </w:r>
    </w:p>
    <w:p w14:paraId="0C078A07" w14:textId="77777777" w:rsidR="004C07AB" w:rsidRDefault="004C07AB" w:rsidP="004C07AB">
      <w:pPr>
        <w:pStyle w:val="ListParagraph"/>
        <w:numPr>
          <w:ilvl w:val="0"/>
          <w:numId w:val="32"/>
        </w:numPr>
        <w:spacing w:after="0" w:line="240" w:lineRule="auto"/>
        <w:jc w:val="left"/>
        <w:rPr>
          <w:rFonts w:asciiTheme="majorHAnsi" w:hAnsiTheme="majorHAnsi" w:cs="Arial"/>
        </w:rPr>
      </w:pPr>
      <w:r>
        <w:rPr>
          <w:rFonts w:asciiTheme="majorHAnsi" w:hAnsiTheme="majorHAnsi" w:cs="Arial"/>
        </w:rPr>
        <w:t>Complete the installation of the a</w:t>
      </w:r>
      <w:r w:rsidRPr="00C56CE7">
        <w:rPr>
          <w:rFonts w:asciiTheme="majorHAnsi" w:hAnsiTheme="majorHAnsi" w:cs="Arial"/>
        </w:rPr>
        <w:t>pparatus exhaust system</w:t>
      </w:r>
      <w:r>
        <w:rPr>
          <w:rFonts w:asciiTheme="majorHAnsi" w:hAnsiTheme="majorHAnsi" w:cs="Arial"/>
        </w:rPr>
        <w:t xml:space="preserve"> slated for 2017.</w:t>
      </w:r>
    </w:p>
    <w:p w14:paraId="1846E29F" w14:textId="77777777" w:rsidR="004C07AB" w:rsidRDefault="004C07AB" w:rsidP="004C07AB">
      <w:pPr>
        <w:pStyle w:val="ListParagraph"/>
        <w:numPr>
          <w:ilvl w:val="0"/>
          <w:numId w:val="32"/>
        </w:numPr>
        <w:spacing w:after="0" w:line="240" w:lineRule="auto"/>
        <w:jc w:val="left"/>
        <w:rPr>
          <w:rFonts w:asciiTheme="majorHAnsi" w:hAnsiTheme="majorHAnsi" w:cs="Arial"/>
        </w:rPr>
      </w:pPr>
      <w:r>
        <w:rPr>
          <w:rFonts w:asciiTheme="majorHAnsi" w:hAnsiTheme="majorHAnsi" w:cs="Arial"/>
        </w:rPr>
        <w:t>Focus on facility security as required by FAA regulations.</w:t>
      </w:r>
    </w:p>
    <w:p w14:paraId="4B79F075" w14:textId="77777777" w:rsidR="00F93278" w:rsidRPr="00F93278" w:rsidRDefault="00F93278" w:rsidP="001236B6">
      <w:pPr>
        <w:keepNext/>
        <w:spacing w:before="120" w:after="0" w:line="240" w:lineRule="auto"/>
        <w:ind w:left="360"/>
        <w:jc w:val="left"/>
        <w:rPr>
          <w:rFonts w:eastAsia="Cambria" w:cs="Arial"/>
          <w:i/>
          <w:u w:val="single"/>
        </w:rPr>
      </w:pPr>
      <w:r w:rsidRPr="00F93278">
        <w:rPr>
          <w:rFonts w:eastAsia="Cambria" w:cs="Arial"/>
          <w:i/>
          <w:u w:val="single"/>
        </w:rPr>
        <w:t>Station 83</w:t>
      </w:r>
    </w:p>
    <w:p w14:paraId="3912F94D" w14:textId="77777777" w:rsidR="004C07AB" w:rsidRPr="004C07AB" w:rsidRDefault="004C07AB" w:rsidP="004C07AB">
      <w:pPr>
        <w:pStyle w:val="ListParagraph"/>
        <w:numPr>
          <w:ilvl w:val="0"/>
          <w:numId w:val="33"/>
        </w:numPr>
        <w:rPr>
          <w:rFonts w:eastAsia="Cambria" w:cs="Arial"/>
        </w:rPr>
      </w:pPr>
      <w:r w:rsidRPr="004C07AB">
        <w:rPr>
          <w:rFonts w:eastAsia="Cambria" w:cs="Arial"/>
        </w:rPr>
        <w:t>Relocate Station 83 with additional training room and additional living space.</w:t>
      </w:r>
    </w:p>
    <w:p w14:paraId="1615EBF2" w14:textId="77777777" w:rsidR="00F93278" w:rsidRPr="00F93278" w:rsidRDefault="00F93278" w:rsidP="001236B6">
      <w:pPr>
        <w:spacing w:before="120" w:after="0" w:line="240" w:lineRule="auto"/>
        <w:ind w:left="360"/>
        <w:jc w:val="left"/>
        <w:rPr>
          <w:rFonts w:eastAsia="Cambria" w:cs="Arial"/>
          <w:i/>
          <w:u w:val="single"/>
        </w:rPr>
      </w:pPr>
      <w:r w:rsidRPr="00F93278">
        <w:rPr>
          <w:rFonts w:eastAsia="Cambria" w:cs="Arial"/>
          <w:i/>
          <w:u w:val="single"/>
        </w:rPr>
        <w:t>Station 84</w:t>
      </w:r>
    </w:p>
    <w:p w14:paraId="3CE4582B" w14:textId="77777777" w:rsidR="004C07AB" w:rsidRDefault="004C07AB" w:rsidP="004C07AB">
      <w:pPr>
        <w:pStyle w:val="ListParagraph"/>
        <w:numPr>
          <w:ilvl w:val="0"/>
          <w:numId w:val="60"/>
        </w:numPr>
        <w:spacing w:after="0" w:line="240" w:lineRule="auto"/>
        <w:jc w:val="left"/>
        <w:rPr>
          <w:rFonts w:asciiTheme="majorHAnsi" w:hAnsiTheme="majorHAnsi" w:cs="Arial"/>
        </w:rPr>
      </w:pPr>
      <w:r w:rsidRPr="004035AD">
        <w:rPr>
          <w:rFonts w:asciiTheme="majorHAnsi" w:hAnsiTheme="majorHAnsi" w:cs="Arial"/>
        </w:rPr>
        <w:t>Consider temporary use of this facility for deployment of a peak activity unit.</w:t>
      </w:r>
    </w:p>
    <w:p w14:paraId="72589F1F" w14:textId="77777777" w:rsidR="004C07AB" w:rsidRDefault="004C07AB" w:rsidP="0060470A">
      <w:pPr>
        <w:pStyle w:val="ListParagraph"/>
        <w:numPr>
          <w:ilvl w:val="0"/>
          <w:numId w:val="60"/>
        </w:numPr>
        <w:spacing w:after="0" w:line="240" w:lineRule="auto"/>
        <w:jc w:val="left"/>
        <w:rPr>
          <w:rFonts w:asciiTheme="majorHAnsi" w:hAnsiTheme="majorHAnsi" w:cs="Arial"/>
        </w:rPr>
      </w:pPr>
      <w:r>
        <w:rPr>
          <w:rFonts w:asciiTheme="majorHAnsi" w:hAnsiTheme="majorHAnsi" w:cs="Arial"/>
        </w:rPr>
        <w:t xml:space="preserve">Relocate Station 84 as per recommendations in the </w:t>
      </w:r>
      <w:r w:rsidRPr="004C07AB">
        <w:rPr>
          <w:rFonts w:asciiTheme="majorHAnsi" w:hAnsiTheme="majorHAnsi" w:cs="Arial"/>
        </w:rPr>
        <w:t>Service Delivery &amp; Performance</w:t>
      </w:r>
      <w:r>
        <w:rPr>
          <w:rFonts w:asciiTheme="majorHAnsi" w:hAnsiTheme="majorHAnsi" w:cs="Arial"/>
        </w:rPr>
        <w:t xml:space="preserve"> section of this report.</w:t>
      </w:r>
      <w:bookmarkStart w:id="328" w:name="_Toc272921942"/>
      <w:bookmarkStart w:id="329" w:name="_Toc274230752"/>
      <w:bookmarkStart w:id="330" w:name="_Toc364933691"/>
      <w:bookmarkStart w:id="331" w:name="_Toc367260254"/>
      <w:bookmarkStart w:id="332" w:name="_Toc445193564"/>
    </w:p>
    <w:p w14:paraId="365ED02F" w14:textId="41BC5D6B" w:rsidR="00F93278" w:rsidRPr="00F93278" w:rsidRDefault="00F93278" w:rsidP="00B263B4">
      <w:pPr>
        <w:pStyle w:val="Heading3"/>
        <w:rPr>
          <w:rFonts w:eastAsia="Times New Roman"/>
          <w:lang w:val="en-CA"/>
        </w:rPr>
      </w:pPr>
      <w:bookmarkStart w:id="333" w:name="_Toc464323625"/>
      <w:r w:rsidRPr="00F93278">
        <w:rPr>
          <w:rFonts w:eastAsia="Times New Roman"/>
          <w:lang w:val="en-CA"/>
        </w:rPr>
        <w:t>Priority 5 – An Important Thing to Do</w:t>
      </w:r>
      <w:bookmarkEnd w:id="328"/>
      <w:bookmarkEnd w:id="329"/>
      <w:bookmarkEnd w:id="330"/>
      <w:bookmarkEnd w:id="331"/>
      <w:bookmarkEnd w:id="332"/>
      <w:bookmarkEnd w:id="333"/>
    </w:p>
    <w:p w14:paraId="6E6563D4" w14:textId="77777777" w:rsidR="00F93278" w:rsidRPr="00F93278" w:rsidRDefault="00F93278" w:rsidP="00B26FE8">
      <w:pPr>
        <w:numPr>
          <w:ilvl w:val="0"/>
          <w:numId w:val="62"/>
        </w:numPr>
        <w:adjustRightInd w:val="0"/>
        <w:spacing w:after="120" w:line="240" w:lineRule="auto"/>
        <w:jc w:val="left"/>
        <w:rPr>
          <w:rFonts w:eastAsia="Cambria" w:cs="Calibri"/>
          <w:szCs w:val="20"/>
          <w:lang w:eastAsia="en-US"/>
        </w:rPr>
      </w:pPr>
      <w:r w:rsidRPr="00F93278">
        <w:rPr>
          <w:rFonts w:eastAsia="Cambria" w:cs="Calibri"/>
          <w:szCs w:val="20"/>
          <w:lang w:eastAsia="en-US"/>
        </w:rPr>
        <w:t>Consider conducting a strategic plan at the conclusion of the master planning process.</w:t>
      </w:r>
    </w:p>
    <w:p w14:paraId="42B3A42B" w14:textId="77777777" w:rsidR="00F93278" w:rsidRPr="00F93278" w:rsidRDefault="00F93278" w:rsidP="00B26FE8">
      <w:pPr>
        <w:numPr>
          <w:ilvl w:val="0"/>
          <w:numId w:val="62"/>
        </w:numPr>
        <w:spacing w:after="120" w:line="240" w:lineRule="auto"/>
        <w:jc w:val="left"/>
        <w:rPr>
          <w:rFonts w:eastAsia="Cambria" w:cs="Calibri"/>
          <w:szCs w:val="20"/>
        </w:rPr>
      </w:pPr>
      <w:r w:rsidRPr="00F93278">
        <w:rPr>
          <w:rFonts w:eastAsia="Cambria" w:cs="Calibri"/>
          <w:szCs w:val="20"/>
        </w:rPr>
        <w:t>Review and update all regulatory documents on at least a three-year cycle.</w:t>
      </w:r>
    </w:p>
    <w:p w14:paraId="00ADCBAF" w14:textId="77777777" w:rsidR="00F93278" w:rsidRPr="00F93278" w:rsidRDefault="00F93278" w:rsidP="00B26FE8">
      <w:pPr>
        <w:numPr>
          <w:ilvl w:val="0"/>
          <w:numId w:val="62"/>
        </w:numPr>
        <w:adjustRightInd w:val="0"/>
        <w:spacing w:after="120" w:line="240" w:lineRule="auto"/>
        <w:jc w:val="left"/>
        <w:rPr>
          <w:rFonts w:eastAsia="Cambria" w:cs="Calibri"/>
          <w:szCs w:val="20"/>
        </w:rPr>
      </w:pPr>
      <w:r w:rsidRPr="00F93278">
        <w:rPr>
          <w:rFonts w:eastAsia="Cambria" w:cs="Calibri"/>
          <w:szCs w:val="20"/>
        </w:rPr>
        <w:t>The fire chief’s office should be secured if sensitive files are kept there.</w:t>
      </w:r>
    </w:p>
    <w:p w14:paraId="266BA5AF" w14:textId="77777777" w:rsidR="00F93278" w:rsidRPr="00937782" w:rsidRDefault="00F93278" w:rsidP="00B26FE8">
      <w:pPr>
        <w:numPr>
          <w:ilvl w:val="0"/>
          <w:numId w:val="62"/>
        </w:numPr>
        <w:adjustRightInd w:val="0"/>
        <w:spacing w:after="120" w:line="240" w:lineRule="auto"/>
        <w:jc w:val="left"/>
        <w:rPr>
          <w:rFonts w:eastAsia="Cambria" w:cs="Calibri"/>
          <w:szCs w:val="20"/>
        </w:rPr>
      </w:pPr>
      <w:r w:rsidRPr="00937782">
        <w:rPr>
          <w:rFonts w:eastAsia="Cambria" w:cs="Calibri"/>
          <w:szCs w:val="20"/>
        </w:rPr>
        <w:t>Redesign or relocate the Administrative offices so that they have adequate space and separation from the operations side of the facility.</w:t>
      </w:r>
    </w:p>
    <w:p w14:paraId="0ABFEB64" w14:textId="77777777" w:rsidR="00F93278" w:rsidRPr="00937782" w:rsidRDefault="00F93278" w:rsidP="00B26FE8">
      <w:pPr>
        <w:numPr>
          <w:ilvl w:val="0"/>
          <w:numId w:val="62"/>
        </w:numPr>
        <w:adjustRightInd w:val="0"/>
        <w:spacing w:after="120" w:line="240" w:lineRule="auto"/>
        <w:jc w:val="left"/>
        <w:rPr>
          <w:rFonts w:eastAsia="Cambria" w:cs="Calibri"/>
          <w:szCs w:val="20"/>
        </w:rPr>
      </w:pPr>
      <w:r w:rsidRPr="00937782">
        <w:rPr>
          <w:rFonts w:eastAsia="Cambria" w:cs="Calibri"/>
          <w:szCs w:val="20"/>
        </w:rPr>
        <w:t xml:space="preserve">Develop a plan to assure that all administrative functions have a “back up” provider.  </w:t>
      </w:r>
    </w:p>
    <w:p w14:paraId="08CB5AC5" w14:textId="77777777" w:rsidR="00F93278" w:rsidRPr="00937782" w:rsidRDefault="00F93278" w:rsidP="00B26FE8">
      <w:pPr>
        <w:numPr>
          <w:ilvl w:val="0"/>
          <w:numId w:val="62"/>
        </w:numPr>
        <w:adjustRightInd w:val="0"/>
        <w:spacing w:after="120" w:line="240" w:lineRule="auto"/>
        <w:jc w:val="left"/>
        <w:rPr>
          <w:rFonts w:eastAsia="Cambria" w:cs="Calibri"/>
          <w:szCs w:val="20"/>
        </w:rPr>
      </w:pPr>
      <w:r w:rsidRPr="00937782">
        <w:rPr>
          <w:rFonts w:eastAsia="Cambria" w:cs="Calibri"/>
          <w:szCs w:val="20"/>
        </w:rPr>
        <w:t>Request that the county emergency manager coordinate a Commodity Flow study for Pasco and its surrounding neighbors.</w:t>
      </w:r>
    </w:p>
    <w:p w14:paraId="6F8BF8EC" w14:textId="77777777" w:rsidR="00F93278" w:rsidRPr="00937782" w:rsidRDefault="00F93278" w:rsidP="00B26FE8">
      <w:pPr>
        <w:numPr>
          <w:ilvl w:val="0"/>
          <w:numId w:val="62"/>
        </w:numPr>
        <w:adjustRightInd w:val="0"/>
        <w:spacing w:after="120" w:line="240" w:lineRule="auto"/>
        <w:jc w:val="left"/>
        <w:rPr>
          <w:rFonts w:eastAsia="Cambria" w:cs="Calibri"/>
          <w:szCs w:val="20"/>
        </w:rPr>
      </w:pPr>
      <w:r w:rsidRPr="00937782">
        <w:rPr>
          <w:rFonts w:eastAsia="Cambria" w:cs="Calibri"/>
          <w:szCs w:val="20"/>
        </w:rPr>
        <w:t>Standardize EMS equipment and supply purchases through a group purchasing and distribution system.</w:t>
      </w:r>
    </w:p>
    <w:p w14:paraId="67D95A5C" w14:textId="77777777" w:rsidR="00F93278" w:rsidRPr="00937782" w:rsidRDefault="00F93278" w:rsidP="00B26FE8">
      <w:pPr>
        <w:numPr>
          <w:ilvl w:val="0"/>
          <w:numId w:val="62"/>
        </w:numPr>
        <w:adjustRightInd w:val="0"/>
        <w:spacing w:after="120" w:line="240" w:lineRule="auto"/>
        <w:jc w:val="left"/>
        <w:rPr>
          <w:rFonts w:eastAsia="Cambria" w:cs="Calibri"/>
          <w:szCs w:val="20"/>
        </w:rPr>
      </w:pPr>
      <w:r w:rsidRPr="00937782">
        <w:rPr>
          <w:rFonts w:eastAsia="Cambria" w:cs="Calibri"/>
          <w:szCs w:val="20"/>
        </w:rPr>
        <w:t>Define outcomes for training classes.</w:t>
      </w:r>
    </w:p>
    <w:p w14:paraId="186C7987" w14:textId="6EE648AF" w:rsidR="00F93278" w:rsidRPr="00937782" w:rsidRDefault="00F93278" w:rsidP="00B26FE8">
      <w:pPr>
        <w:numPr>
          <w:ilvl w:val="0"/>
          <w:numId w:val="62"/>
        </w:numPr>
        <w:adjustRightInd w:val="0"/>
        <w:spacing w:after="120" w:line="240" w:lineRule="auto"/>
        <w:jc w:val="left"/>
        <w:rPr>
          <w:rFonts w:eastAsia="Cambria" w:cs="Calibri"/>
          <w:szCs w:val="20"/>
        </w:rPr>
      </w:pPr>
      <w:r w:rsidRPr="00937782">
        <w:rPr>
          <w:rFonts w:eastAsia="Cambria" w:cs="Calibri"/>
          <w:szCs w:val="20"/>
        </w:rPr>
        <w:t>Develop a common training manual for Tri-Cit</w:t>
      </w:r>
      <w:r w:rsidR="00CF7BC2">
        <w:rPr>
          <w:rFonts w:eastAsia="Cambria" w:cs="Calibri"/>
          <w:szCs w:val="20"/>
        </w:rPr>
        <w:t>ies</w:t>
      </w:r>
      <w:r w:rsidRPr="00937782">
        <w:rPr>
          <w:rFonts w:eastAsia="Cambria" w:cs="Calibri"/>
          <w:szCs w:val="20"/>
        </w:rPr>
        <w:t xml:space="preserve"> fire agencies.</w:t>
      </w:r>
    </w:p>
    <w:p w14:paraId="147EFE6C" w14:textId="77777777" w:rsidR="00F93278" w:rsidRPr="00937782" w:rsidRDefault="00F93278" w:rsidP="00B26FE8">
      <w:pPr>
        <w:numPr>
          <w:ilvl w:val="0"/>
          <w:numId w:val="62"/>
        </w:numPr>
        <w:adjustRightInd w:val="0"/>
        <w:spacing w:after="120" w:line="240" w:lineRule="auto"/>
        <w:jc w:val="left"/>
        <w:rPr>
          <w:rFonts w:eastAsia="Cambria" w:cs="Calibri"/>
          <w:szCs w:val="20"/>
        </w:rPr>
      </w:pPr>
      <w:r w:rsidRPr="00937782">
        <w:rPr>
          <w:rFonts w:eastAsia="Cambria" w:cs="Calibri"/>
          <w:szCs w:val="20"/>
        </w:rPr>
        <w:t>Memorialize training manuals and policies with adoption date, scheduled review interval, and authorizing signature of the fire chief.</w:t>
      </w:r>
    </w:p>
    <w:p w14:paraId="66F3288F" w14:textId="77777777" w:rsidR="00F93278" w:rsidRPr="00937782" w:rsidRDefault="00F93278" w:rsidP="00B26FE8">
      <w:pPr>
        <w:numPr>
          <w:ilvl w:val="0"/>
          <w:numId w:val="62"/>
        </w:numPr>
        <w:adjustRightInd w:val="0"/>
        <w:spacing w:after="120" w:line="240" w:lineRule="auto"/>
        <w:jc w:val="left"/>
        <w:rPr>
          <w:rFonts w:eastAsia="Cambria" w:cs="Calibri"/>
          <w:szCs w:val="20"/>
        </w:rPr>
      </w:pPr>
      <w:r w:rsidRPr="00937782">
        <w:rPr>
          <w:rFonts w:eastAsia="Cambria" w:cs="Calibri"/>
          <w:szCs w:val="20"/>
        </w:rPr>
        <w:t>Create a procedure for pre-incident plan development.</w:t>
      </w:r>
    </w:p>
    <w:p w14:paraId="1967E00D" w14:textId="77777777" w:rsidR="00F93278" w:rsidRPr="00937782" w:rsidRDefault="00F93278" w:rsidP="00B26FE8">
      <w:pPr>
        <w:numPr>
          <w:ilvl w:val="0"/>
          <w:numId w:val="62"/>
        </w:numPr>
        <w:adjustRightInd w:val="0"/>
        <w:spacing w:after="120" w:line="240" w:lineRule="auto"/>
        <w:jc w:val="left"/>
        <w:rPr>
          <w:rFonts w:eastAsia="Cambria" w:cs="Calibri"/>
          <w:szCs w:val="20"/>
        </w:rPr>
      </w:pPr>
      <w:r w:rsidRPr="00937782">
        <w:rPr>
          <w:rFonts w:eastAsia="Cambria" w:cs="Calibri"/>
          <w:szCs w:val="20"/>
        </w:rPr>
        <w:t>Set a goal and objectives for completion of pre-incident plans.</w:t>
      </w:r>
    </w:p>
    <w:p w14:paraId="410B0DFE" w14:textId="77777777" w:rsidR="00F93278" w:rsidRPr="00937782" w:rsidRDefault="00F93278" w:rsidP="00B26FE8">
      <w:pPr>
        <w:numPr>
          <w:ilvl w:val="0"/>
          <w:numId w:val="62"/>
        </w:numPr>
        <w:adjustRightInd w:val="0"/>
        <w:spacing w:after="120" w:line="240" w:lineRule="auto"/>
        <w:jc w:val="left"/>
        <w:rPr>
          <w:rFonts w:eastAsia="Cambria" w:cs="Calibri"/>
          <w:szCs w:val="20"/>
        </w:rPr>
      </w:pPr>
      <w:r w:rsidRPr="00937782">
        <w:rPr>
          <w:rFonts w:eastAsia="Cambria" w:cs="Calibri"/>
          <w:szCs w:val="20"/>
        </w:rPr>
        <w:t>Continue developing a complete data base of all “maximum” or “significant” facilities in the PFD service area.</w:t>
      </w:r>
    </w:p>
    <w:p w14:paraId="602496BF" w14:textId="77777777" w:rsidR="00F93278" w:rsidRPr="00937782" w:rsidRDefault="00F93278" w:rsidP="00B26FE8">
      <w:pPr>
        <w:numPr>
          <w:ilvl w:val="0"/>
          <w:numId w:val="62"/>
        </w:numPr>
        <w:adjustRightInd w:val="0"/>
        <w:spacing w:after="120" w:line="240" w:lineRule="auto"/>
        <w:jc w:val="left"/>
        <w:rPr>
          <w:rFonts w:eastAsia="Cambria" w:cs="Calibri"/>
          <w:szCs w:val="20"/>
        </w:rPr>
      </w:pPr>
      <w:r w:rsidRPr="00937782">
        <w:rPr>
          <w:rFonts w:eastAsia="Cambria" w:cs="Calibri"/>
          <w:szCs w:val="20"/>
        </w:rPr>
        <w:t>Identify all non-facility risks (transportation systems and weather extremes) and develop target response plans for the high level risks.</w:t>
      </w:r>
    </w:p>
    <w:p w14:paraId="76B8168B" w14:textId="64389F5F" w:rsidR="00F93278" w:rsidRPr="00937782" w:rsidRDefault="00F93278" w:rsidP="00B26FE8">
      <w:pPr>
        <w:numPr>
          <w:ilvl w:val="0"/>
          <w:numId w:val="62"/>
        </w:numPr>
        <w:adjustRightInd w:val="0"/>
        <w:spacing w:after="120" w:line="240" w:lineRule="auto"/>
        <w:jc w:val="left"/>
        <w:rPr>
          <w:rFonts w:eastAsia="Cambria" w:cs="Calibri"/>
          <w:szCs w:val="20"/>
        </w:rPr>
      </w:pPr>
      <w:r w:rsidRPr="00937782">
        <w:rPr>
          <w:rFonts w:eastAsia="Cambria" w:cs="Calibri"/>
          <w:szCs w:val="20"/>
        </w:rPr>
        <w:t>Develop and publish a Pasco Fire Department-specific Standards of Cover.</w:t>
      </w:r>
    </w:p>
    <w:p w14:paraId="6B46FA51" w14:textId="6751C8D0" w:rsidR="00937782" w:rsidRPr="00937782" w:rsidRDefault="00937782" w:rsidP="00B26FE8">
      <w:pPr>
        <w:numPr>
          <w:ilvl w:val="0"/>
          <w:numId w:val="62"/>
        </w:numPr>
        <w:adjustRightInd w:val="0"/>
        <w:spacing w:after="120" w:line="240" w:lineRule="auto"/>
        <w:jc w:val="left"/>
        <w:rPr>
          <w:rFonts w:eastAsia="Cambria" w:cs="Calibri"/>
          <w:szCs w:val="20"/>
        </w:rPr>
      </w:pPr>
      <w:r w:rsidRPr="00937782">
        <w:rPr>
          <w:rFonts w:eastAsia="Cambria" w:cs="Calibri"/>
          <w:szCs w:val="20"/>
        </w:rPr>
        <w:t>Validate and/or develop critical tasking for each response type anticipated</w:t>
      </w:r>
    </w:p>
    <w:p w14:paraId="4FE621DC" w14:textId="0E7A1388" w:rsidR="00355973" w:rsidRPr="005C6861" w:rsidRDefault="005C6861" w:rsidP="00B26FE8">
      <w:pPr>
        <w:numPr>
          <w:ilvl w:val="0"/>
          <w:numId w:val="62"/>
        </w:numPr>
        <w:adjustRightInd w:val="0"/>
        <w:spacing w:after="120" w:line="240" w:lineRule="auto"/>
        <w:jc w:val="left"/>
        <w:rPr>
          <w:rFonts w:eastAsia="Cambria" w:cs="Calibri"/>
          <w:szCs w:val="20"/>
        </w:rPr>
        <w:sectPr w:rsidR="00355973" w:rsidRPr="005C6861" w:rsidSect="00160980">
          <w:type w:val="oddPage"/>
          <w:pgSz w:w="12240" w:h="15840"/>
          <w:pgMar w:top="1440" w:right="1440" w:bottom="1440" w:left="1440" w:header="720" w:footer="720" w:gutter="0"/>
          <w:cols w:space="720"/>
          <w:docGrid w:linePitch="299"/>
        </w:sectPr>
      </w:pPr>
      <w:r w:rsidRPr="005C6861">
        <w:rPr>
          <w:rFonts w:eastAsia="Cambria" w:cs="Calibri"/>
          <w:szCs w:val="20"/>
        </w:rPr>
        <w:t xml:space="preserve">Revisit the practice of a flat rate utility fee structure </w:t>
      </w:r>
      <w:r w:rsidR="006A003C">
        <w:rPr>
          <w:rFonts w:eastAsia="Cambria" w:cs="Calibri"/>
          <w:szCs w:val="20"/>
        </w:rPr>
        <w:t>for</w:t>
      </w:r>
      <w:r w:rsidRPr="005C6861">
        <w:rPr>
          <w:rFonts w:eastAsia="Cambria" w:cs="Calibri"/>
          <w:szCs w:val="20"/>
        </w:rPr>
        <w:t xml:space="preserve"> support for ambulance service.</w:t>
      </w:r>
    </w:p>
    <w:p w14:paraId="3AD7E3E7" w14:textId="464E963B" w:rsidR="008167C0" w:rsidRDefault="008167C0" w:rsidP="000C206E">
      <w:pPr>
        <w:pStyle w:val="Heading2"/>
        <w:rPr>
          <w:rFonts w:cs="Calibri"/>
        </w:rPr>
      </w:pPr>
      <w:bookmarkStart w:id="334" w:name="_Toc464323626"/>
      <w:r w:rsidRPr="008D427A">
        <w:rPr>
          <w:rFonts w:cs="Calibri"/>
        </w:rPr>
        <w:t>Mid-Term Strategies</w:t>
      </w:r>
      <w:bookmarkEnd w:id="272"/>
      <w:bookmarkEnd w:id="334"/>
    </w:p>
    <w:p w14:paraId="0D99D412" w14:textId="718F79CB" w:rsidR="00A775DE" w:rsidRDefault="003E7149" w:rsidP="00A775DE">
      <w:r>
        <w:t>The short</w:t>
      </w:r>
      <w:r w:rsidR="00355973">
        <w:t>-</w:t>
      </w:r>
      <w:r>
        <w:t>term strategies are a compilation of the various recommendations include</w:t>
      </w:r>
      <w:r w:rsidR="00355973">
        <w:t>d in this report which address</w:t>
      </w:r>
      <w:r>
        <w:t xml:space="preserve"> efficiencies and effectiveness as the agency currently exists.  The mid-term strategies are progressive enhancements of the current conditions and net i</w:t>
      </w:r>
      <w:r w:rsidR="00821F54">
        <w:t>mprovements to</w:t>
      </w:r>
      <w:r>
        <w:t xml:space="preserve"> the status quo.  </w:t>
      </w:r>
      <w:r w:rsidR="00821F54">
        <w:t>They will likely require policy consideration and budget allocation.</w:t>
      </w:r>
    </w:p>
    <w:p w14:paraId="52A9B30B" w14:textId="77777777" w:rsidR="00821F54" w:rsidRPr="00821F54" w:rsidRDefault="00821F54" w:rsidP="00821F54">
      <w:pPr>
        <w:pStyle w:val="Heading3"/>
        <w:rPr>
          <w:rFonts w:eastAsia="Calibri"/>
        </w:rPr>
      </w:pPr>
      <w:bookmarkStart w:id="335" w:name="_Toc464323627"/>
      <w:r w:rsidRPr="00821F54">
        <w:rPr>
          <w:rFonts w:eastAsia="Calibri"/>
        </w:rPr>
        <w:t>Training Center/Training Manual</w:t>
      </w:r>
      <w:bookmarkEnd w:id="335"/>
    </w:p>
    <w:p w14:paraId="53469239" w14:textId="7539C64E" w:rsidR="00821F54" w:rsidRDefault="00821F54" w:rsidP="00821F54">
      <w:r>
        <w:t>Fire department trainers use manuals based on national, state, and local standards as a resource to develop lesson plans for didactic and hands on skills training.  Training sessions provide firefighters with the knowledge, skills, and abilities to perform in emergency and non-emergency situations in an effective, efficient, and safe method.  Currently, the Tri-Cit</w:t>
      </w:r>
      <w:r w:rsidR="00CF7BC2">
        <w:t>ies</w:t>
      </w:r>
      <w:r>
        <w:t xml:space="preserve"> fire departments are in the infancy stages of developing a training manual for adoption by all of the agencies.  ESCI recommends that there be a single training manual for all fire agencies in Benton and Franklin counties.  Care should be exercised to prevent the development process from being drawn out or languishing on the back burner.  To expedite the process, ESCI recommends that material from accredited existing model training manuals, hose evolutions, and standard operating guidelines, with modifications for local conditions, be adopted.</w:t>
      </w:r>
    </w:p>
    <w:p w14:paraId="55647DC1" w14:textId="47922A82" w:rsidR="00821F54" w:rsidRDefault="00821F54" w:rsidP="00821F54">
      <w:r>
        <w:t xml:space="preserve">Until the most recent effort, fire departments in the two counties unilaterally selected training manuals from a variety of options or developed their own.  Not surprisingly, training efforts and on-scene performance varied in the region.  The creation and application of a single standardized training manual will provide for a more consistent training, better on-scene coordination, and improved firefighter safety.  With firefighters of Benton and Franklin </w:t>
      </w:r>
      <w:r w:rsidR="00355973">
        <w:t xml:space="preserve">County </w:t>
      </w:r>
      <w:r>
        <w:t xml:space="preserve">fire departments trained in the same techniques, responders to emergency incidents can have the confidence that they will be prepared to work effectively as a team.  In all likelihood, this will improve the willingness of firefighters from the various fire departments to work together as a coordinated workforce.  </w:t>
      </w:r>
    </w:p>
    <w:p w14:paraId="0B394848" w14:textId="70729CFA" w:rsidR="00821F54" w:rsidRDefault="00821F54" w:rsidP="00821F54">
      <w:r>
        <w:t>In conjunction with a shared training manual, ESCI recommends that PFD and its neighboring fire departments develop and adopt common training standards.  Training standards provide the benchmark used in training.  They are used to define and specify the quantity and quality of training for achieving levels of competency and certification.  Certain standards are mandated by governing or regulating agencies such as the Washington State Patrol, Fire Protection Bureau.  Others are industry standards developed by organizations like the National Fire Protection Association (NFPA) and International Fire Service Training Association (IFSTA).  Additional options involve the development of standards locally or the use of private vendors.  Private vendors can provide standards and certifications which are often applicable to specialized training.</w:t>
      </w:r>
    </w:p>
    <w:p w14:paraId="2F96AC9A" w14:textId="77777777" w:rsidR="00821F54" w:rsidRDefault="00821F54" w:rsidP="00821F54">
      <w:r>
        <w:t xml:space="preserve">While classroom instruction is a component of preparing emergency responders with knowledge, a training facility is the other indispensable element.  Training facilities offer a controlled and safe environment where simulations can develop and test the skill sets of emergency workers.  Training involves individual, company, and multi company skills development in evolutions, the operation of firefighting equipment and apparatus. </w:t>
      </w:r>
    </w:p>
    <w:p w14:paraId="42685D7F" w14:textId="543AE8D0" w:rsidR="00821F54" w:rsidRDefault="00821F54" w:rsidP="00821F54">
      <w:r>
        <w:t>Proficient emergency responders have confidence in their own abilities in handling the emergency events that they encounter.  Best practices suggest that emergency workers have regular access to training grounds for repetitive drills and to develop new skills.  Active, regular manipulative training has been identified as a vital part of a fire department</w:t>
      </w:r>
      <w:r w:rsidR="00355973">
        <w:t>’</w:t>
      </w:r>
      <w:r>
        <w:t xml:space="preserve">s safety and accident program.  </w:t>
      </w:r>
    </w:p>
    <w:p w14:paraId="38D7AAE7" w14:textId="09066626" w:rsidR="00821F54" w:rsidRDefault="00821F54" w:rsidP="00821F54">
      <w:r>
        <w:t xml:space="preserve">Heretofore, PFD has contracted with WWCFD #5 for use of the training center in Burbank and has been granted rights to use the City of Kennewick’s training facilities.  This arrangement has resulted in </w:t>
      </w:r>
      <w:r w:rsidR="00355973">
        <w:t xml:space="preserve">a less than </w:t>
      </w:r>
      <w:r>
        <w:t xml:space="preserve">satisfactory situation.  The use of these facilities has constraints and limitations with PFD having zero ownership or buy-in.  Without a cooperative effort, PFD has used whatever space is available for apparatus operator skills training, practicing hose evolutions, and other manipulative undertakings.  </w:t>
      </w:r>
    </w:p>
    <w:p w14:paraId="47088510" w14:textId="344FA221" w:rsidR="00821F54" w:rsidRDefault="00821F54" w:rsidP="00821F54">
      <w:r>
        <w:t xml:space="preserve">ESCI recommends that at a minimum the three municipal fire departments cooperate on fire training facilities.  Ideally a cooperative venture would involve all Benton and Franklin County emergency service providers.  It is financially unrealistic to expect that every fire department in the </w:t>
      </w:r>
      <w:r w:rsidR="00355973">
        <w:t>area</w:t>
      </w:r>
      <w:r>
        <w:t xml:space="preserve"> build and maintain an independent training facility.  Cooperating on facilities that meet the needs of all of the fire departments needs is prudent.  For a cooperative venture to be successful there has to be a contribution made by all participants that indicates a level of ownership.  Contributions can take many forms.  One fire department might provide instructors, another finances, it might come as an in-kind contribution of apparatus or equipment, station coverage, or from existing training facilities.  </w:t>
      </w:r>
    </w:p>
    <w:p w14:paraId="15DBBCF5" w14:textId="23BD72EE" w:rsidR="00821F54" w:rsidRPr="00821F54" w:rsidRDefault="00821F54" w:rsidP="00821F54">
      <w:pPr>
        <w:pStyle w:val="Heading3"/>
        <w:rPr>
          <w:rFonts w:eastAsia="Calibri"/>
        </w:rPr>
      </w:pPr>
      <w:bookmarkStart w:id="336" w:name="_Toc464323628"/>
      <w:r w:rsidRPr="00821F54">
        <w:rPr>
          <w:rFonts w:eastAsia="Calibri"/>
        </w:rPr>
        <w:t>Shared System Status Manager</w:t>
      </w:r>
      <w:bookmarkEnd w:id="336"/>
      <w:r w:rsidRPr="00821F54">
        <w:rPr>
          <w:rFonts w:eastAsia="Calibri"/>
        </w:rPr>
        <w:t xml:space="preserve"> </w:t>
      </w:r>
    </w:p>
    <w:p w14:paraId="29ECD2A8" w14:textId="1817A68F" w:rsidR="00821F54" w:rsidRPr="00821F54" w:rsidRDefault="00821F54" w:rsidP="00821F54">
      <w:pPr>
        <w:spacing w:after="120"/>
        <w:rPr>
          <w:rFonts w:eastAsia="Cambria" w:cs="Times New Roman"/>
          <w:color w:val="000000"/>
          <w:szCs w:val="20"/>
        </w:rPr>
      </w:pPr>
      <w:r w:rsidRPr="00821F54">
        <w:rPr>
          <w:rFonts w:eastAsia="Cambria" w:cs="Times New Roman"/>
          <w:color w:val="000000"/>
          <w:szCs w:val="20"/>
        </w:rPr>
        <w:t>The Tri-Cit</w:t>
      </w:r>
      <w:r w:rsidR="00CF7BC2">
        <w:rPr>
          <w:rFonts w:eastAsia="Cambria" w:cs="Times New Roman"/>
          <w:color w:val="000000"/>
          <w:szCs w:val="20"/>
        </w:rPr>
        <w:t>ies</w:t>
      </w:r>
      <w:r w:rsidRPr="00821F54">
        <w:rPr>
          <w:rFonts w:eastAsia="Cambria" w:cs="Times New Roman"/>
          <w:color w:val="000000"/>
          <w:szCs w:val="20"/>
        </w:rPr>
        <w:t xml:space="preserve"> fire departments have cooperated with each other on various EMS functions.  They share joint protocols, a shared EMS Medical Program Director, and EMS training activities are all uniform to the fire departments in Franklin and Benton counties.  Coordination of emergency medical services is via the Mid-Columbia (Benton/Franklin) EMS and Trauma Care Council.  It is fitting that each of the three cities has supervisors with responsibility for all daily events of their respective fire departments.  Each of the fire departments has a medical officer to coordinate EMS functions for their organization.  With EMS being the single most frequent service delivered, it is in the best interest of the fire departments to have an individual to manage EMS resources</w:t>
      </w:r>
      <w:r w:rsidR="00DC22F4">
        <w:rPr>
          <w:rFonts w:eastAsia="Cambria" w:cs="Times New Roman"/>
          <w:color w:val="000000"/>
          <w:szCs w:val="20"/>
        </w:rPr>
        <w:t xml:space="preserve"> without regard to boundary</w:t>
      </w:r>
      <w:r w:rsidRPr="00821F54">
        <w:rPr>
          <w:rFonts w:eastAsia="Cambria" w:cs="Times New Roman"/>
          <w:color w:val="000000"/>
          <w:szCs w:val="20"/>
        </w:rPr>
        <w:t>.  While it would be fiscally unfeasible for each fire department to employ a 24-hour EMS supervisor (System Status Manager), it is practical for them to collectively employ personnel for this function.</w:t>
      </w:r>
    </w:p>
    <w:p w14:paraId="7D5A2DBA" w14:textId="02ED363A" w:rsidR="00821F54" w:rsidRPr="00821F54" w:rsidRDefault="00821F54" w:rsidP="00821F54">
      <w:pPr>
        <w:spacing w:after="120"/>
        <w:rPr>
          <w:rFonts w:eastAsia="Cambria" w:cs="Times New Roman"/>
          <w:color w:val="000000"/>
          <w:szCs w:val="20"/>
        </w:rPr>
      </w:pPr>
      <w:r w:rsidRPr="00821F54">
        <w:rPr>
          <w:rFonts w:eastAsia="Cambria" w:cs="Times New Roman"/>
          <w:color w:val="000000"/>
          <w:szCs w:val="20"/>
        </w:rPr>
        <w:t>EMS supervisors use advanced paramedic training and leadership skills to oversee paramedics, monitor and coordinate resources, provide supervision and on-scene management at EMS incidents, while maintaining a safe working environment.  Supervisors inspect emergency vehicles and make sure that all equipment complies with rules, ordinances and regulations, as well as ensure that workers are following department policies and applicable laws.  They assist the Medical Program Director with personnel training and develop work improvement plans.  They also monitor workers, resolve problems</w:t>
      </w:r>
      <w:r w:rsidR="007B471E">
        <w:rPr>
          <w:rFonts w:eastAsia="Cambria" w:cs="Times New Roman"/>
          <w:color w:val="000000"/>
          <w:szCs w:val="20"/>
        </w:rPr>
        <w:t>,</w:t>
      </w:r>
      <w:r w:rsidRPr="00821F54">
        <w:rPr>
          <w:rFonts w:eastAsia="Cambria" w:cs="Times New Roman"/>
          <w:color w:val="000000"/>
          <w:szCs w:val="20"/>
        </w:rPr>
        <w:t xml:space="preserve"> and document grievances and disciplinary actions.  </w:t>
      </w:r>
    </w:p>
    <w:p w14:paraId="07992957" w14:textId="46B64711" w:rsidR="00821F54" w:rsidRPr="00821F54" w:rsidRDefault="00821F54" w:rsidP="00821F54">
      <w:pPr>
        <w:spacing w:after="120"/>
        <w:rPr>
          <w:rFonts w:eastAsia="Cambria" w:cs="Times New Roman"/>
          <w:color w:val="000000"/>
          <w:szCs w:val="20"/>
        </w:rPr>
      </w:pPr>
      <w:r w:rsidRPr="00821F54">
        <w:rPr>
          <w:rFonts w:eastAsia="Cambria" w:cs="Times New Roman"/>
          <w:color w:val="000000"/>
          <w:szCs w:val="20"/>
        </w:rPr>
        <w:t>Other duties involve assign</w:t>
      </w:r>
      <w:r w:rsidR="007B471E">
        <w:rPr>
          <w:rFonts w:eastAsia="Cambria" w:cs="Times New Roman"/>
          <w:color w:val="000000"/>
          <w:szCs w:val="20"/>
        </w:rPr>
        <w:t>ing</w:t>
      </w:r>
      <w:r w:rsidRPr="00821F54">
        <w:rPr>
          <w:rFonts w:eastAsia="Cambria" w:cs="Times New Roman"/>
          <w:color w:val="000000"/>
          <w:szCs w:val="20"/>
        </w:rPr>
        <w:t xml:space="preserve"> and distribut</w:t>
      </w:r>
      <w:r w:rsidR="007B471E">
        <w:rPr>
          <w:rFonts w:eastAsia="Cambria" w:cs="Times New Roman"/>
          <w:color w:val="000000"/>
          <w:szCs w:val="20"/>
        </w:rPr>
        <w:t>ing</w:t>
      </w:r>
      <w:r w:rsidRPr="00821F54">
        <w:rPr>
          <w:rFonts w:eastAsia="Cambria" w:cs="Times New Roman"/>
          <w:color w:val="000000"/>
          <w:szCs w:val="20"/>
        </w:rPr>
        <w:t xml:space="preserve"> work, coordinat</w:t>
      </w:r>
      <w:r w:rsidR="007B471E">
        <w:rPr>
          <w:rFonts w:eastAsia="Cambria" w:cs="Times New Roman"/>
          <w:color w:val="000000"/>
          <w:szCs w:val="20"/>
        </w:rPr>
        <w:t>ing</w:t>
      </w:r>
      <w:r w:rsidRPr="00821F54">
        <w:rPr>
          <w:rFonts w:eastAsia="Cambria" w:cs="Times New Roman"/>
          <w:color w:val="000000"/>
          <w:szCs w:val="20"/>
        </w:rPr>
        <w:t xml:space="preserve"> EMS unit deployment, provid</w:t>
      </w:r>
      <w:r w:rsidR="007B471E">
        <w:rPr>
          <w:rFonts w:eastAsia="Cambria" w:cs="Times New Roman"/>
          <w:color w:val="000000"/>
          <w:szCs w:val="20"/>
        </w:rPr>
        <w:t>ing</w:t>
      </w:r>
      <w:r w:rsidRPr="00821F54">
        <w:rPr>
          <w:rFonts w:eastAsia="Cambria" w:cs="Times New Roman"/>
          <w:color w:val="000000"/>
          <w:szCs w:val="20"/>
        </w:rPr>
        <w:t xml:space="preserve"> backup</w:t>
      </w:r>
      <w:r w:rsidR="007B471E">
        <w:rPr>
          <w:rFonts w:eastAsia="Cambria" w:cs="Times New Roman"/>
          <w:color w:val="000000"/>
          <w:szCs w:val="20"/>
        </w:rPr>
        <w:t>,</w:t>
      </w:r>
      <w:r w:rsidRPr="00821F54">
        <w:rPr>
          <w:rFonts w:eastAsia="Cambria" w:cs="Times New Roman"/>
          <w:color w:val="000000"/>
          <w:szCs w:val="20"/>
        </w:rPr>
        <w:t xml:space="preserve"> and promot</w:t>
      </w:r>
      <w:r w:rsidR="007B471E">
        <w:rPr>
          <w:rFonts w:eastAsia="Cambria" w:cs="Times New Roman"/>
          <w:color w:val="000000"/>
          <w:szCs w:val="20"/>
        </w:rPr>
        <w:t>ing</w:t>
      </w:r>
      <w:r w:rsidRPr="00821F54">
        <w:rPr>
          <w:rFonts w:eastAsia="Cambria" w:cs="Times New Roman"/>
          <w:color w:val="000000"/>
          <w:szCs w:val="20"/>
        </w:rPr>
        <w:t xml:space="preserve"> positive customer relations.  They interact with the Medical Program Director, receiving hospitals, battalion chiefs, medical officers, and dispatch centers to intervene and solve problems or answer questions.  They may evaluate patients</w:t>
      </w:r>
      <w:r w:rsidR="007B471E">
        <w:rPr>
          <w:rFonts w:eastAsia="Cambria" w:cs="Times New Roman"/>
          <w:color w:val="000000"/>
          <w:szCs w:val="20"/>
        </w:rPr>
        <w:t>,</w:t>
      </w:r>
      <w:r w:rsidRPr="00821F54">
        <w:rPr>
          <w:rFonts w:eastAsia="Cambria" w:cs="Times New Roman"/>
          <w:color w:val="000000"/>
          <w:szCs w:val="20"/>
        </w:rPr>
        <w:t xml:space="preserve"> deliver emergency medical treatment, triage, and follow up with patients recently released from hospitals.  EMS supervisors may also handle accident records, prepare and submit staff reports and grant proposals, as well as assist paramedics on problematic or unfamiliar cases.</w:t>
      </w:r>
    </w:p>
    <w:p w14:paraId="73E4D8DE" w14:textId="4A240EAF" w:rsidR="00DC22F4" w:rsidRPr="00DC22F4" w:rsidRDefault="007B471E" w:rsidP="00DC22F4">
      <w:pPr>
        <w:pStyle w:val="Heading3"/>
        <w:rPr>
          <w:rFonts w:eastAsia="Calibri"/>
        </w:rPr>
      </w:pPr>
      <w:bookmarkStart w:id="337" w:name="_Toc464323629"/>
      <w:r>
        <w:rPr>
          <w:rFonts w:eastAsia="Calibri"/>
        </w:rPr>
        <w:t>Develop a C</w:t>
      </w:r>
      <w:r w:rsidR="00DC22F4" w:rsidRPr="00DC22F4">
        <w:rPr>
          <w:rFonts w:eastAsia="Calibri"/>
        </w:rPr>
        <w:t>ombined Dispatch Center for Benton and Franklin Counties</w:t>
      </w:r>
      <w:bookmarkEnd w:id="337"/>
    </w:p>
    <w:p w14:paraId="2D60A9F8" w14:textId="52E70C16" w:rsidR="00DC22F4" w:rsidRPr="00DC22F4" w:rsidRDefault="00DC22F4" w:rsidP="00DC22F4">
      <w:pPr>
        <w:spacing w:after="120"/>
        <w:rPr>
          <w:rFonts w:eastAsia="Cambria" w:cs="Times New Roman"/>
          <w:color w:val="000000"/>
          <w:szCs w:val="20"/>
        </w:rPr>
      </w:pPr>
      <w:r w:rsidRPr="00DC22F4">
        <w:rPr>
          <w:rFonts w:eastAsia="Cambria" w:cs="Times New Roman"/>
          <w:color w:val="000000"/>
          <w:szCs w:val="20"/>
        </w:rPr>
        <w:t>EMS is the most frequent service provided by the Tri-Cit</w:t>
      </w:r>
      <w:r w:rsidR="00CF7BC2">
        <w:rPr>
          <w:rFonts w:eastAsia="Cambria" w:cs="Times New Roman"/>
          <w:color w:val="000000"/>
          <w:szCs w:val="20"/>
        </w:rPr>
        <w:t>ies</w:t>
      </w:r>
      <w:r w:rsidRPr="00DC22F4">
        <w:rPr>
          <w:rFonts w:eastAsia="Cambria" w:cs="Times New Roman"/>
          <w:color w:val="000000"/>
          <w:szCs w:val="20"/>
        </w:rPr>
        <w:t xml:space="preserve"> fire departments.  During periods of high call volume, EMS resources are essentially depleted.  On one morning in April 2016, eight medic units were responding, transporting, or at the scene of a medical incident at the same time in the Tri-Cities.  This illustration points out the need for coordinating fire and EMS response.  One obstacle to establishing a seamless regional EMS </w:t>
      </w:r>
      <w:r>
        <w:rPr>
          <w:rFonts w:eastAsia="Cambria" w:cs="Times New Roman"/>
          <w:color w:val="000000"/>
          <w:szCs w:val="20"/>
        </w:rPr>
        <w:t>response is the two Public S</w:t>
      </w:r>
      <w:r w:rsidRPr="00DC22F4">
        <w:rPr>
          <w:rFonts w:eastAsia="Cambria" w:cs="Times New Roman"/>
          <w:color w:val="000000"/>
          <w:szCs w:val="20"/>
        </w:rPr>
        <w:t>afety Answering Point</w:t>
      </w:r>
      <w:r>
        <w:rPr>
          <w:rFonts w:eastAsia="Cambria" w:cs="Times New Roman"/>
          <w:color w:val="000000"/>
          <w:szCs w:val="20"/>
        </w:rPr>
        <w:t>s (</w:t>
      </w:r>
      <w:r w:rsidRPr="00DC22F4">
        <w:rPr>
          <w:rFonts w:eastAsia="Cambria" w:cs="Times New Roman"/>
          <w:color w:val="000000"/>
          <w:szCs w:val="20"/>
        </w:rPr>
        <w:t>PSAP</w:t>
      </w:r>
      <w:r>
        <w:rPr>
          <w:rFonts w:eastAsia="Cambria" w:cs="Times New Roman"/>
          <w:color w:val="000000"/>
          <w:szCs w:val="20"/>
        </w:rPr>
        <w:t>s</w:t>
      </w:r>
      <w:r w:rsidRPr="00DC22F4">
        <w:rPr>
          <w:rFonts w:eastAsia="Cambria" w:cs="Times New Roman"/>
          <w:color w:val="000000"/>
          <w:szCs w:val="20"/>
        </w:rPr>
        <w:t xml:space="preserve">).  This was also a concern echoed by those interviewed by ESCI.  EMS was not the only area of concern related to having two PSAPs.  Fire, hazardous materials, water rescue, and technical rescue responses </w:t>
      </w:r>
      <w:r>
        <w:rPr>
          <w:rFonts w:eastAsia="Cambria" w:cs="Times New Roman"/>
          <w:color w:val="000000"/>
          <w:szCs w:val="20"/>
        </w:rPr>
        <w:t>consistently</w:t>
      </w:r>
      <w:r w:rsidRPr="00DC22F4">
        <w:rPr>
          <w:rFonts w:eastAsia="Cambria" w:cs="Times New Roman"/>
          <w:color w:val="000000"/>
          <w:szCs w:val="20"/>
        </w:rPr>
        <w:t xml:space="preserve"> require responses from fire agencies from both counties.</w:t>
      </w:r>
    </w:p>
    <w:p w14:paraId="70656988" w14:textId="1F1AA6BD" w:rsidR="00DC22F4" w:rsidRPr="00DC22F4" w:rsidRDefault="00DC22F4" w:rsidP="00DC22F4">
      <w:pPr>
        <w:spacing w:after="120"/>
        <w:rPr>
          <w:rFonts w:eastAsia="Cambria" w:cs="Times New Roman"/>
          <w:color w:val="000000"/>
          <w:szCs w:val="20"/>
        </w:rPr>
      </w:pPr>
      <w:r w:rsidRPr="00DC22F4">
        <w:rPr>
          <w:rFonts w:eastAsia="Cambria" w:cs="Times New Roman"/>
          <w:color w:val="000000"/>
          <w:szCs w:val="20"/>
        </w:rPr>
        <w:t xml:space="preserve">Modern emergency services agencies are becoming ever more dependent upon technology to assist them in meeting their responsibilities and service demand.  These technologies begin with the telephone communications system within </w:t>
      </w:r>
      <w:r w:rsidR="007B471E">
        <w:rPr>
          <w:rFonts w:eastAsia="Cambria" w:cs="Times New Roman"/>
          <w:color w:val="000000"/>
          <w:szCs w:val="20"/>
        </w:rPr>
        <w:t>the</w:t>
      </w:r>
      <w:r w:rsidRPr="00DC22F4">
        <w:rPr>
          <w:rFonts w:eastAsia="Cambria" w:cs="Times New Roman"/>
          <w:color w:val="000000"/>
          <w:szCs w:val="20"/>
        </w:rPr>
        <w:t xml:space="preserve"> jurisdiction.  Emergency (and some non-emergency) calls for service are typically routed through a community 9-1-1 system to a centralize</w:t>
      </w:r>
      <w:r w:rsidR="007B471E">
        <w:rPr>
          <w:rFonts w:eastAsia="Cambria" w:cs="Times New Roman"/>
          <w:color w:val="000000"/>
          <w:szCs w:val="20"/>
        </w:rPr>
        <w:t xml:space="preserve">d PSAP.  </w:t>
      </w:r>
      <w:r w:rsidRPr="00DC22F4">
        <w:rPr>
          <w:rFonts w:eastAsia="Cambria" w:cs="Times New Roman"/>
          <w:color w:val="000000"/>
          <w:szCs w:val="20"/>
        </w:rPr>
        <w:t xml:space="preserve">The PSAP then either dispatches the appropriate resources or transfers the caller to a more appropriate center.  Information </w:t>
      </w:r>
      <w:r>
        <w:rPr>
          <w:rFonts w:eastAsia="Cambria" w:cs="Times New Roman"/>
          <w:color w:val="000000"/>
          <w:szCs w:val="20"/>
        </w:rPr>
        <w:t>from t</w:t>
      </w:r>
      <w:r w:rsidRPr="00DC22F4">
        <w:rPr>
          <w:rFonts w:eastAsia="Cambria" w:cs="Times New Roman"/>
          <w:color w:val="000000"/>
          <w:szCs w:val="20"/>
        </w:rPr>
        <w:t xml:space="preserve">he caller is usually automatically received by the PSAP through Automated Number Information/Automated Location Information (ANI/ALI) into the emergency phone system.  This information is then transferred into a Computer Aided Dispatch (CAD) system, which serves as a database and assistive dispatch technology.  There are two PSAPs serving Franklin and Benton </w:t>
      </w:r>
      <w:r w:rsidR="00445248" w:rsidRPr="00DC22F4">
        <w:rPr>
          <w:rFonts w:eastAsia="Cambria" w:cs="Times New Roman"/>
          <w:color w:val="000000"/>
          <w:szCs w:val="20"/>
        </w:rPr>
        <w:t>Counties</w:t>
      </w:r>
      <w:r w:rsidRPr="00DC22F4">
        <w:rPr>
          <w:rFonts w:eastAsia="Cambria" w:cs="Times New Roman"/>
          <w:color w:val="000000"/>
          <w:szCs w:val="20"/>
        </w:rPr>
        <w:t xml:space="preserve">.  Currently, the Franklin and Benton </w:t>
      </w:r>
      <w:r w:rsidR="00445248" w:rsidRPr="00DC22F4">
        <w:rPr>
          <w:rFonts w:eastAsia="Cambria" w:cs="Times New Roman"/>
          <w:color w:val="000000"/>
          <w:szCs w:val="20"/>
        </w:rPr>
        <w:t xml:space="preserve">County </w:t>
      </w:r>
      <w:r w:rsidRPr="00DC22F4">
        <w:rPr>
          <w:rFonts w:eastAsia="Cambria" w:cs="Times New Roman"/>
          <w:color w:val="000000"/>
          <w:szCs w:val="20"/>
        </w:rPr>
        <w:t xml:space="preserve">PSAPs are unable to automatically transfer calls </w:t>
      </w:r>
      <w:r>
        <w:rPr>
          <w:rFonts w:eastAsia="Cambria" w:cs="Times New Roman"/>
          <w:color w:val="000000"/>
          <w:szCs w:val="20"/>
        </w:rPr>
        <w:t xml:space="preserve">to each other </w:t>
      </w:r>
      <w:r w:rsidRPr="00DC22F4">
        <w:rPr>
          <w:rFonts w:eastAsia="Cambria" w:cs="Times New Roman"/>
          <w:color w:val="000000"/>
          <w:szCs w:val="20"/>
        </w:rPr>
        <w:t>and instead rely on dialing a seven-digit phone number and transferring information verbally.  This outdated communication method elongates the time to dispatch emergency calls and can lead to missing information or lost calls.</w:t>
      </w:r>
    </w:p>
    <w:p w14:paraId="7D8E6975" w14:textId="0EB0D5EF" w:rsidR="00DC22F4" w:rsidRPr="00DC22F4" w:rsidRDefault="00DC22F4" w:rsidP="00DC22F4">
      <w:pPr>
        <w:spacing w:after="120"/>
        <w:rPr>
          <w:rFonts w:eastAsia="Cambria" w:cs="Times New Roman"/>
          <w:color w:val="000000"/>
          <w:szCs w:val="20"/>
        </w:rPr>
      </w:pPr>
      <w:r w:rsidRPr="00DC22F4">
        <w:rPr>
          <w:rFonts w:eastAsia="Cambria" w:cs="Times New Roman"/>
          <w:color w:val="000000"/>
          <w:szCs w:val="20"/>
        </w:rPr>
        <w:t>Dispatch operations are crucial, directly influencing fire/EMS service levels, response times, service delivery, and the collection of data for analysis.  Necessary components of dispatch operations include call-taking, dispatching fire and emergency medical services personnel, providing pre-arrival instructions, and recordkeeping.  Emergency service providers are served by the individual 9-1-1 communication centers for dispatching fire/emergency medical response and EMD (emergency medical dispatch).  Individual communication centers might be irrelevant if the Tri-Cit</w:t>
      </w:r>
      <w:r w:rsidR="00CF7BC2">
        <w:rPr>
          <w:rFonts w:eastAsia="Cambria" w:cs="Times New Roman"/>
          <w:color w:val="000000"/>
          <w:szCs w:val="20"/>
        </w:rPr>
        <w:t>ies</w:t>
      </w:r>
      <w:r w:rsidRPr="00DC22F4">
        <w:rPr>
          <w:rFonts w:eastAsia="Cambria" w:cs="Times New Roman"/>
          <w:color w:val="000000"/>
          <w:szCs w:val="20"/>
        </w:rPr>
        <w:t xml:space="preserve"> emergency service providers were not interdependent.  Given that there are frequent occasions where emergency units travel across geopolitical lines for mutual aid it would be a practical matter to have a single communication center for both counties. Existing information technology (IT) resources lack the capability </w:t>
      </w:r>
      <w:r w:rsidR="00352935">
        <w:rPr>
          <w:rFonts w:eastAsia="Cambria" w:cs="Times New Roman"/>
          <w:color w:val="000000"/>
          <w:szCs w:val="20"/>
        </w:rPr>
        <w:t>to</w:t>
      </w:r>
      <w:r w:rsidRPr="00DC22F4">
        <w:rPr>
          <w:rFonts w:eastAsia="Cambria" w:cs="Times New Roman"/>
          <w:color w:val="000000"/>
          <w:szCs w:val="20"/>
        </w:rPr>
        <w:t xml:space="preserve"> automatically transfer 9-1-1 calls or automatically requesting resources from neighboring agencies.</w:t>
      </w:r>
    </w:p>
    <w:p w14:paraId="5B70B2CD" w14:textId="04A4D9E1" w:rsidR="00DC22F4" w:rsidRPr="00DC22F4" w:rsidRDefault="00DC22F4" w:rsidP="00DC22F4">
      <w:pPr>
        <w:spacing w:after="120"/>
        <w:rPr>
          <w:rFonts w:eastAsia="Cambria" w:cs="Times New Roman"/>
          <w:color w:val="000000"/>
          <w:szCs w:val="20"/>
        </w:rPr>
      </w:pPr>
      <w:r w:rsidRPr="00DC22F4">
        <w:rPr>
          <w:rFonts w:eastAsia="Cambria" w:cs="Times New Roman"/>
          <w:color w:val="000000"/>
          <w:szCs w:val="20"/>
        </w:rPr>
        <w:t xml:space="preserve">Although consolidation of dispatch functions for Benton and Franklin </w:t>
      </w:r>
      <w:r w:rsidR="00445248" w:rsidRPr="00DC22F4">
        <w:rPr>
          <w:rFonts w:eastAsia="Cambria" w:cs="Times New Roman"/>
          <w:color w:val="000000"/>
          <w:szCs w:val="20"/>
        </w:rPr>
        <w:t xml:space="preserve">Counties </w:t>
      </w:r>
      <w:r w:rsidRPr="00DC22F4">
        <w:rPr>
          <w:rFonts w:eastAsia="Cambria" w:cs="Times New Roman"/>
          <w:color w:val="000000"/>
          <w:szCs w:val="20"/>
        </w:rPr>
        <w:t xml:space="preserve">is almost universally supported and has been discussed for years, little progress towards a merger or consolidation has occurred.  </w:t>
      </w:r>
    </w:p>
    <w:p w14:paraId="0D8841B6" w14:textId="40310562" w:rsidR="00DC22F4" w:rsidRPr="00DC22F4" w:rsidRDefault="00352935" w:rsidP="00DC22F4">
      <w:pPr>
        <w:spacing w:after="120"/>
        <w:rPr>
          <w:rFonts w:eastAsia="Cambria" w:cs="Times New Roman"/>
          <w:color w:val="000000"/>
          <w:szCs w:val="20"/>
        </w:rPr>
      </w:pPr>
      <w:r>
        <w:rPr>
          <w:rFonts w:eastAsia="Cambria" w:cs="Times New Roman"/>
          <w:color w:val="000000"/>
          <w:szCs w:val="20"/>
        </w:rPr>
        <w:t xml:space="preserve">Another issue is the lack of automatic vehicle locator (AVL) and </w:t>
      </w:r>
      <w:r w:rsidR="00DC22F4" w:rsidRPr="00DC22F4">
        <w:rPr>
          <w:rFonts w:eastAsia="Cambria" w:cs="Times New Roman"/>
          <w:color w:val="000000"/>
          <w:szCs w:val="20"/>
        </w:rPr>
        <w:t>mobile data terminal</w:t>
      </w:r>
      <w:r>
        <w:rPr>
          <w:rFonts w:eastAsia="Cambria" w:cs="Times New Roman"/>
          <w:color w:val="000000"/>
          <w:szCs w:val="20"/>
        </w:rPr>
        <w:t xml:space="preserve"> (MDT</w:t>
      </w:r>
      <w:r w:rsidR="00DC22F4" w:rsidRPr="00DC22F4">
        <w:rPr>
          <w:rFonts w:eastAsia="Cambria" w:cs="Times New Roman"/>
          <w:color w:val="000000"/>
          <w:szCs w:val="20"/>
        </w:rPr>
        <w:t>)</w:t>
      </w:r>
      <w:r>
        <w:rPr>
          <w:rFonts w:eastAsia="Cambria" w:cs="Times New Roman"/>
          <w:color w:val="000000"/>
          <w:szCs w:val="20"/>
        </w:rPr>
        <w:t xml:space="preserve"> technology</w:t>
      </w:r>
      <w:r w:rsidR="00DC22F4" w:rsidRPr="00DC22F4">
        <w:rPr>
          <w:rFonts w:eastAsia="Cambria" w:cs="Times New Roman"/>
          <w:color w:val="000000"/>
          <w:szCs w:val="20"/>
        </w:rPr>
        <w:t xml:space="preserve"> in the system</w:t>
      </w:r>
      <w:r>
        <w:rPr>
          <w:rFonts w:eastAsia="Cambria" w:cs="Times New Roman"/>
          <w:color w:val="000000"/>
          <w:szCs w:val="20"/>
        </w:rPr>
        <w:t>, which contributes to</w:t>
      </w:r>
      <w:r w:rsidRPr="00DC22F4">
        <w:rPr>
          <w:rFonts w:eastAsia="Cambria" w:cs="Times New Roman"/>
          <w:color w:val="000000"/>
          <w:szCs w:val="20"/>
        </w:rPr>
        <w:t xml:space="preserve"> the inefficiency of dispatch of the appropriate units and the inconsistency</w:t>
      </w:r>
      <w:r w:rsidR="00DC22F4" w:rsidRPr="00DC22F4">
        <w:rPr>
          <w:rFonts w:eastAsia="Cambria" w:cs="Times New Roman"/>
          <w:color w:val="000000"/>
          <w:szCs w:val="20"/>
        </w:rPr>
        <w:t xml:space="preserve"> </w:t>
      </w:r>
      <w:r w:rsidRPr="00DC22F4">
        <w:rPr>
          <w:rFonts w:eastAsia="Cambria" w:cs="Times New Roman"/>
          <w:color w:val="000000"/>
          <w:szCs w:val="20"/>
        </w:rPr>
        <w:t>of data recording</w:t>
      </w:r>
      <w:r w:rsidR="00DC22F4" w:rsidRPr="00DC22F4">
        <w:rPr>
          <w:rFonts w:eastAsia="Cambria" w:cs="Times New Roman"/>
          <w:color w:val="000000"/>
          <w:szCs w:val="20"/>
        </w:rPr>
        <w:t xml:space="preserve">.  </w:t>
      </w:r>
      <w:r w:rsidRPr="00DC22F4">
        <w:rPr>
          <w:rFonts w:eastAsia="Cambria" w:cs="Times New Roman"/>
          <w:color w:val="000000"/>
          <w:szCs w:val="20"/>
        </w:rPr>
        <w:t>For instance, if all EMS units within the Tri</w:t>
      </w:r>
      <w:r w:rsidR="00DC22F4" w:rsidRPr="00DC22F4">
        <w:rPr>
          <w:rFonts w:eastAsia="Cambria" w:cs="Times New Roman"/>
          <w:color w:val="000000"/>
          <w:szCs w:val="20"/>
        </w:rPr>
        <w:t>-Cit</w:t>
      </w:r>
      <w:r w:rsidR="00CF7BC2">
        <w:rPr>
          <w:rFonts w:eastAsia="Cambria" w:cs="Times New Roman"/>
          <w:color w:val="000000"/>
          <w:szCs w:val="20"/>
        </w:rPr>
        <w:t>ies</w:t>
      </w:r>
      <w:r w:rsidR="00DC22F4" w:rsidRPr="00DC22F4">
        <w:rPr>
          <w:rFonts w:eastAsia="Cambria" w:cs="Times New Roman"/>
          <w:color w:val="000000"/>
          <w:szCs w:val="20"/>
        </w:rPr>
        <w:t xml:space="preserve"> </w:t>
      </w:r>
      <w:r w:rsidRPr="00DC22F4">
        <w:rPr>
          <w:rFonts w:eastAsia="Cambria" w:cs="Times New Roman"/>
          <w:color w:val="000000"/>
          <w:szCs w:val="20"/>
        </w:rPr>
        <w:t>area were equipped with AVL and MDT capabilities, the</w:t>
      </w:r>
      <w:r w:rsidR="00DC22F4" w:rsidRPr="00DC22F4">
        <w:rPr>
          <w:rFonts w:eastAsia="Cambria" w:cs="Times New Roman"/>
          <w:color w:val="000000"/>
          <w:szCs w:val="20"/>
        </w:rPr>
        <w:t xml:space="preserve"> closest appropriate unit could be dispatched rather than relying on static response.  Additionally, the capability of units to check in route to a scene independent of radio communication would allow for more accurate response performance tracking and analysis.</w:t>
      </w:r>
    </w:p>
    <w:p w14:paraId="43DA70B1" w14:textId="74391AF7" w:rsidR="00880245" w:rsidRPr="00015357" w:rsidRDefault="00880245" w:rsidP="00880245">
      <w:pPr>
        <w:pStyle w:val="Heading3"/>
        <w:rPr>
          <w:rFonts w:asciiTheme="majorHAnsi" w:eastAsia="Times New Roman" w:hAnsiTheme="majorHAnsi"/>
        </w:rPr>
      </w:pPr>
      <w:bookmarkStart w:id="338" w:name="_Toc464323630"/>
      <w:bookmarkStart w:id="339" w:name="_Toc449705510"/>
      <w:r w:rsidRPr="00015357">
        <w:rPr>
          <w:rFonts w:asciiTheme="majorHAnsi" w:eastAsia="Times New Roman" w:hAnsiTheme="majorHAnsi" w:cs="Times New Roman"/>
        </w:rPr>
        <w:t>Peak Activity Units</w:t>
      </w:r>
      <w:bookmarkEnd w:id="338"/>
      <w:r w:rsidRPr="00015357">
        <w:rPr>
          <w:rFonts w:asciiTheme="majorHAnsi" w:eastAsia="Times New Roman" w:hAnsiTheme="majorHAnsi" w:cs="Times New Roman"/>
        </w:rPr>
        <w:t xml:space="preserve"> </w:t>
      </w:r>
      <w:bookmarkEnd w:id="339"/>
    </w:p>
    <w:p w14:paraId="2E2219E2" w14:textId="727A164F" w:rsidR="00880245" w:rsidRPr="00015357" w:rsidRDefault="00880245" w:rsidP="00880245">
      <w:pPr>
        <w:rPr>
          <w:rFonts w:asciiTheme="majorHAnsi" w:eastAsia="Cambria" w:hAnsiTheme="majorHAnsi" w:cs="Times New Roman"/>
        </w:rPr>
      </w:pPr>
      <w:r w:rsidRPr="00015357">
        <w:rPr>
          <w:rFonts w:asciiTheme="majorHAnsi" w:eastAsia="Times New Roman,Cambria" w:hAnsiTheme="majorHAnsi" w:cs="Times New Roman,Cambria"/>
        </w:rPr>
        <w:t>Staffing is typically a fire agency’s single most expensive resource.  A significant factor that drive cost are the 24-hour nature of the fire service demand. The rationale for staffing and deploying in this manner is the unpredictable nature of emergencies.  Once a base emergency response capability is achieved throughout the 24-hour cycle, however, additional capacity can be gained with a more flexibly staffed and deployed model.  This efficient and effective model includes resources which augment the traditional deployment of response resources.  This flexible unit follows the observable trends in emergency calls for service (demand) which dictates to a significant degree the distribution of that flexible resource. Implementing this flexible unit reduces response times where demand is high or when prescheduled vacancies (i.e., training) occur. These flexible resources are referred to as Peak Activity Units (PAUs) and they are deployed in a manner that mirrors the ebb and flow of emergency demand. A PAU has four major configuration variables: the unit itself, the crew make-up/size, the deployment purpose/philosophy, and deployment hours/geography.</w:t>
      </w:r>
    </w:p>
    <w:p w14:paraId="6D47B5EF" w14:textId="76AFB152" w:rsidR="00880245" w:rsidRPr="00015357" w:rsidRDefault="00880245" w:rsidP="00880245">
      <w:pPr>
        <w:rPr>
          <w:rFonts w:asciiTheme="majorHAnsi" w:eastAsia="Cambria" w:hAnsiTheme="majorHAnsi" w:cs="Times New Roman"/>
        </w:rPr>
      </w:pPr>
      <w:r w:rsidRPr="00015357">
        <w:rPr>
          <w:rFonts w:asciiTheme="majorHAnsi" w:eastAsia="Times New Roman,Cambria" w:hAnsiTheme="majorHAnsi" w:cs="Times New Roman,Cambria"/>
        </w:rPr>
        <w:t>PAUs are typically staffed and deployed during the most statistically busy times of the day and week, which make the unit less costly and more flexibly deployed, both by time of day and geographically. These units can be a fire engine that is a Type 1 (a so-called structure fire engine) or a Type 6 (also-called wildland fire engine) configuration, a medical rescue unit, or a multi-purpose squad.  Regardless of the type of vehicle it is, what makes it unique is the way it is deployed and staffed.  PAUs can be staffed with a medical crew if that is its primary purpose, with a fire suppression crew, or both.  It can be deployed during wildland fire season with a wildland fire crew.  Regardless of staff capability, the staff can be obtained by hiring new personnel, by using callback crews on overtime, or converting a regularly assigned crew to a PAU.  Staffing of a PAU should not be done through the use of cross-staffing (thereby taking a critical resource out of service)</w:t>
      </w:r>
      <w:r w:rsidR="00744BBF" w:rsidRPr="00015357">
        <w:rPr>
          <w:rFonts w:asciiTheme="majorHAnsi" w:eastAsia="Times New Roman,Cambria" w:hAnsiTheme="majorHAnsi" w:cs="Times New Roman,Cambria"/>
        </w:rPr>
        <w:t>, as it depletes the core resources and reduces agency capability</w:t>
      </w:r>
      <w:r w:rsidRPr="00015357">
        <w:rPr>
          <w:rFonts w:asciiTheme="majorHAnsi" w:eastAsia="Times New Roman,Cambria" w:hAnsiTheme="majorHAnsi" w:cs="Times New Roman,Cambria"/>
        </w:rPr>
        <w:t xml:space="preserve">. These concepts normally require bargaining the hours and working conditions under which the unit is staffed when a collective bargaining unit is affected.  </w:t>
      </w:r>
    </w:p>
    <w:p w14:paraId="731B92EC" w14:textId="77777777" w:rsidR="00880245" w:rsidRPr="00015357" w:rsidRDefault="00880245" w:rsidP="00880245">
      <w:pPr>
        <w:rPr>
          <w:rFonts w:asciiTheme="majorHAnsi" w:eastAsia="Cambria" w:hAnsiTheme="majorHAnsi" w:cs="Times New Roman"/>
        </w:rPr>
      </w:pPr>
      <w:r w:rsidRPr="00015357">
        <w:rPr>
          <w:rFonts w:asciiTheme="majorHAnsi" w:eastAsia="Times New Roman,Cambria" w:hAnsiTheme="majorHAnsi" w:cs="Times New Roman,Cambria"/>
        </w:rPr>
        <w:t xml:space="preserve">PAUs are not only assigned as an additional resource based on statistically busy times and locations. They can also be used to manage gaps in coverage for units participating in training and could even be cooperatively staffed with a neighboring agency(s). A PAU could be only occasionally staffed for activities such as a scheduled event or routinely staffed for periods of peak demand. Adding PAUs as an </w:t>
      </w:r>
      <w:r w:rsidRPr="00015357">
        <w:rPr>
          <w:rFonts w:asciiTheme="majorHAnsi" w:eastAsia="Times New Roman,Cambria" w:hAnsiTheme="majorHAnsi" w:cs="Times New Roman,Cambria"/>
          <w:b/>
          <w:bCs/>
          <w:i/>
          <w:iCs/>
        </w:rPr>
        <w:t>adjunct</w:t>
      </w:r>
      <w:r w:rsidRPr="00015357">
        <w:rPr>
          <w:rFonts w:asciiTheme="majorHAnsi" w:eastAsia="Times New Roman,Cambria" w:hAnsiTheme="majorHAnsi" w:cs="Times New Roman,Cambria"/>
        </w:rPr>
        <w:t xml:space="preserve"> to existing staffing patterns adds flexibility to fire department emergency operations.  </w:t>
      </w:r>
    </w:p>
    <w:p w14:paraId="483CFF72" w14:textId="2626805C" w:rsidR="00880245" w:rsidRPr="00015357" w:rsidRDefault="00744BBF" w:rsidP="00880245">
      <w:pPr>
        <w:rPr>
          <w:rFonts w:asciiTheme="majorHAnsi" w:eastAsia="Cambria" w:hAnsiTheme="majorHAnsi" w:cs="Times New Roman"/>
          <w:highlight w:val="yellow"/>
        </w:rPr>
      </w:pPr>
      <w:r w:rsidRPr="00015357">
        <w:rPr>
          <w:rFonts w:asciiTheme="majorHAnsi" w:eastAsia="Times New Roman,Cambria" w:hAnsiTheme="majorHAnsi" w:cs="Times New Roman,Cambria"/>
        </w:rPr>
        <w:t>ESCI recommends PFD evaluates the potential benefits of establishing a PAU jointly with its neighbors within the Tri-Cit</w:t>
      </w:r>
      <w:r w:rsidR="00CF7BC2">
        <w:rPr>
          <w:rFonts w:asciiTheme="majorHAnsi" w:eastAsia="Times New Roman,Cambria" w:hAnsiTheme="majorHAnsi" w:cs="Times New Roman,Cambria"/>
        </w:rPr>
        <w:t>ies</w:t>
      </w:r>
      <w:r w:rsidRPr="00015357">
        <w:rPr>
          <w:rFonts w:asciiTheme="majorHAnsi" w:eastAsia="Times New Roman,Cambria" w:hAnsiTheme="majorHAnsi" w:cs="Times New Roman,Cambria"/>
        </w:rPr>
        <w:t xml:space="preserve"> area. If this configuration is deemed mutually beneficial, discussions should ensue with interested parties to implement this unit and share in the costs of operating the unit.  If not deemed mutually beneficial, PFD should consider implementing a PAU by itself to be operated within the Pasco service area. </w:t>
      </w:r>
    </w:p>
    <w:p w14:paraId="672082F7" w14:textId="1828DE2F" w:rsidR="00880245" w:rsidRPr="00015357" w:rsidRDefault="00880245" w:rsidP="00880245">
      <w:pPr>
        <w:pStyle w:val="Heading3"/>
        <w:rPr>
          <w:rFonts w:asciiTheme="majorHAnsi" w:eastAsia="Times New Roman" w:hAnsiTheme="majorHAnsi"/>
        </w:rPr>
      </w:pPr>
      <w:bookmarkStart w:id="340" w:name="_Toc405875772"/>
      <w:bookmarkStart w:id="341" w:name="_Toc464323631"/>
      <w:bookmarkStart w:id="342" w:name="_Toc449705511"/>
      <w:r w:rsidRPr="00015357">
        <w:rPr>
          <w:rFonts w:asciiTheme="majorHAnsi" w:eastAsia="Times New Roman" w:hAnsiTheme="majorHAnsi" w:cs="Times New Roman"/>
        </w:rPr>
        <w:t>Alternate Response Units</w:t>
      </w:r>
      <w:bookmarkEnd w:id="340"/>
      <w:bookmarkEnd w:id="341"/>
      <w:r w:rsidRPr="00015357">
        <w:rPr>
          <w:rFonts w:asciiTheme="majorHAnsi" w:eastAsia="Times New Roman" w:hAnsiTheme="majorHAnsi" w:cs="Times New Roman"/>
        </w:rPr>
        <w:t xml:space="preserve"> </w:t>
      </w:r>
      <w:bookmarkEnd w:id="342"/>
    </w:p>
    <w:p w14:paraId="654D33AA" w14:textId="77777777" w:rsidR="00880245" w:rsidRPr="00015357" w:rsidRDefault="00880245" w:rsidP="00880245">
      <w:pPr>
        <w:rPr>
          <w:rFonts w:asciiTheme="majorHAnsi" w:eastAsia="Cambria" w:hAnsiTheme="majorHAnsi" w:cs="Times New Roman"/>
        </w:rPr>
      </w:pPr>
      <w:r w:rsidRPr="00015357">
        <w:rPr>
          <w:rFonts w:asciiTheme="majorHAnsi" w:eastAsia="Times New Roman,Cambria" w:hAnsiTheme="majorHAnsi" w:cs="Times New Roman,Cambria"/>
        </w:rPr>
        <w:t xml:space="preserve">Alternative Response Units (ARUs) are a different model than the Peak Activity Units, whose primary mission is responding flexibly to peak demand for emergency services.  The Alternative Response Unit is focused on non-emergency, lower acuity emergency medical calls.  Its purpose is to keep the primary fleet of emergency response vehicles and crews in service and available for the higher acuity, true emergency calls.  Tualatin Valley Fire &amp; Rescue (TVF&amp;R) in Washington County, Oregon, implemented a 12-month pilot of this program in 2011.  The agency experienced positive results, so TVF&amp;R permanently incorporated the units into its daily operation. </w:t>
      </w:r>
    </w:p>
    <w:p w14:paraId="5DC3FD36" w14:textId="77777777" w:rsidR="00880245" w:rsidRPr="00015357" w:rsidRDefault="00880245" w:rsidP="00880245">
      <w:pPr>
        <w:rPr>
          <w:rFonts w:asciiTheme="majorHAnsi" w:eastAsia="Cambria" w:hAnsiTheme="majorHAnsi" w:cs="Times New Roman"/>
        </w:rPr>
      </w:pPr>
      <w:r w:rsidRPr="00015357">
        <w:rPr>
          <w:rFonts w:asciiTheme="majorHAnsi" w:eastAsia="Times New Roman,Cambria" w:hAnsiTheme="majorHAnsi" w:cs="Times New Roman,Cambria"/>
        </w:rPr>
        <w:t xml:space="preserve">The premise behind the unit is to reduce the expensive staffing and vehicle response to likely non-life-threatening calls for service.  The units are sport utility vehicles, staffed by one Firefighter/Paramedic.  The units are dispatched according to a protocol used by the dispatch centers, which medically triages the calling party.  In TVF&amp;R’s case, the communication specialists at Washington County Communications Center are not necessarily EMTs but are trained to the EMD certification. </w:t>
      </w:r>
    </w:p>
    <w:p w14:paraId="42D5F581" w14:textId="77777777" w:rsidR="00880245" w:rsidRPr="00015357" w:rsidRDefault="00880245" w:rsidP="00880245">
      <w:pPr>
        <w:rPr>
          <w:rFonts w:asciiTheme="majorHAnsi" w:eastAsia="Cambria" w:hAnsiTheme="majorHAnsi" w:cs="Times New Roman"/>
        </w:rPr>
      </w:pPr>
      <w:r w:rsidRPr="00015357">
        <w:rPr>
          <w:rFonts w:asciiTheme="majorHAnsi" w:eastAsia="Times New Roman,Cambria" w:hAnsiTheme="majorHAnsi" w:cs="Times New Roman,Cambria"/>
        </w:rPr>
        <w:t>The dispatcher triages and categorizes a patient over the phone using a series of questions following an EMD algorithm.  The calls are placed into one of typically five categories: Alpha, Bravo, Charlie, Delta, and Echo responses.  Alpha is lowest on the severity/acuity scale and is not a life-threatening call type.  Echo is the highest severity/acuity and the most urgent, immediate life-threatening call type.  ARUs respond to Alpha and Bravo calls routinely but may also respond to higher acuity calls if the unit happens to be closer than emergency response units to improve response time. It is important to note that the agency recognizes that a single paramedic in an ARU cannot effectively deal with a higher acuity call type alone, thus the focus on lower acuity call types.</w:t>
      </w:r>
    </w:p>
    <w:p w14:paraId="25383D7E" w14:textId="77777777" w:rsidR="00880245" w:rsidRPr="00015357" w:rsidRDefault="00880245" w:rsidP="00880245">
      <w:pPr>
        <w:rPr>
          <w:rFonts w:asciiTheme="majorHAnsi" w:eastAsia="Cambria" w:hAnsiTheme="majorHAnsi" w:cs="Times New Roman"/>
        </w:rPr>
      </w:pPr>
      <w:r w:rsidRPr="00015357">
        <w:rPr>
          <w:rFonts w:asciiTheme="majorHAnsi" w:eastAsia="Times New Roman,Cambria" w:hAnsiTheme="majorHAnsi" w:cs="Times New Roman,Cambria"/>
        </w:rPr>
        <w:t xml:space="preserve">In TVF&amp;R, the ARUs also respond to minor non-medical calls such as lockouts, smoke detector problems, and burning complaint investigations.  The four TVF&amp;R ARUs responded to 2,134 incidents in 12 months, which represented 7.2 percent of the agency’s total call volume for that year.   </w:t>
      </w:r>
    </w:p>
    <w:p w14:paraId="799BC643" w14:textId="77777777" w:rsidR="00880245" w:rsidRPr="00015357" w:rsidRDefault="00880245" w:rsidP="00880245">
      <w:pPr>
        <w:rPr>
          <w:rFonts w:asciiTheme="majorHAnsi" w:eastAsia="Cambria" w:hAnsiTheme="majorHAnsi" w:cs="Times New Roman"/>
        </w:rPr>
      </w:pPr>
      <w:r w:rsidRPr="00015357">
        <w:rPr>
          <w:rFonts w:asciiTheme="majorHAnsi" w:eastAsia="Times New Roman,Cambria" w:hAnsiTheme="majorHAnsi" w:cs="Times New Roman,Cambria"/>
        </w:rPr>
        <w:t xml:space="preserve">A unique feature of the TVF&amp;R ARUs is that assignment/recruitment of staff on these units emphasized paramedic assertiveness as a desirable trait, since the unit lends itself to “jumping” calls to provide a fast response, assessment, and potential cancellation of more traditional response units where the ARU is closer and available.  </w:t>
      </w:r>
    </w:p>
    <w:p w14:paraId="68120115" w14:textId="1F4671DA" w:rsidR="00880245" w:rsidRDefault="00015357" w:rsidP="00880245">
      <w:pPr>
        <w:rPr>
          <w:rFonts w:asciiTheme="majorHAnsi" w:eastAsia="Times New Roman,Cambria" w:hAnsiTheme="majorHAnsi" w:cs="Times New Roman,Cambria"/>
        </w:rPr>
      </w:pPr>
      <w:r w:rsidRPr="00015357">
        <w:rPr>
          <w:rFonts w:asciiTheme="majorHAnsi" w:eastAsia="Times New Roman,Cambria" w:hAnsiTheme="majorHAnsi" w:cs="Times New Roman,Cambria"/>
        </w:rPr>
        <w:t xml:space="preserve">It is important to understand, however, that </w:t>
      </w:r>
      <w:r w:rsidR="00880245" w:rsidRPr="00015357">
        <w:rPr>
          <w:rFonts w:asciiTheme="majorHAnsi" w:eastAsia="Times New Roman,Cambria" w:hAnsiTheme="majorHAnsi" w:cs="Times New Roman,Cambria"/>
        </w:rPr>
        <w:t xml:space="preserve">ARUs do not provide recognized credit through the </w:t>
      </w:r>
      <w:r w:rsidRPr="00015357">
        <w:rPr>
          <w:rFonts w:asciiTheme="majorHAnsi" w:eastAsia="Times New Roman,Cambria" w:hAnsiTheme="majorHAnsi" w:cs="Times New Roman,Cambria"/>
        </w:rPr>
        <w:t>Washington</w:t>
      </w:r>
      <w:r w:rsidR="00880245" w:rsidRPr="00015357">
        <w:rPr>
          <w:rFonts w:asciiTheme="majorHAnsi" w:eastAsia="Times New Roman,Cambria" w:hAnsiTheme="majorHAnsi" w:cs="Times New Roman,Cambria"/>
        </w:rPr>
        <w:t xml:space="preserve"> Surveying and Rating Bureau. Emergency </w:t>
      </w:r>
      <w:r w:rsidR="00445248" w:rsidRPr="00015357">
        <w:rPr>
          <w:rFonts w:asciiTheme="majorHAnsi" w:eastAsia="Times New Roman,Cambria" w:hAnsiTheme="majorHAnsi" w:cs="Times New Roman,Cambria"/>
        </w:rPr>
        <w:t>medical serv</w:t>
      </w:r>
      <w:r w:rsidR="00880245" w:rsidRPr="00015357">
        <w:rPr>
          <w:rFonts w:asciiTheme="majorHAnsi" w:eastAsia="Times New Roman,Cambria" w:hAnsiTheme="majorHAnsi" w:cs="Times New Roman,Cambria"/>
        </w:rPr>
        <w:t xml:space="preserve">ices response capability is not evaluated by </w:t>
      </w:r>
      <w:r w:rsidRPr="00015357">
        <w:rPr>
          <w:rFonts w:asciiTheme="majorHAnsi" w:eastAsia="Times New Roman,Cambria" w:hAnsiTheme="majorHAnsi" w:cs="Times New Roman,Cambria"/>
        </w:rPr>
        <w:t>W</w:t>
      </w:r>
      <w:r w:rsidR="00880245" w:rsidRPr="00015357">
        <w:rPr>
          <w:rFonts w:asciiTheme="majorHAnsi" w:eastAsia="Times New Roman,Cambria" w:hAnsiTheme="majorHAnsi" w:cs="Times New Roman,Cambria"/>
        </w:rPr>
        <w:t xml:space="preserve">SRB since it is focused on property conservation and property risk. However, response time and unit reliability are improved by the use of ARUs, and one agency which implemented a pilot ARU program stated that, “…the public perception of the program has been overwhelmingly supportive and accepted throughout the community as simply, ‘smart government’”. </w:t>
      </w:r>
    </w:p>
    <w:p w14:paraId="7A5FCD40" w14:textId="36F8EF6F" w:rsidR="00ED4197" w:rsidRDefault="00ED4197" w:rsidP="00ED4197">
      <w:pPr>
        <w:pStyle w:val="Heading3"/>
        <w:rPr>
          <w:rFonts w:asciiTheme="majorHAnsi" w:eastAsia="Times New Roman" w:hAnsiTheme="majorHAnsi" w:cs="Times New Roman"/>
        </w:rPr>
      </w:pPr>
      <w:bookmarkStart w:id="343" w:name="_Toc464323632"/>
      <w:r w:rsidRPr="00ED4197">
        <w:rPr>
          <w:rFonts w:asciiTheme="majorHAnsi" w:eastAsia="Times New Roman" w:hAnsiTheme="majorHAnsi" w:cs="Times New Roman"/>
        </w:rPr>
        <w:t>Staffing</w:t>
      </w:r>
      <w:r>
        <w:rPr>
          <w:rFonts w:asciiTheme="majorHAnsi" w:eastAsia="Times New Roman" w:hAnsiTheme="majorHAnsi" w:cs="Times New Roman"/>
        </w:rPr>
        <w:t xml:space="preserve"> Increases</w:t>
      </w:r>
      <w:bookmarkEnd w:id="343"/>
    </w:p>
    <w:p w14:paraId="0F527AF1" w14:textId="11C87471" w:rsidR="00ED4197" w:rsidRDefault="00CA26E4" w:rsidP="00ED4197">
      <w:r>
        <w:t xml:space="preserve">There are small gaps in the staffing configuration of the PFD administration.  </w:t>
      </w:r>
      <w:r w:rsidR="00ED4197">
        <w:t>Administratively, the PFD is on the low end of the spectrum for municipalities of its size as a ratio to line personnel.</w:t>
      </w:r>
      <w:r>
        <w:t xml:space="preserve">  There has been concern about the assistant chief’s position not being appointed as a regular position.  This leads to instability and a lack of clarity administratively.  This is a critical position in the management team and must be solidified.  </w:t>
      </w:r>
    </w:p>
    <w:p w14:paraId="1C1BEB2E" w14:textId="3F1EC6D4" w:rsidR="00CA26E4" w:rsidRDefault="00CA26E4" w:rsidP="00ED4197">
      <w:r>
        <w:t>The line staffing does not meet national standards and</w:t>
      </w:r>
      <w:r w:rsidR="00445248">
        <w:t>,</w:t>
      </w:r>
      <w:r>
        <w:t xml:space="preserve"> worse yet, do not meet state or local norms.  Two-person engine companies place a substantial burden on responders during the scene of emergencies.  ESCI recommends that the </w:t>
      </w:r>
      <w:r w:rsidR="00445248">
        <w:t xml:space="preserve">City </w:t>
      </w:r>
      <w:r>
        <w:t xml:space="preserve">of Pasco follow a plan of ramping up staffing in the fire department over successive years.  This improves incident safety, reduces worker fatigue, and increases the likelihood of PFD receiving a Class </w:t>
      </w:r>
      <w:r w:rsidR="00445248">
        <w:t>4</w:t>
      </w:r>
      <w:r>
        <w:t xml:space="preserve"> rating from the Washington Surveying and Rating Bureau.</w:t>
      </w:r>
    </w:p>
    <w:p w14:paraId="2AB0D62B" w14:textId="5F50BAB5" w:rsidR="0096232E" w:rsidRDefault="0096232E" w:rsidP="00ED4197">
      <w:r>
        <w:t xml:space="preserve">It should be the goal of PFD to achieve three-person engine companies and two-person ambulances, discontinuing the practice of cross-staffing these two critical pieces of equipment.  The cross-staffing of critical first response units creates a routine response compromise.  </w:t>
      </w:r>
      <w:r w:rsidRPr="0096232E">
        <w:t>Th</w:t>
      </w:r>
      <w:r>
        <w:t xml:space="preserve">e cross-staffing of </w:t>
      </w:r>
      <w:r w:rsidRPr="0096232E">
        <w:t>brush units (type 6 engines) or othe</w:t>
      </w:r>
      <w:r>
        <w:t>r support units is, however, an efficient practice to follow</w:t>
      </w:r>
      <w:r w:rsidRPr="0096232E">
        <w:t xml:space="preserve">.  </w:t>
      </w:r>
    </w:p>
    <w:p w14:paraId="4FB735BC" w14:textId="77777777" w:rsidR="00896D2F" w:rsidRPr="00896D2F" w:rsidRDefault="00896D2F" w:rsidP="00896D2F">
      <w:pPr>
        <w:pStyle w:val="Heading3"/>
        <w:rPr>
          <w:rFonts w:asciiTheme="majorHAnsi" w:eastAsia="Times New Roman" w:hAnsiTheme="majorHAnsi" w:cs="Times New Roman"/>
        </w:rPr>
      </w:pPr>
      <w:bookmarkStart w:id="344" w:name="_Toc464323633"/>
      <w:r w:rsidRPr="00896D2F">
        <w:rPr>
          <w:rFonts w:asciiTheme="majorHAnsi" w:eastAsia="Times New Roman" w:hAnsiTheme="majorHAnsi" w:cs="Times New Roman"/>
        </w:rPr>
        <w:t>Logistics Center</w:t>
      </w:r>
      <w:bookmarkEnd w:id="344"/>
    </w:p>
    <w:p w14:paraId="68474B98" w14:textId="22A6FC9C" w:rsidR="00896D2F" w:rsidRPr="009F7A3E" w:rsidRDefault="00896D2F" w:rsidP="00896D2F">
      <w:pPr>
        <w:outlineLvl w:val="4"/>
        <w:rPr>
          <w:rFonts w:asciiTheme="majorHAnsi" w:eastAsia="Times New Roman" w:hAnsiTheme="majorHAnsi" w:cs="Times New Roman"/>
          <w:lang w:eastAsia="en-US"/>
        </w:rPr>
      </w:pPr>
      <w:r w:rsidRPr="009F7A3E">
        <w:rPr>
          <w:rFonts w:asciiTheme="majorHAnsi" w:eastAsia="Times New Roman" w:hAnsiTheme="majorHAnsi" w:cs="Times New Roman"/>
          <w:lang w:eastAsia="en-US"/>
        </w:rPr>
        <w:t xml:space="preserve">At the heart of any fire department are the activities and functions that support the delivery of emergency services.  A logistics center keeps agency assets in operational readiness and ensures that enough supplies, tools, and equipment are available for emergency workers to mitigate the emergency.  </w:t>
      </w:r>
      <w:r w:rsidR="009F7A3E" w:rsidRPr="009F7A3E">
        <w:rPr>
          <w:rFonts w:asciiTheme="majorHAnsi" w:eastAsia="Times New Roman" w:hAnsiTheme="majorHAnsi" w:cs="Times New Roman"/>
          <w:lang w:eastAsia="en-US"/>
        </w:rPr>
        <w:t xml:space="preserve">PFD sits in an urbanized core area where inefficient duplication undoubtedly exists as each of the cities which make up the Tri-Cities set up siloed systems that would otherwise lend themselves to a regional approach.  </w:t>
      </w:r>
    </w:p>
    <w:p w14:paraId="122BF60D" w14:textId="1695E462" w:rsidR="00896D2F" w:rsidRPr="009F7A3E" w:rsidRDefault="00896D2F" w:rsidP="00896D2F">
      <w:pPr>
        <w:rPr>
          <w:rFonts w:asciiTheme="majorHAnsi" w:eastAsia="Times New Roman" w:hAnsiTheme="majorHAnsi" w:cs="Times New Roman"/>
          <w:lang w:eastAsia="en-US"/>
        </w:rPr>
      </w:pPr>
      <w:r w:rsidRPr="009F7A3E">
        <w:rPr>
          <w:rFonts w:asciiTheme="majorHAnsi" w:eastAsia="Times New Roman" w:hAnsiTheme="majorHAnsi" w:cs="Times New Roman"/>
          <w:lang w:eastAsia="en-US"/>
        </w:rPr>
        <w:t xml:space="preserve">Although emergency services providers, the </w:t>
      </w:r>
      <w:r w:rsidR="009F7A3E" w:rsidRPr="009F7A3E">
        <w:rPr>
          <w:rFonts w:asciiTheme="majorHAnsi" w:eastAsia="Times New Roman" w:hAnsiTheme="majorHAnsi" w:cs="Times New Roman"/>
          <w:lang w:eastAsia="en-US"/>
        </w:rPr>
        <w:t xml:space="preserve">fire </w:t>
      </w:r>
      <w:r w:rsidRPr="009F7A3E">
        <w:rPr>
          <w:rFonts w:asciiTheme="majorHAnsi" w:eastAsia="Times New Roman" w:hAnsiTheme="majorHAnsi" w:cs="Times New Roman"/>
          <w:lang w:eastAsia="en-US"/>
        </w:rPr>
        <w:t xml:space="preserve">agencies </w:t>
      </w:r>
      <w:r w:rsidR="009F7A3E" w:rsidRPr="009F7A3E">
        <w:rPr>
          <w:rFonts w:asciiTheme="majorHAnsi" w:eastAsia="Times New Roman" w:hAnsiTheme="majorHAnsi" w:cs="Times New Roman"/>
          <w:lang w:eastAsia="en-US"/>
        </w:rPr>
        <w:t xml:space="preserve">in the area </w:t>
      </w:r>
      <w:r w:rsidRPr="009F7A3E">
        <w:rPr>
          <w:rFonts w:asciiTheme="majorHAnsi" w:eastAsia="Times New Roman" w:hAnsiTheme="majorHAnsi" w:cs="Times New Roman"/>
          <w:lang w:eastAsia="en-US"/>
        </w:rPr>
        <w:t xml:space="preserve">are also businesses that </w:t>
      </w:r>
      <w:r w:rsidR="00036F5F">
        <w:rPr>
          <w:rFonts w:asciiTheme="majorHAnsi" w:eastAsia="Times New Roman" w:hAnsiTheme="majorHAnsi" w:cs="Times New Roman"/>
          <w:lang w:eastAsia="en-US"/>
        </w:rPr>
        <w:t xml:space="preserve">collectively </w:t>
      </w:r>
      <w:r w:rsidRPr="009F7A3E">
        <w:rPr>
          <w:rFonts w:asciiTheme="majorHAnsi" w:eastAsia="Times New Roman" w:hAnsiTheme="majorHAnsi" w:cs="Times New Roman"/>
          <w:lang w:eastAsia="en-US"/>
        </w:rPr>
        <w:t xml:space="preserve">spend </w:t>
      </w:r>
      <w:r w:rsidR="00036F5F">
        <w:rPr>
          <w:rFonts w:asciiTheme="majorHAnsi" w:eastAsia="Times New Roman" w:hAnsiTheme="majorHAnsi" w:cs="Times New Roman"/>
          <w:lang w:eastAsia="en-US"/>
        </w:rPr>
        <w:t>hundreds</w:t>
      </w:r>
      <w:r w:rsidRPr="009F7A3E">
        <w:rPr>
          <w:rFonts w:asciiTheme="majorHAnsi" w:eastAsia="Times New Roman" w:hAnsiTheme="majorHAnsi" w:cs="Times New Roman"/>
          <w:lang w:eastAsia="en-US"/>
        </w:rPr>
        <w:t xml:space="preserve"> of thousands of dollars each year to ensure mission </w:t>
      </w:r>
      <w:r w:rsidR="009F7A3E" w:rsidRPr="009F7A3E">
        <w:rPr>
          <w:rFonts w:asciiTheme="majorHAnsi" w:eastAsia="Times New Roman" w:hAnsiTheme="majorHAnsi" w:cs="Times New Roman"/>
          <w:lang w:eastAsia="en-US"/>
        </w:rPr>
        <w:t xml:space="preserve">critical </w:t>
      </w:r>
      <w:r w:rsidRPr="009F7A3E">
        <w:rPr>
          <w:rFonts w:asciiTheme="majorHAnsi" w:eastAsia="Times New Roman" w:hAnsiTheme="majorHAnsi" w:cs="Times New Roman"/>
          <w:lang w:eastAsia="en-US"/>
        </w:rPr>
        <w:t xml:space="preserve">readiness.  Like all businesses, fire departments need to be receptive to new practices to maximize the effectiveness of budget dollars.  Such practices may take the form of economies of scale, administrative efficiencies, paperwork reduction, technological advances, and innovative cost saving concepts.  </w:t>
      </w:r>
    </w:p>
    <w:p w14:paraId="3B8B1B34" w14:textId="4510F790" w:rsidR="00896D2F" w:rsidRPr="009F7A3E" w:rsidRDefault="00896D2F" w:rsidP="00445248">
      <w:pPr>
        <w:spacing w:after="0"/>
        <w:rPr>
          <w:rFonts w:asciiTheme="majorHAnsi" w:eastAsia="Times New Roman" w:hAnsiTheme="majorHAnsi" w:cs="Times New Roman"/>
          <w:lang w:eastAsia="en-US"/>
        </w:rPr>
      </w:pPr>
      <w:r w:rsidRPr="009F7A3E">
        <w:rPr>
          <w:rFonts w:asciiTheme="majorHAnsi" w:eastAsia="Times New Roman" w:hAnsiTheme="majorHAnsi" w:cs="Times New Roman"/>
          <w:lang w:eastAsia="en-US"/>
        </w:rPr>
        <w:t xml:space="preserve">The procurement and distribution of routine supplies is an important behind-the-scenes process that needs hands-on work and meticulous record keeping.  These support services are currently provided by a variety of personnel in the </w:t>
      </w:r>
      <w:r w:rsidR="009F7A3E" w:rsidRPr="009F7A3E">
        <w:rPr>
          <w:rFonts w:asciiTheme="majorHAnsi" w:eastAsia="Times New Roman" w:hAnsiTheme="majorHAnsi" w:cs="Times New Roman"/>
          <w:lang w:eastAsia="en-US"/>
        </w:rPr>
        <w:t>region</w:t>
      </w:r>
      <w:r w:rsidRPr="009F7A3E">
        <w:rPr>
          <w:rFonts w:asciiTheme="majorHAnsi" w:eastAsia="Times New Roman" w:hAnsiTheme="majorHAnsi" w:cs="Times New Roman"/>
          <w:lang w:eastAsia="en-US"/>
        </w:rPr>
        <w:t xml:space="preserve">, some are support and some are </w:t>
      </w:r>
      <w:r w:rsidR="009F7A3E" w:rsidRPr="009F7A3E">
        <w:rPr>
          <w:rFonts w:asciiTheme="majorHAnsi" w:eastAsia="Times New Roman" w:hAnsiTheme="majorHAnsi" w:cs="Times New Roman"/>
          <w:lang w:eastAsia="en-US"/>
        </w:rPr>
        <w:t xml:space="preserve">likely </w:t>
      </w:r>
      <w:r w:rsidRPr="009F7A3E">
        <w:rPr>
          <w:rFonts w:asciiTheme="majorHAnsi" w:eastAsia="Times New Roman" w:hAnsiTheme="majorHAnsi" w:cs="Times New Roman"/>
          <w:lang w:eastAsia="en-US"/>
        </w:rPr>
        <w:t>mana</w:t>
      </w:r>
      <w:r w:rsidR="009F7A3E" w:rsidRPr="009F7A3E">
        <w:rPr>
          <w:rFonts w:asciiTheme="majorHAnsi" w:eastAsia="Times New Roman" w:hAnsiTheme="majorHAnsi" w:cs="Times New Roman"/>
          <w:lang w:eastAsia="en-US"/>
        </w:rPr>
        <w:t>gement.  Filling the demand for logistical support</w:t>
      </w:r>
      <w:r w:rsidRPr="009F7A3E">
        <w:rPr>
          <w:rFonts w:asciiTheme="majorHAnsi" w:eastAsia="Times New Roman" w:hAnsiTheme="majorHAnsi" w:cs="Times New Roman"/>
          <w:lang w:eastAsia="en-US"/>
        </w:rPr>
        <w:t xml:space="preserve"> is a constant necessity in any organization and vital to ensure the operational readiness of the agency. Key elements of a combined logistical </w:t>
      </w:r>
      <w:r w:rsidR="009F7A3E" w:rsidRPr="009F7A3E">
        <w:rPr>
          <w:rFonts w:asciiTheme="majorHAnsi" w:eastAsia="Times New Roman" w:hAnsiTheme="majorHAnsi" w:cs="Times New Roman"/>
          <w:lang w:eastAsia="en-US"/>
        </w:rPr>
        <w:t>center</w:t>
      </w:r>
      <w:r w:rsidRPr="009F7A3E">
        <w:rPr>
          <w:rFonts w:asciiTheme="majorHAnsi" w:eastAsia="Times New Roman" w:hAnsiTheme="majorHAnsi" w:cs="Times New Roman"/>
          <w:lang w:eastAsia="en-US"/>
        </w:rPr>
        <w:t xml:space="preserve"> are:</w:t>
      </w:r>
    </w:p>
    <w:p w14:paraId="629F627F" w14:textId="77777777" w:rsidR="00896D2F" w:rsidRPr="009F7A3E" w:rsidRDefault="00896D2F" w:rsidP="00445248">
      <w:pPr>
        <w:numPr>
          <w:ilvl w:val="0"/>
          <w:numId w:val="36"/>
        </w:numPr>
        <w:ind w:left="720"/>
        <w:contextualSpacing/>
        <w:rPr>
          <w:rFonts w:asciiTheme="majorHAnsi" w:eastAsia="Times New Roman" w:hAnsiTheme="majorHAnsi" w:cs="Times New Roman"/>
          <w:lang w:eastAsia="en-US"/>
        </w:rPr>
      </w:pPr>
      <w:r w:rsidRPr="009F7A3E">
        <w:rPr>
          <w:rFonts w:asciiTheme="majorHAnsi" w:eastAsia="Times New Roman" w:hAnsiTheme="majorHAnsi" w:cs="Times New Roman"/>
          <w:lang w:eastAsia="en-US"/>
        </w:rPr>
        <w:t xml:space="preserve">Assessment of current assets. </w:t>
      </w:r>
    </w:p>
    <w:p w14:paraId="17927C5A" w14:textId="77777777" w:rsidR="00896D2F" w:rsidRPr="009F7A3E" w:rsidRDefault="00896D2F" w:rsidP="00445248">
      <w:pPr>
        <w:numPr>
          <w:ilvl w:val="0"/>
          <w:numId w:val="36"/>
        </w:numPr>
        <w:ind w:left="720"/>
        <w:contextualSpacing/>
        <w:rPr>
          <w:rFonts w:asciiTheme="majorHAnsi" w:eastAsia="Times New Roman" w:hAnsiTheme="majorHAnsi" w:cs="Times New Roman"/>
          <w:lang w:eastAsia="en-US"/>
        </w:rPr>
      </w:pPr>
      <w:r w:rsidRPr="009F7A3E">
        <w:rPr>
          <w:rFonts w:asciiTheme="majorHAnsi" w:eastAsia="Times New Roman" w:hAnsiTheme="majorHAnsi" w:cs="Times New Roman"/>
          <w:lang w:eastAsia="en-US"/>
        </w:rPr>
        <w:t>Assessment of current levels of support service activities.</w:t>
      </w:r>
    </w:p>
    <w:p w14:paraId="69B956D8" w14:textId="77777777" w:rsidR="00896D2F" w:rsidRPr="009F7A3E" w:rsidRDefault="00896D2F" w:rsidP="00445248">
      <w:pPr>
        <w:numPr>
          <w:ilvl w:val="0"/>
          <w:numId w:val="36"/>
        </w:numPr>
        <w:ind w:left="720"/>
        <w:contextualSpacing/>
        <w:rPr>
          <w:rFonts w:asciiTheme="majorHAnsi" w:eastAsia="Times New Roman" w:hAnsiTheme="majorHAnsi" w:cs="Times New Roman"/>
          <w:lang w:eastAsia="en-US"/>
        </w:rPr>
      </w:pPr>
      <w:r w:rsidRPr="009F7A3E">
        <w:rPr>
          <w:rFonts w:asciiTheme="majorHAnsi" w:eastAsia="Times New Roman" w:hAnsiTheme="majorHAnsi" w:cs="Times New Roman"/>
          <w:lang w:eastAsia="en-US"/>
        </w:rPr>
        <w:t>Standardization of apparatus, equipment, and supplies.</w:t>
      </w:r>
    </w:p>
    <w:p w14:paraId="0645879F" w14:textId="77777777" w:rsidR="00896D2F" w:rsidRPr="009F7A3E" w:rsidRDefault="00896D2F" w:rsidP="00445248">
      <w:pPr>
        <w:numPr>
          <w:ilvl w:val="0"/>
          <w:numId w:val="36"/>
        </w:numPr>
        <w:ind w:left="720"/>
        <w:contextualSpacing/>
        <w:rPr>
          <w:rFonts w:asciiTheme="majorHAnsi" w:eastAsia="Times New Roman" w:hAnsiTheme="majorHAnsi" w:cs="Times New Roman"/>
          <w:lang w:eastAsia="en-US"/>
        </w:rPr>
      </w:pPr>
      <w:r w:rsidRPr="009F7A3E">
        <w:rPr>
          <w:rFonts w:asciiTheme="majorHAnsi" w:eastAsia="Times New Roman" w:hAnsiTheme="majorHAnsi" w:cs="Times New Roman"/>
          <w:lang w:eastAsia="en-US"/>
        </w:rPr>
        <w:t xml:space="preserve">Standardization of preventative maintenance programs and recordkeeping. </w:t>
      </w:r>
    </w:p>
    <w:p w14:paraId="6AEFA1FB" w14:textId="77777777" w:rsidR="00896D2F" w:rsidRPr="009F7A3E" w:rsidRDefault="00896D2F" w:rsidP="00445248">
      <w:pPr>
        <w:numPr>
          <w:ilvl w:val="0"/>
          <w:numId w:val="36"/>
        </w:numPr>
        <w:ind w:left="720"/>
        <w:contextualSpacing/>
        <w:rPr>
          <w:rFonts w:asciiTheme="majorHAnsi" w:eastAsia="Times New Roman" w:hAnsiTheme="majorHAnsi" w:cs="Times New Roman"/>
          <w:lang w:eastAsia="en-US"/>
        </w:rPr>
      </w:pPr>
      <w:r w:rsidRPr="009F7A3E">
        <w:rPr>
          <w:rFonts w:asciiTheme="majorHAnsi" w:eastAsia="Times New Roman" w:hAnsiTheme="majorHAnsi" w:cs="Times New Roman"/>
          <w:lang w:eastAsia="en-US"/>
        </w:rPr>
        <w:t>Centralization of supply and equipment acquisition, warehousing and distribution.</w:t>
      </w:r>
    </w:p>
    <w:p w14:paraId="7B84DFAD" w14:textId="692893A1" w:rsidR="00896D2F" w:rsidRPr="009F7A3E" w:rsidRDefault="00896D2F" w:rsidP="009F7A3E">
      <w:pPr>
        <w:spacing w:before="360"/>
        <w:rPr>
          <w:rFonts w:asciiTheme="majorHAnsi" w:eastAsia="Times New Roman" w:hAnsiTheme="majorHAnsi" w:cs="Times New Roman"/>
          <w:lang w:eastAsia="en-US"/>
        </w:rPr>
      </w:pPr>
      <w:r w:rsidRPr="009F7A3E">
        <w:rPr>
          <w:rFonts w:asciiTheme="majorHAnsi" w:eastAsia="Times New Roman" w:hAnsiTheme="majorHAnsi" w:cs="Times New Roman"/>
          <w:lang w:eastAsia="en-US"/>
        </w:rPr>
        <w:t xml:space="preserve">Standardizing specifications for the purchase, repair, and maintenance of apparatus, self-contained breathing apparatus (SCBA), communication devices, Personal Protective Equipment (PPE), </w:t>
      </w:r>
      <w:r w:rsidR="009F7A3E" w:rsidRPr="009F7A3E">
        <w:rPr>
          <w:rFonts w:asciiTheme="majorHAnsi" w:eastAsia="Times New Roman" w:hAnsiTheme="majorHAnsi" w:cs="Times New Roman"/>
          <w:lang w:eastAsia="en-US"/>
        </w:rPr>
        <w:t xml:space="preserve">uniforms, replenishable supplies </w:t>
      </w:r>
      <w:r w:rsidRPr="009F7A3E">
        <w:rPr>
          <w:rFonts w:asciiTheme="majorHAnsi" w:eastAsia="Times New Roman" w:hAnsiTheme="majorHAnsi" w:cs="Times New Roman"/>
          <w:lang w:eastAsia="en-US"/>
        </w:rPr>
        <w:t xml:space="preserve">and miscellaneous equipment often equates to less out-of-service time.  Support personnel </w:t>
      </w:r>
      <w:r w:rsidR="009F7A3E" w:rsidRPr="009F7A3E">
        <w:rPr>
          <w:rFonts w:asciiTheme="majorHAnsi" w:eastAsia="Times New Roman" w:hAnsiTheme="majorHAnsi" w:cs="Times New Roman"/>
          <w:lang w:eastAsia="en-US"/>
        </w:rPr>
        <w:t>setting up a requisition and delivery system is a key efficiency of this type of approach</w:t>
      </w:r>
      <w:r w:rsidRPr="009F7A3E">
        <w:rPr>
          <w:rFonts w:asciiTheme="majorHAnsi" w:eastAsia="Times New Roman" w:hAnsiTheme="majorHAnsi" w:cs="Times New Roman"/>
          <w:lang w:eastAsia="en-US"/>
        </w:rPr>
        <w:t xml:space="preserve">.  These economies of scale accrue to the benefit of each participating agency.  </w:t>
      </w:r>
    </w:p>
    <w:p w14:paraId="326DFF46" w14:textId="77777777" w:rsidR="00036F5F" w:rsidRDefault="00896D2F" w:rsidP="00445248">
      <w:pPr>
        <w:spacing w:after="0"/>
        <w:rPr>
          <w:rFonts w:asciiTheme="majorHAnsi" w:eastAsia="Times New Roman" w:hAnsiTheme="majorHAnsi" w:cs="Times New Roman"/>
          <w:lang w:eastAsia="en-US"/>
        </w:rPr>
      </w:pPr>
      <w:r w:rsidRPr="00036F5F">
        <w:rPr>
          <w:rFonts w:asciiTheme="majorHAnsi" w:eastAsia="Times New Roman" w:hAnsiTheme="majorHAnsi" w:cs="Times New Roman"/>
          <w:lang w:eastAsia="en-US"/>
        </w:rPr>
        <w:t>Distribution can be managed internally or through agreements with suppliers to gain the advantages of collective purchasing and supply</w:t>
      </w:r>
      <w:r w:rsidR="00036F5F">
        <w:rPr>
          <w:rFonts w:asciiTheme="majorHAnsi" w:eastAsia="Times New Roman" w:hAnsiTheme="majorHAnsi" w:cs="Times New Roman"/>
          <w:lang w:eastAsia="en-US"/>
        </w:rPr>
        <w:t>, such as</w:t>
      </w:r>
      <w:r w:rsidRPr="00036F5F">
        <w:rPr>
          <w:rFonts w:asciiTheme="majorHAnsi" w:eastAsia="Times New Roman" w:hAnsiTheme="majorHAnsi" w:cs="Times New Roman"/>
          <w:lang w:eastAsia="en-US"/>
        </w:rPr>
        <w:t>:</w:t>
      </w:r>
    </w:p>
    <w:p w14:paraId="03BD0A67" w14:textId="5CCDB655" w:rsidR="00036F5F" w:rsidRDefault="00445248" w:rsidP="00500DB3">
      <w:pPr>
        <w:pStyle w:val="ListParagraph"/>
        <w:numPr>
          <w:ilvl w:val="0"/>
          <w:numId w:val="37"/>
        </w:numPr>
        <w:ind w:left="720"/>
        <w:rPr>
          <w:rFonts w:asciiTheme="majorHAnsi" w:eastAsia="Times New Roman" w:hAnsiTheme="majorHAnsi" w:cs="Times New Roman"/>
          <w:lang w:eastAsia="en-US"/>
        </w:rPr>
      </w:pPr>
      <w:r>
        <w:rPr>
          <w:rFonts w:asciiTheme="majorHAnsi" w:eastAsia="Times New Roman" w:hAnsiTheme="majorHAnsi" w:cs="Times New Roman"/>
          <w:lang w:eastAsia="en-US"/>
        </w:rPr>
        <w:t xml:space="preserve">Administering </w:t>
      </w:r>
      <w:r w:rsidR="00896D2F" w:rsidRPr="00036F5F">
        <w:rPr>
          <w:rFonts w:asciiTheme="majorHAnsi" w:eastAsia="Times New Roman" w:hAnsiTheme="majorHAnsi" w:cs="Times New Roman"/>
          <w:lang w:eastAsia="en-US"/>
        </w:rPr>
        <w:t>a larger collective bid process for supplies can achieve lower prices and attract additional competitors</w:t>
      </w:r>
      <w:r w:rsidR="00036F5F">
        <w:rPr>
          <w:rFonts w:asciiTheme="majorHAnsi" w:eastAsia="Times New Roman" w:hAnsiTheme="majorHAnsi" w:cs="Times New Roman"/>
          <w:lang w:eastAsia="en-US"/>
        </w:rPr>
        <w:t>;</w:t>
      </w:r>
    </w:p>
    <w:p w14:paraId="3F502DEF" w14:textId="3B4ACBBF" w:rsidR="00036F5F" w:rsidRDefault="00445248" w:rsidP="00500DB3">
      <w:pPr>
        <w:pStyle w:val="ListParagraph"/>
        <w:numPr>
          <w:ilvl w:val="0"/>
          <w:numId w:val="37"/>
        </w:numPr>
        <w:ind w:left="720"/>
        <w:rPr>
          <w:rFonts w:asciiTheme="majorHAnsi" w:eastAsia="Times New Roman" w:hAnsiTheme="majorHAnsi" w:cs="Times New Roman"/>
          <w:lang w:eastAsia="en-US"/>
        </w:rPr>
      </w:pPr>
      <w:r w:rsidRPr="00036F5F">
        <w:rPr>
          <w:rFonts w:asciiTheme="majorHAnsi" w:eastAsia="Times New Roman" w:hAnsiTheme="majorHAnsi" w:cs="Times New Roman"/>
          <w:lang w:eastAsia="en-US"/>
        </w:rPr>
        <w:t>Negotiat</w:t>
      </w:r>
      <w:r>
        <w:rPr>
          <w:rFonts w:asciiTheme="majorHAnsi" w:eastAsia="Times New Roman" w:hAnsiTheme="majorHAnsi" w:cs="Times New Roman"/>
          <w:lang w:eastAsia="en-US"/>
        </w:rPr>
        <w:t>ing</w:t>
      </w:r>
      <w:r w:rsidRPr="00036F5F">
        <w:rPr>
          <w:rFonts w:asciiTheme="majorHAnsi" w:eastAsia="Times New Roman" w:hAnsiTheme="majorHAnsi" w:cs="Times New Roman"/>
          <w:lang w:eastAsia="en-US"/>
        </w:rPr>
        <w:t xml:space="preserve"> </w:t>
      </w:r>
      <w:r w:rsidR="00896D2F" w:rsidRPr="00036F5F">
        <w:rPr>
          <w:rFonts w:asciiTheme="majorHAnsi" w:eastAsia="Times New Roman" w:hAnsiTheme="majorHAnsi" w:cs="Times New Roman"/>
          <w:lang w:eastAsia="en-US"/>
        </w:rPr>
        <w:t xml:space="preserve">terms of the conditions of </w:t>
      </w:r>
      <w:r w:rsidR="00036F5F">
        <w:rPr>
          <w:rFonts w:asciiTheme="majorHAnsi" w:eastAsia="Times New Roman" w:hAnsiTheme="majorHAnsi" w:cs="Times New Roman"/>
          <w:lang w:eastAsia="en-US"/>
        </w:rPr>
        <w:t>a</w:t>
      </w:r>
      <w:r w:rsidR="00896D2F" w:rsidRPr="00036F5F">
        <w:rPr>
          <w:rFonts w:asciiTheme="majorHAnsi" w:eastAsia="Times New Roman" w:hAnsiTheme="majorHAnsi" w:cs="Times New Roman"/>
          <w:lang w:eastAsia="en-US"/>
        </w:rPr>
        <w:t xml:space="preserve"> </w:t>
      </w:r>
      <w:r w:rsidR="00036F5F" w:rsidRPr="00036F5F">
        <w:rPr>
          <w:rFonts w:asciiTheme="majorHAnsi" w:eastAsia="Times New Roman" w:hAnsiTheme="majorHAnsi" w:cs="Times New Roman"/>
          <w:lang w:eastAsia="en-US"/>
        </w:rPr>
        <w:t>purchase</w:t>
      </w:r>
      <w:r w:rsidR="00896D2F" w:rsidRPr="00036F5F">
        <w:rPr>
          <w:rFonts w:asciiTheme="majorHAnsi" w:eastAsia="Times New Roman" w:hAnsiTheme="majorHAnsi" w:cs="Times New Roman"/>
          <w:lang w:eastAsia="en-US"/>
        </w:rPr>
        <w:t xml:space="preserve"> that might not be available to smaller purchasing centers, and</w:t>
      </w:r>
      <w:r w:rsidR="00036F5F">
        <w:rPr>
          <w:rFonts w:asciiTheme="majorHAnsi" w:eastAsia="Times New Roman" w:hAnsiTheme="majorHAnsi" w:cs="Times New Roman"/>
          <w:lang w:eastAsia="en-US"/>
        </w:rPr>
        <w:t>;</w:t>
      </w:r>
      <w:r w:rsidR="00896D2F" w:rsidRPr="00036F5F">
        <w:rPr>
          <w:rFonts w:asciiTheme="majorHAnsi" w:eastAsia="Times New Roman" w:hAnsiTheme="majorHAnsi" w:cs="Times New Roman"/>
          <w:lang w:eastAsia="en-US"/>
        </w:rPr>
        <w:t xml:space="preserve"> </w:t>
      </w:r>
    </w:p>
    <w:p w14:paraId="29110597" w14:textId="0B74AB00" w:rsidR="00896D2F" w:rsidRPr="00036F5F" w:rsidRDefault="00445248" w:rsidP="00500DB3">
      <w:pPr>
        <w:pStyle w:val="ListParagraph"/>
        <w:numPr>
          <w:ilvl w:val="0"/>
          <w:numId w:val="37"/>
        </w:numPr>
        <w:ind w:left="720"/>
        <w:rPr>
          <w:rFonts w:asciiTheme="majorHAnsi" w:eastAsia="Times New Roman" w:hAnsiTheme="majorHAnsi" w:cs="Times New Roman"/>
          <w:lang w:eastAsia="en-US"/>
        </w:rPr>
      </w:pPr>
      <w:r>
        <w:rPr>
          <w:rFonts w:asciiTheme="majorHAnsi" w:eastAsia="Times New Roman" w:hAnsiTheme="majorHAnsi" w:cs="Times New Roman"/>
          <w:lang w:eastAsia="en-US"/>
        </w:rPr>
        <w:t>C</w:t>
      </w:r>
      <w:r w:rsidRPr="00036F5F">
        <w:rPr>
          <w:rFonts w:asciiTheme="majorHAnsi" w:eastAsia="Times New Roman" w:hAnsiTheme="majorHAnsi" w:cs="Times New Roman"/>
          <w:lang w:eastAsia="en-US"/>
        </w:rPr>
        <w:t>onduct</w:t>
      </w:r>
      <w:r>
        <w:rPr>
          <w:rFonts w:asciiTheme="majorHAnsi" w:eastAsia="Times New Roman" w:hAnsiTheme="majorHAnsi" w:cs="Times New Roman"/>
          <w:lang w:eastAsia="en-US"/>
        </w:rPr>
        <w:t>ing</w:t>
      </w:r>
      <w:r w:rsidRPr="00036F5F">
        <w:rPr>
          <w:rFonts w:asciiTheme="majorHAnsi" w:eastAsia="Times New Roman" w:hAnsiTheme="majorHAnsi" w:cs="Times New Roman"/>
          <w:lang w:eastAsia="en-US"/>
        </w:rPr>
        <w:t xml:space="preserve"> </w:t>
      </w:r>
      <w:r w:rsidR="00896D2F" w:rsidRPr="00036F5F">
        <w:rPr>
          <w:rFonts w:asciiTheme="majorHAnsi" w:eastAsia="Times New Roman" w:hAnsiTheme="majorHAnsi" w:cs="Times New Roman"/>
          <w:lang w:eastAsia="en-US"/>
        </w:rPr>
        <w:t xml:space="preserve">collective bidding processes that are applicable to all of the agencies.  </w:t>
      </w:r>
    </w:p>
    <w:p w14:paraId="37179868" w14:textId="621A6F0A" w:rsidR="00896D2F" w:rsidRDefault="00896D2F" w:rsidP="00896D2F">
      <w:pPr>
        <w:outlineLvl w:val="4"/>
        <w:rPr>
          <w:rFonts w:asciiTheme="majorHAnsi" w:eastAsia="Times New Roman" w:hAnsiTheme="majorHAnsi" w:cs="Times New Roman"/>
          <w:lang w:eastAsia="en-US"/>
        </w:rPr>
      </w:pPr>
      <w:r w:rsidRPr="00036F5F">
        <w:rPr>
          <w:rFonts w:asciiTheme="majorHAnsi" w:eastAsia="Times New Roman" w:hAnsiTheme="majorHAnsi" w:cs="Times New Roman"/>
          <w:lang w:eastAsia="en-US"/>
        </w:rPr>
        <w:t>The agencies can jointly determine the proper level of inventory to maintain within the system.  The use of system-wide inventory planning ensures that the most cost-effective inventory management can be established for the system participants.  This is referred to as “Just-In-Time” Inventory.  To a great degree, a just-in-time inventory process relies on the efficient monitoring of the usage of materials and ordering replacement goods that arrive shortly before they are needed. This simple strategy helps to prevent incurring the costs associated with carrying large inventories of raw materials at any given point</w:t>
      </w:r>
      <w:r w:rsidR="00036F5F">
        <w:rPr>
          <w:rFonts w:asciiTheme="majorHAnsi" w:eastAsia="Times New Roman" w:hAnsiTheme="majorHAnsi" w:cs="Times New Roman"/>
          <w:lang w:eastAsia="en-US"/>
        </w:rPr>
        <w:t>.</w:t>
      </w:r>
    </w:p>
    <w:p w14:paraId="347F4DAE" w14:textId="0816FE75" w:rsidR="00A775DE" w:rsidRPr="00B460EA" w:rsidRDefault="00A775DE" w:rsidP="00A775DE">
      <w:pPr>
        <w:pStyle w:val="Heading3"/>
        <w:rPr>
          <w:rFonts w:eastAsia="Calibri"/>
        </w:rPr>
      </w:pPr>
      <w:bookmarkStart w:id="345" w:name="_Toc464323634"/>
      <w:bookmarkStart w:id="346" w:name="_Toc357084188"/>
      <w:r w:rsidRPr="00B460EA">
        <w:rPr>
          <w:rFonts w:eastAsia="Calibri"/>
        </w:rPr>
        <w:t xml:space="preserve">Station </w:t>
      </w:r>
      <w:r w:rsidR="00B709B4">
        <w:rPr>
          <w:rFonts w:eastAsia="Calibri"/>
        </w:rPr>
        <w:t>Redeployment</w:t>
      </w:r>
      <w:bookmarkEnd w:id="345"/>
    </w:p>
    <w:p w14:paraId="2360BC2C" w14:textId="6E32BBEA" w:rsidR="00B460EA" w:rsidRPr="00B460EA" w:rsidRDefault="00B460EA" w:rsidP="00445248">
      <w:pPr>
        <w:spacing w:after="0"/>
      </w:pPr>
      <w:r w:rsidRPr="00B460EA">
        <w:t>While PFD has done amazing work, it is clear</w:t>
      </w:r>
      <w:r w:rsidR="004D79EC">
        <w:t>ly straining to keep up.  T</w:t>
      </w:r>
      <w:r w:rsidRPr="00B460EA">
        <w:t>he service level and capability are not sustainable without commensurate growth of resources to match the unprecedented growth of emergency demand and of the city itself. ESCI sees indications of the system declining in the following ways:</w:t>
      </w:r>
    </w:p>
    <w:p w14:paraId="076E1360" w14:textId="60C1327D" w:rsidR="00B61D5C" w:rsidRDefault="00B460EA" w:rsidP="007705AA">
      <w:pPr>
        <w:pStyle w:val="ListParagraph"/>
        <w:numPr>
          <w:ilvl w:val="0"/>
          <w:numId w:val="35"/>
        </w:numPr>
        <w:spacing w:after="120" w:line="240" w:lineRule="auto"/>
        <w:contextualSpacing w:val="0"/>
      </w:pPr>
      <w:r w:rsidRPr="00B460EA">
        <w:t xml:space="preserve">PFD is at the </w:t>
      </w:r>
      <w:r w:rsidRPr="004D79EC">
        <w:rPr>
          <w:b/>
          <w:i/>
          <w:u w:val="single"/>
        </w:rPr>
        <w:t>minimum</w:t>
      </w:r>
      <w:r w:rsidRPr="00B460EA">
        <w:t xml:space="preserve"> performance for its own </w:t>
      </w:r>
      <w:r w:rsidR="00A775DE" w:rsidRPr="00B460EA">
        <w:t xml:space="preserve">goal </w:t>
      </w:r>
      <w:r w:rsidR="004D79EC">
        <w:t>of</w:t>
      </w:r>
      <w:r w:rsidR="00A775DE" w:rsidRPr="00B460EA">
        <w:t xml:space="preserve"> the first apparatus on scene (</w:t>
      </w:r>
      <w:r w:rsidR="00B61D5C">
        <w:t>89.7 percent</w:t>
      </w:r>
      <w:r w:rsidR="00A775DE" w:rsidRPr="00B460EA">
        <w:t>)</w:t>
      </w:r>
      <w:r w:rsidR="00445248">
        <w:t>.</w:t>
      </w:r>
    </w:p>
    <w:p w14:paraId="6E86A72A" w14:textId="725D0932" w:rsidR="00A775DE" w:rsidRPr="00B61D5C" w:rsidRDefault="00B460EA" w:rsidP="007705AA">
      <w:pPr>
        <w:pStyle w:val="ListParagraph"/>
        <w:numPr>
          <w:ilvl w:val="0"/>
          <w:numId w:val="35"/>
        </w:numPr>
        <w:spacing w:after="120" w:line="240" w:lineRule="auto"/>
        <w:contextualSpacing w:val="0"/>
      </w:pPr>
      <w:r w:rsidRPr="00B61D5C">
        <w:t>PFD is c</w:t>
      </w:r>
      <w:r w:rsidR="00A775DE" w:rsidRPr="00B61D5C">
        <w:t xml:space="preserve">urrently only able to assemble a full first alarm </w:t>
      </w:r>
      <w:r w:rsidR="00B61D5C" w:rsidRPr="00B61D5C">
        <w:t xml:space="preserve">in 12 minutes </w:t>
      </w:r>
      <w:r w:rsidR="004D79EC" w:rsidRPr="004D79EC">
        <w:t xml:space="preserve">or less </w:t>
      </w:r>
      <w:r w:rsidR="00B61D5C" w:rsidRPr="00B61D5C">
        <w:t xml:space="preserve">travel time (its self-imposed performance goal) </w:t>
      </w:r>
      <w:r w:rsidR="00A775DE" w:rsidRPr="00B61D5C">
        <w:t>at 50 percent of fire suppression events.</w:t>
      </w:r>
      <w:r w:rsidR="008514A6" w:rsidRPr="00B61D5C">
        <w:t xml:space="preserve"> </w:t>
      </w:r>
      <w:r w:rsidR="004D79EC">
        <w:t xml:space="preserve">The goal is 90 percent. </w:t>
      </w:r>
      <w:r w:rsidR="00B61D5C" w:rsidRPr="00B61D5C">
        <w:t>C</w:t>
      </w:r>
      <w:r w:rsidR="008514A6" w:rsidRPr="00B61D5C">
        <w:t>urrent service demand and</w:t>
      </w:r>
      <w:r w:rsidR="008514A6" w:rsidRPr="008514A6">
        <w:t xml:space="preserve"> the lack of additional resources negatively affects the time required to assemble a full first alarm.  </w:t>
      </w:r>
    </w:p>
    <w:p w14:paraId="14A0A8B9" w14:textId="77D639A7" w:rsidR="00A775DE" w:rsidRPr="00B61D5C" w:rsidRDefault="00A775DE" w:rsidP="007705AA">
      <w:pPr>
        <w:pStyle w:val="ListParagraph"/>
        <w:numPr>
          <w:ilvl w:val="0"/>
          <w:numId w:val="35"/>
        </w:numPr>
        <w:spacing w:after="120" w:line="240" w:lineRule="auto"/>
        <w:contextualSpacing w:val="0"/>
      </w:pPr>
      <w:r w:rsidRPr="00B61D5C">
        <w:t xml:space="preserve">PFD is currently rated as a Class 5 fire department by WSRB. Lack of engine companies </w:t>
      </w:r>
      <w:r w:rsidR="00B61D5C">
        <w:t xml:space="preserve">and their staffing </w:t>
      </w:r>
      <w:r w:rsidRPr="00B61D5C">
        <w:t>has been identified as a deficiency.</w:t>
      </w:r>
    </w:p>
    <w:p w14:paraId="72757ECC" w14:textId="250302E8" w:rsidR="00A775DE" w:rsidRPr="00B61D5C" w:rsidRDefault="00A775DE" w:rsidP="007705AA">
      <w:pPr>
        <w:pStyle w:val="ListParagraph"/>
        <w:numPr>
          <w:ilvl w:val="0"/>
          <w:numId w:val="35"/>
        </w:numPr>
        <w:spacing w:after="120" w:line="240" w:lineRule="auto"/>
        <w:contextualSpacing w:val="0"/>
      </w:pPr>
      <w:r w:rsidRPr="00B61D5C">
        <w:t>The population within the service area has increased by over 14 percent since 2010.</w:t>
      </w:r>
    </w:p>
    <w:p w14:paraId="208E3DCA" w14:textId="05D8E487" w:rsidR="00A775DE" w:rsidRPr="00B61D5C" w:rsidRDefault="00A775DE" w:rsidP="007705AA">
      <w:pPr>
        <w:pStyle w:val="ListParagraph"/>
        <w:numPr>
          <w:ilvl w:val="0"/>
          <w:numId w:val="35"/>
        </w:numPr>
        <w:spacing w:after="120" w:line="240" w:lineRule="auto"/>
        <w:contextualSpacing w:val="0"/>
      </w:pPr>
      <w:r w:rsidRPr="00B61D5C">
        <w:t xml:space="preserve">New development and population growth </w:t>
      </w:r>
      <w:r w:rsidR="00445248">
        <w:t>are</w:t>
      </w:r>
      <w:r w:rsidRPr="00B61D5C">
        <w:t xml:space="preserve"> projected to continue increasing, both in the near future and long term. </w:t>
      </w:r>
    </w:p>
    <w:p w14:paraId="731F6642" w14:textId="2CED0C4E" w:rsidR="00A775DE" w:rsidRPr="00B61D5C" w:rsidRDefault="00A775DE" w:rsidP="007705AA">
      <w:pPr>
        <w:pStyle w:val="ListParagraph"/>
        <w:numPr>
          <w:ilvl w:val="0"/>
          <w:numId w:val="35"/>
        </w:numPr>
        <w:spacing w:after="120" w:line="240" w:lineRule="auto"/>
        <w:contextualSpacing w:val="0"/>
      </w:pPr>
      <w:r w:rsidRPr="00B61D5C">
        <w:t>Service demand has steadily increased and is projected to continue increasing</w:t>
      </w:r>
      <w:r w:rsidR="00445248">
        <w:t>; it</w:t>
      </w:r>
      <w:r w:rsidR="00B61D5C" w:rsidRPr="00B61D5C">
        <w:t xml:space="preserve"> will</w:t>
      </w:r>
      <w:r w:rsidRPr="00B61D5C">
        <w:t xml:space="preserve"> negatively affect response performance in the near future.</w:t>
      </w:r>
    </w:p>
    <w:p w14:paraId="04F517AB" w14:textId="12DC1305" w:rsidR="00A775DE" w:rsidRPr="00896D2F" w:rsidRDefault="00A775DE" w:rsidP="00A775DE">
      <w:pPr>
        <w:ind w:left="360"/>
        <w:rPr>
          <w:highlight w:val="yellow"/>
        </w:rPr>
      </w:pPr>
    </w:p>
    <w:p w14:paraId="5C429486" w14:textId="3002ADE3" w:rsidR="00353F18" w:rsidRPr="00353F18" w:rsidRDefault="00353F18" w:rsidP="00500DB3">
      <w:pPr>
        <w:spacing w:after="200"/>
      </w:pPr>
      <w:r w:rsidRPr="00353F18">
        <w:t>Currently</w:t>
      </w:r>
      <w:r>
        <w:t>,</w:t>
      </w:r>
      <w:r w:rsidRPr="00353F18">
        <w:t xml:space="preserve"> the three staffed PFD stations are within six minutes </w:t>
      </w:r>
      <w:r w:rsidR="004D79EC" w:rsidRPr="004D79EC">
        <w:t xml:space="preserve">or less </w:t>
      </w:r>
      <w:r w:rsidRPr="00353F18">
        <w:t xml:space="preserve">travel </w:t>
      </w:r>
      <w:r w:rsidR="004D79EC">
        <w:t xml:space="preserve">time </w:t>
      </w:r>
      <w:r>
        <w:t>to</w:t>
      </w:r>
      <w:r w:rsidRPr="00353F18">
        <w:t xml:space="preserve"> over 95 percent of current service demand inside the Pasco UGB. </w:t>
      </w:r>
      <w:r>
        <w:t xml:space="preserve">However, the fact that PFD actually achieves this travel time less than 90 percent of the time is an indication that concurrent calls </w:t>
      </w:r>
      <w:r w:rsidR="004D79EC">
        <w:t>are</w:t>
      </w:r>
      <w:r>
        <w:t xml:space="preserve"> negatively impacting service.</w:t>
      </w:r>
    </w:p>
    <w:p w14:paraId="4999A96D" w14:textId="5882929D" w:rsidR="00A775DE" w:rsidRPr="00353F18" w:rsidRDefault="00A775DE" w:rsidP="00445248">
      <w:pPr>
        <w:pStyle w:val="Caption"/>
      </w:pPr>
      <w:bookmarkStart w:id="347" w:name="_Ref455755615"/>
      <w:bookmarkStart w:id="348" w:name="_Ref455755607"/>
      <w:bookmarkStart w:id="349" w:name="_Toc464323737"/>
      <w:r w:rsidRPr="00353F18">
        <w:t xml:space="preserve">Figure </w:t>
      </w:r>
      <w:r w:rsidR="00432AD4">
        <w:fldChar w:fldCharType="begin"/>
      </w:r>
      <w:r w:rsidR="00432AD4">
        <w:instrText xml:space="preserve"> SEQ Figure \* ARABIC </w:instrText>
      </w:r>
      <w:r w:rsidR="00432AD4">
        <w:fldChar w:fldCharType="separate"/>
      </w:r>
      <w:r w:rsidR="008209A2">
        <w:rPr>
          <w:noProof/>
        </w:rPr>
        <w:t>95</w:t>
      </w:r>
      <w:r w:rsidR="00432AD4">
        <w:rPr>
          <w:noProof/>
        </w:rPr>
        <w:fldChar w:fldCharType="end"/>
      </w:r>
      <w:bookmarkEnd w:id="347"/>
      <w:r w:rsidR="00F93A12">
        <w:t xml:space="preserve">: Current </w:t>
      </w:r>
      <w:r w:rsidRPr="00353F18">
        <w:t>Staffed Station Deployment</w:t>
      </w:r>
      <w:bookmarkEnd w:id="348"/>
      <w:bookmarkEnd w:id="349"/>
    </w:p>
    <w:p w14:paraId="27059E2E" w14:textId="63932247" w:rsidR="00A775DE" w:rsidRDefault="00A775DE" w:rsidP="00A775DE">
      <w:pPr>
        <w:rPr>
          <w:highlight w:val="yellow"/>
        </w:rPr>
      </w:pPr>
      <w:r w:rsidRPr="00896D2F">
        <w:rPr>
          <w:noProof/>
          <w:highlight w:val="yellow"/>
          <w:lang w:eastAsia="en-US"/>
        </w:rPr>
        <w:drawing>
          <wp:inline distT="0" distB="0" distL="0" distR="0" wp14:anchorId="50671837" wp14:editId="1E18DB5C">
            <wp:extent cx="5943600" cy="4245610"/>
            <wp:effectExtent l="0" t="0" r="0" b="254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FD Incidents and Travel Time_6 Minutes.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4245610"/>
                    </a:xfrm>
                    <a:prstGeom prst="rect">
                      <a:avLst/>
                    </a:prstGeom>
                  </pic:spPr>
                </pic:pic>
              </a:graphicData>
            </a:graphic>
          </wp:inline>
        </w:drawing>
      </w:r>
    </w:p>
    <w:p w14:paraId="616A62D3" w14:textId="4D3E4158" w:rsidR="00B709B4" w:rsidRDefault="00353F18" w:rsidP="00D729A0">
      <w:r w:rsidRPr="00D729A0">
        <w:t>ESCI believes that Station 84 should be staffed</w:t>
      </w:r>
      <w:r w:rsidR="00D729A0" w:rsidRPr="00D729A0">
        <w:t xml:space="preserve"> but not at its current location. </w:t>
      </w:r>
      <w:r w:rsidR="00D729A0">
        <w:t xml:space="preserve">As depicted in </w:t>
      </w:r>
      <w:r w:rsidR="00445248">
        <w:t>the following figure</w:t>
      </w:r>
      <w:r w:rsidR="00D729A0">
        <w:t>, ESCI recommends</w:t>
      </w:r>
      <w:r w:rsidR="00D729A0" w:rsidRPr="00D729A0">
        <w:t xml:space="preserve"> relocating Station 84 west of its current location to the area of West Court Street and Road 68</w:t>
      </w:r>
      <w:r w:rsidR="00D729A0">
        <w:t>.  Further, ESCI recommends relocating Station 83 north to the area of Sandifur Parkway and Road 68</w:t>
      </w:r>
      <w:r w:rsidR="007C017E">
        <w:t>.  By making these changes</w:t>
      </w:r>
      <w:r w:rsidR="00D729A0">
        <w:t xml:space="preserve">, approximately 99 percent of current service demand inside the Pasco UGB is within six </w:t>
      </w:r>
      <w:r w:rsidR="005C4E67">
        <w:t>minutes or less travel time</w:t>
      </w:r>
      <w:r w:rsidR="00D729A0">
        <w:t xml:space="preserve"> of a staffed station.  </w:t>
      </w:r>
    </w:p>
    <w:p w14:paraId="1EFA483A" w14:textId="4977F17B" w:rsidR="00574EB2" w:rsidRDefault="00574EB2" w:rsidP="00D729A0">
      <w:r>
        <w:t xml:space="preserve">The relocation of these two stations </w:t>
      </w:r>
      <w:r w:rsidR="006F0011">
        <w:t xml:space="preserve">also </w:t>
      </w:r>
      <w:r>
        <w:t>provides PFD with the opportunity to construct either station with administrative offices in mind.</w:t>
      </w:r>
      <w:r w:rsidR="006F0011">
        <w:t xml:space="preserve"> Designing one of the stations </w:t>
      </w:r>
      <w:r w:rsidR="00310EDE">
        <w:t>to also house</w:t>
      </w:r>
      <w:r w:rsidR="006F0011">
        <w:t xml:space="preserve"> administrative offices </w:t>
      </w:r>
      <w:r w:rsidR="00310EDE">
        <w:t>with proper flow and separation</w:t>
      </w:r>
      <w:r w:rsidR="006F0011">
        <w:t xml:space="preserve"> can be done</w:t>
      </w:r>
      <w:r>
        <w:t xml:space="preserve"> without compromising </w:t>
      </w:r>
      <w:r w:rsidR="00310EDE">
        <w:t>its</w:t>
      </w:r>
      <w:r>
        <w:t xml:space="preserve"> function as an active fire station.</w:t>
      </w:r>
    </w:p>
    <w:p w14:paraId="5950099A" w14:textId="1C1517BB" w:rsidR="00353F18" w:rsidRDefault="00353F18" w:rsidP="009F6573">
      <w:pPr>
        <w:pStyle w:val="Caption"/>
        <w:rPr>
          <w:highlight w:val="yellow"/>
        </w:rPr>
      </w:pPr>
      <w:bookmarkStart w:id="350" w:name="_Ref455756339"/>
      <w:bookmarkStart w:id="351" w:name="_Toc464323738"/>
      <w:r>
        <w:t xml:space="preserve">Figure </w:t>
      </w:r>
      <w:r w:rsidR="00432AD4">
        <w:fldChar w:fldCharType="begin"/>
      </w:r>
      <w:r w:rsidR="00432AD4">
        <w:instrText xml:space="preserve"> SEQ Figure \* ARABIC </w:instrText>
      </w:r>
      <w:r w:rsidR="00432AD4">
        <w:fldChar w:fldCharType="separate"/>
      </w:r>
      <w:r w:rsidR="008209A2">
        <w:rPr>
          <w:noProof/>
        </w:rPr>
        <w:t>96</w:t>
      </w:r>
      <w:r w:rsidR="00432AD4">
        <w:rPr>
          <w:noProof/>
        </w:rPr>
        <w:fldChar w:fldCharType="end"/>
      </w:r>
      <w:bookmarkEnd w:id="350"/>
      <w:r>
        <w:t xml:space="preserve">: </w:t>
      </w:r>
      <w:r w:rsidR="00F93A12">
        <w:t>Proposed Four</w:t>
      </w:r>
      <w:r w:rsidRPr="00353F18">
        <w:t xml:space="preserve"> Staffed Station Deployment</w:t>
      </w:r>
      <w:r>
        <w:t xml:space="preserve"> &amp; Reconfiguration</w:t>
      </w:r>
      <w:bookmarkEnd w:id="351"/>
    </w:p>
    <w:p w14:paraId="7878E57A" w14:textId="3B890C4F" w:rsidR="00353F18" w:rsidRDefault="00353F18" w:rsidP="00353F18">
      <w:pPr>
        <w:pStyle w:val="ESCiNormalParagraphChar"/>
        <w:rPr>
          <w:highlight w:val="yellow"/>
        </w:rPr>
      </w:pPr>
      <w:r w:rsidRPr="00353F18">
        <w:rPr>
          <w:rFonts w:eastAsia="Calibri" w:cs="Times New Roman"/>
          <w:noProof/>
          <w:color w:val="auto"/>
          <w:szCs w:val="22"/>
          <w:lang w:eastAsia="en-US"/>
        </w:rPr>
        <w:drawing>
          <wp:inline distT="0" distB="0" distL="0" distR="0" wp14:anchorId="36BE3C3C" wp14:editId="07721D4F">
            <wp:extent cx="5943600" cy="4245610"/>
            <wp:effectExtent l="0" t="0" r="0" b="254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FD Proposed 4 Station_81,82,83 Relocated,Relocated 84.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4245610"/>
                    </a:xfrm>
                    <a:prstGeom prst="rect">
                      <a:avLst/>
                    </a:prstGeom>
                  </pic:spPr>
                </pic:pic>
              </a:graphicData>
            </a:graphic>
          </wp:inline>
        </w:drawing>
      </w:r>
    </w:p>
    <w:p w14:paraId="441AFB45" w14:textId="3B24C1BD" w:rsidR="00B709B4" w:rsidRDefault="00B709B4" w:rsidP="00B709B4">
      <w:pPr>
        <w:pStyle w:val="ESCiNormalParagraphChar"/>
      </w:pPr>
      <w:r>
        <w:t>This station redeployment anticipates increased future demand in the Riverview are as well as north of Interstate 82.  The redeployment also increases the concentration of PFD resources available for concurrent (simultaneous) or higher risk incidents and increases the area covered in a balanced manner.</w:t>
      </w:r>
    </w:p>
    <w:p w14:paraId="13A9FDB5" w14:textId="167150DE" w:rsidR="00B709B4" w:rsidRDefault="00B709B4" w:rsidP="00B709B4">
      <w:pPr>
        <w:pStyle w:val="ESCiNormalParagraphChar"/>
      </w:pPr>
      <w:r>
        <w:t xml:space="preserve">Staffing of Station 84 can begin earlier than the time it takes to acquire a new site and construct the new station.  ESCI believes it would be prudent to implement a Peak Activity Unit (see description earlier in this section), temporarily housed at the existing </w:t>
      </w:r>
      <w:r w:rsidR="00F93A12">
        <w:t xml:space="preserve">Station </w:t>
      </w:r>
      <w:r>
        <w:t>84 until such time as the new station is constructed and ready for staffing with an engine, which should then become part of the Pasco Fire Department’s core response system</w:t>
      </w:r>
      <w:r w:rsidR="00F95494">
        <w:t xml:space="preserve"> and staffed traditionally</w:t>
      </w:r>
      <w:r>
        <w:t xml:space="preserve">.  </w:t>
      </w:r>
    </w:p>
    <w:p w14:paraId="55E76226" w14:textId="77777777" w:rsidR="00F93A12" w:rsidRDefault="00F93A12" w:rsidP="003B4BCC">
      <w:pPr>
        <w:pStyle w:val="Heading2"/>
        <w:pageBreakBefore/>
        <w:rPr>
          <w:rFonts w:cs="Calibri"/>
        </w:rPr>
        <w:sectPr w:rsidR="00F93A12" w:rsidSect="00355973">
          <w:pgSz w:w="12240" w:h="15840"/>
          <w:pgMar w:top="1440" w:right="1440" w:bottom="1440" w:left="1440" w:header="720" w:footer="720" w:gutter="0"/>
          <w:cols w:space="720"/>
          <w:docGrid w:linePitch="299"/>
        </w:sectPr>
      </w:pPr>
    </w:p>
    <w:p w14:paraId="4888E3BB" w14:textId="6D78FF4F" w:rsidR="00E958F9" w:rsidRPr="007972EB" w:rsidRDefault="00E958F9" w:rsidP="003B4BCC">
      <w:pPr>
        <w:pStyle w:val="Heading2"/>
        <w:pageBreakBefore/>
        <w:rPr>
          <w:rFonts w:cs="Calibri"/>
        </w:rPr>
      </w:pPr>
      <w:bookmarkStart w:id="352" w:name="_Toc464323635"/>
      <w:r w:rsidRPr="007972EB">
        <w:rPr>
          <w:rFonts w:cs="Calibri"/>
        </w:rPr>
        <w:t>Long-Term Strategies</w:t>
      </w:r>
      <w:bookmarkEnd w:id="346"/>
      <w:bookmarkEnd w:id="352"/>
    </w:p>
    <w:p w14:paraId="1BBB7F87" w14:textId="79A557EC" w:rsidR="007E6F52" w:rsidRDefault="00B20A43" w:rsidP="007E6F52">
      <w:pPr>
        <w:pStyle w:val="Heading3"/>
        <w:rPr>
          <w:rFonts w:eastAsia="Times New Roman"/>
          <w:lang w:eastAsia="en-US"/>
        </w:rPr>
      </w:pPr>
      <w:bookmarkStart w:id="353" w:name="_Toc464323636"/>
      <w:bookmarkStart w:id="354" w:name="_Toc357084190"/>
      <w:r>
        <w:rPr>
          <w:rFonts w:eastAsia="Times New Roman"/>
          <w:lang w:eastAsia="en-US"/>
        </w:rPr>
        <w:t>Additional</w:t>
      </w:r>
      <w:r w:rsidR="007E6F52">
        <w:rPr>
          <w:rFonts w:eastAsia="Times New Roman"/>
          <w:lang w:eastAsia="en-US"/>
        </w:rPr>
        <w:t xml:space="preserve"> Fire Station</w:t>
      </w:r>
      <w:bookmarkEnd w:id="353"/>
    </w:p>
    <w:p w14:paraId="76750DBC" w14:textId="77B5FD18" w:rsidR="006D1F02" w:rsidRDefault="006D1F02" w:rsidP="0079243D">
      <w:pPr>
        <w:widowControl w:val="0"/>
        <w:rPr>
          <w:rFonts w:eastAsia="Times New Roman" w:cs="Times New Roman"/>
          <w:szCs w:val="24"/>
          <w:lang w:eastAsia="en-US"/>
        </w:rPr>
      </w:pPr>
      <w:r w:rsidRPr="006D1F02">
        <w:rPr>
          <w:rFonts w:eastAsia="Times New Roman" w:cs="Times New Roman"/>
          <w:szCs w:val="24"/>
          <w:lang w:eastAsia="en-US"/>
        </w:rPr>
        <w:t xml:space="preserve">The City of Pasco has a </w:t>
      </w:r>
      <w:r>
        <w:rPr>
          <w:rFonts w:eastAsia="Times New Roman" w:cs="Times New Roman"/>
          <w:szCs w:val="24"/>
          <w:lang w:eastAsia="en-US"/>
        </w:rPr>
        <w:t xml:space="preserve">large area of open space that is currently home to mineral extraction in an open pit.  The city has a study which lays out the </w:t>
      </w:r>
      <w:r w:rsidRPr="006D1F02">
        <w:rPr>
          <w:rFonts w:eastAsia="Times New Roman" w:cs="Times New Roman"/>
          <w:szCs w:val="24"/>
          <w:lang w:eastAsia="en-US"/>
        </w:rPr>
        <w:t xml:space="preserve">Broadmoor </w:t>
      </w:r>
      <w:r w:rsidR="00C96501">
        <w:rPr>
          <w:rFonts w:eastAsia="Times New Roman" w:cs="Times New Roman"/>
          <w:szCs w:val="24"/>
          <w:lang w:eastAsia="en-US"/>
        </w:rPr>
        <w:t>Properties, a</w:t>
      </w:r>
      <w:r w:rsidRPr="006D1F02">
        <w:rPr>
          <w:rFonts w:eastAsia="Times New Roman" w:cs="Times New Roman"/>
          <w:szCs w:val="24"/>
          <w:lang w:eastAsia="en-US"/>
        </w:rPr>
        <w:t xml:space="preserve"> Planned Unit Development </w:t>
      </w:r>
      <w:r w:rsidR="00C96501">
        <w:rPr>
          <w:rFonts w:eastAsia="Times New Roman" w:cs="Times New Roman"/>
          <w:szCs w:val="24"/>
          <w:lang w:eastAsia="en-US"/>
        </w:rPr>
        <w:t xml:space="preserve">(PUD) which </w:t>
      </w:r>
      <w:r w:rsidRPr="006D1F02">
        <w:rPr>
          <w:rFonts w:eastAsia="Times New Roman" w:cs="Times New Roman"/>
          <w:szCs w:val="24"/>
          <w:lang w:eastAsia="en-US"/>
        </w:rPr>
        <w:t>contains approximately 1,000 acres of available land. A</w:t>
      </w:r>
      <w:r w:rsidR="00C96501">
        <w:rPr>
          <w:rFonts w:eastAsia="Times New Roman" w:cs="Times New Roman"/>
          <w:szCs w:val="24"/>
          <w:lang w:eastAsia="en-US"/>
        </w:rPr>
        <w:t xml:space="preserve"> range of between </w:t>
      </w:r>
      <w:r w:rsidRPr="006D1F02">
        <w:rPr>
          <w:rFonts w:eastAsia="Times New Roman" w:cs="Times New Roman"/>
          <w:szCs w:val="24"/>
          <w:lang w:eastAsia="en-US"/>
        </w:rPr>
        <w:t xml:space="preserve">2,000 to over 3,000 housing units </w:t>
      </w:r>
      <w:r w:rsidR="00C96501">
        <w:rPr>
          <w:rFonts w:eastAsia="Times New Roman" w:cs="Times New Roman"/>
          <w:szCs w:val="24"/>
          <w:lang w:eastAsia="en-US"/>
        </w:rPr>
        <w:t>are planned for, along with c</w:t>
      </w:r>
      <w:r w:rsidRPr="006D1F02">
        <w:rPr>
          <w:rFonts w:eastAsia="Times New Roman" w:cs="Times New Roman"/>
          <w:szCs w:val="24"/>
          <w:lang w:eastAsia="en-US"/>
        </w:rPr>
        <w:t>ommercial, retail</w:t>
      </w:r>
      <w:r w:rsidR="00C96501">
        <w:rPr>
          <w:rFonts w:eastAsia="Times New Roman" w:cs="Times New Roman"/>
          <w:szCs w:val="24"/>
          <w:lang w:eastAsia="en-US"/>
        </w:rPr>
        <w:t xml:space="preserve"> (including a </w:t>
      </w:r>
      <w:r w:rsidR="00C96501" w:rsidRPr="00C96501">
        <w:rPr>
          <w:rFonts w:eastAsia="Times New Roman" w:cs="Times New Roman"/>
          <w:szCs w:val="24"/>
          <w:lang w:eastAsia="en-US"/>
        </w:rPr>
        <w:t xml:space="preserve">350,000 square feet big box </w:t>
      </w:r>
      <w:r w:rsidR="00C96501">
        <w:rPr>
          <w:rFonts w:eastAsia="Times New Roman" w:cs="Times New Roman"/>
          <w:szCs w:val="24"/>
          <w:lang w:eastAsia="en-US"/>
        </w:rPr>
        <w:t>store)</w:t>
      </w:r>
      <w:r w:rsidRPr="006D1F02">
        <w:rPr>
          <w:rFonts w:eastAsia="Times New Roman" w:cs="Times New Roman"/>
          <w:szCs w:val="24"/>
          <w:lang w:eastAsia="en-US"/>
        </w:rPr>
        <w:t>, and offic</w:t>
      </w:r>
      <w:r w:rsidR="00C96501">
        <w:rPr>
          <w:rFonts w:eastAsia="Times New Roman" w:cs="Times New Roman"/>
          <w:szCs w:val="24"/>
          <w:lang w:eastAsia="en-US"/>
        </w:rPr>
        <w:t xml:space="preserve">e development. Whether this PUD comes to fruition or is redeveloped in more traditional methods, it represents substantial growth on the west side of Pasco. </w:t>
      </w:r>
      <w:r w:rsidR="0079243D">
        <w:rPr>
          <w:rFonts w:eastAsia="Times New Roman" w:cs="Times New Roman"/>
          <w:szCs w:val="24"/>
          <w:lang w:eastAsia="en-US"/>
        </w:rPr>
        <w:t xml:space="preserve"> </w:t>
      </w:r>
    </w:p>
    <w:p w14:paraId="53FB0401" w14:textId="73409B5B" w:rsidR="0079243D" w:rsidRDefault="0079243D" w:rsidP="0079243D">
      <w:pPr>
        <w:widowControl w:val="0"/>
        <w:rPr>
          <w:rFonts w:eastAsia="Times New Roman" w:cs="Times New Roman"/>
          <w:szCs w:val="24"/>
          <w:lang w:eastAsia="en-US"/>
        </w:rPr>
      </w:pPr>
      <w:r>
        <w:rPr>
          <w:rFonts w:eastAsia="Times New Roman" w:cs="Times New Roman"/>
          <w:szCs w:val="24"/>
          <w:lang w:eastAsia="en-US"/>
        </w:rPr>
        <w:t xml:space="preserve">At the point where it becomes clear that Broadmoor Properties, in whatever form it takes, begins to develop, PFD will have to plan for the probable construction of a fifth fire station.  </w:t>
      </w:r>
      <w:r w:rsidR="00F93A12">
        <w:rPr>
          <w:rFonts w:eastAsia="Times New Roman" w:cs="Times New Roman"/>
          <w:szCs w:val="24"/>
          <w:lang w:eastAsia="en-US"/>
        </w:rPr>
        <w:t>In t</w:t>
      </w:r>
      <w:r>
        <w:rPr>
          <w:rFonts w:eastAsia="Times New Roman" w:cs="Times New Roman"/>
          <w:szCs w:val="24"/>
          <w:lang w:eastAsia="en-US"/>
        </w:rPr>
        <w:t xml:space="preserve">he following </w:t>
      </w:r>
      <w:r w:rsidR="00F93A12">
        <w:rPr>
          <w:rFonts w:eastAsia="Times New Roman" w:cs="Times New Roman"/>
          <w:szCs w:val="24"/>
          <w:lang w:eastAsia="en-US"/>
        </w:rPr>
        <w:t>figure</w:t>
      </w:r>
      <w:r>
        <w:rPr>
          <w:rFonts w:eastAsia="Times New Roman" w:cs="Times New Roman"/>
          <w:szCs w:val="24"/>
          <w:lang w:eastAsia="en-US"/>
        </w:rPr>
        <w:t xml:space="preserve"> the siting of the fifth fire station is considered.</w:t>
      </w:r>
    </w:p>
    <w:p w14:paraId="42B7EAF4" w14:textId="12352F13" w:rsidR="006D1F02" w:rsidRDefault="006D1F02" w:rsidP="009F6573">
      <w:pPr>
        <w:pStyle w:val="Caption"/>
      </w:pPr>
      <w:bookmarkStart w:id="355" w:name="_Ref455773834"/>
      <w:bookmarkStart w:id="356" w:name="_Toc464323739"/>
      <w:r>
        <w:t xml:space="preserve">Figure </w:t>
      </w:r>
      <w:r w:rsidR="00432AD4">
        <w:fldChar w:fldCharType="begin"/>
      </w:r>
      <w:r w:rsidR="00432AD4">
        <w:instrText xml:space="preserve"> SEQ Figure \* ARABIC </w:instrText>
      </w:r>
      <w:r w:rsidR="00432AD4">
        <w:fldChar w:fldCharType="separate"/>
      </w:r>
      <w:r w:rsidR="008209A2">
        <w:rPr>
          <w:noProof/>
        </w:rPr>
        <w:t>97</w:t>
      </w:r>
      <w:r w:rsidR="00432AD4">
        <w:rPr>
          <w:noProof/>
        </w:rPr>
        <w:fldChar w:fldCharType="end"/>
      </w:r>
      <w:bookmarkEnd w:id="355"/>
      <w:r>
        <w:t xml:space="preserve">: </w:t>
      </w:r>
      <w:r w:rsidR="00F93A12">
        <w:t>Five-</w:t>
      </w:r>
      <w:r>
        <w:t>Station Deployment Model</w:t>
      </w:r>
      <w:bookmarkEnd w:id="356"/>
    </w:p>
    <w:p w14:paraId="1BE89E90" w14:textId="59D897A0" w:rsidR="006D1F02" w:rsidRPr="006D1F02" w:rsidRDefault="006D1F02" w:rsidP="006D1F02">
      <w:pPr>
        <w:spacing w:after="200"/>
        <w:jc w:val="center"/>
        <w:rPr>
          <w:rFonts w:eastAsia="Calibri" w:cs="Times New Roman"/>
          <w:lang w:eastAsia="en-US"/>
        </w:rPr>
      </w:pPr>
      <w:r w:rsidRPr="006D1F02">
        <w:rPr>
          <w:rFonts w:eastAsia="Calibri" w:cs="Times New Roman"/>
          <w:noProof/>
          <w:lang w:eastAsia="en-US"/>
        </w:rPr>
        <w:drawing>
          <wp:inline distT="0" distB="0" distL="0" distR="0" wp14:anchorId="0A35CEC1" wp14:editId="653DAED0">
            <wp:extent cx="5943600" cy="4245610"/>
            <wp:effectExtent l="0" t="0" r="0" b="254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FD Proposed 5 Station based New 4 Station Alternative.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4245610"/>
                    </a:xfrm>
                    <a:prstGeom prst="rect">
                      <a:avLst/>
                    </a:prstGeom>
                  </pic:spPr>
                </pic:pic>
              </a:graphicData>
            </a:graphic>
          </wp:inline>
        </w:drawing>
      </w:r>
    </w:p>
    <w:p w14:paraId="44F0FCBA" w14:textId="71AFB912" w:rsidR="0079243D" w:rsidRPr="0079243D" w:rsidRDefault="0079243D" w:rsidP="00F93A12">
      <w:pPr>
        <w:rPr>
          <w:rFonts w:eastAsia="Times New Roman" w:cs="Times New Roman"/>
          <w:szCs w:val="24"/>
          <w:lang w:eastAsia="en-US"/>
        </w:rPr>
      </w:pPr>
      <w:r w:rsidRPr="0079243D">
        <w:rPr>
          <w:rFonts w:eastAsia="Times New Roman" w:cs="Times New Roman"/>
          <w:szCs w:val="24"/>
          <w:lang w:eastAsia="en-US"/>
        </w:rPr>
        <w:t xml:space="preserve">While Station 85 is </w:t>
      </w:r>
      <w:r>
        <w:rPr>
          <w:rFonts w:eastAsia="Times New Roman" w:cs="Times New Roman"/>
          <w:szCs w:val="24"/>
          <w:lang w:eastAsia="en-US"/>
        </w:rPr>
        <w:t>proposed</w:t>
      </w:r>
      <w:r w:rsidRPr="0079243D">
        <w:rPr>
          <w:rFonts w:eastAsia="Times New Roman" w:cs="Times New Roman"/>
          <w:szCs w:val="24"/>
          <w:lang w:eastAsia="en-US"/>
        </w:rPr>
        <w:t xml:space="preserve"> very near the existing border of the City of Pasco, ESCI believes the </w:t>
      </w:r>
      <w:r w:rsidR="00F93A12" w:rsidRPr="0079243D">
        <w:rPr>
          <w:rFonts w:eastAsia="Times New Roman" w:cs="Times New Roman"/>
          <w:szCs w:val="24"/>
          <w:lang w:eastAsia="en-US"/>
        </w:rPr>
        <w:t xml:space="preserve">City </w:t>
      </w:r>
      <w:r w:rsidRPr="0079243D">
        <w:rPr>
          <w:rFonts w:eastAsia="Times New Roman" w:cs="Times New Roman"/>
          <w:szCs w:val="24"/>
          <w:lang w:eastAsia="en-US"/>
        </w:rPr>
        <w:t xml:space="preserve">will likely </w:t>
      </w:r>
      <w:r>
        <w:rPr>
          <w:rFonts w:eastAsia="Times New Roman" w:cs="Times New Roman"/>
          <w:szCs w:val="24"/>
          <w:lang w:eastAsia="en-US"/>
        </w:rPr>
        <w:t>annex</w:t>
      </w:r>
      <w:r w:rsidRPr="0079243D">
        <w:rPr>
          <w:rFonts w:eastAsia="Times New Roman" w:cs="Times New Roman"/>
          <w:szCs w:val="24"/>
          <w:lang w:eastAsia="en-US"/>
        </w:rPr>
        <w:t xml:space="preserve"> to the urban growth boundary directly north of the Broadmoor Properties site.  This would position the station to provide an effect</w:t>
      </w:r>
      <w:r w:rsidR="00F93A12">
        <w:rPr>
          <w:rFonts w:eastAsia="Times New Roman" w:cs="Times New Roman"/>
          <w:szCs w:val="24"/>
          <w:lang w:eastAsia="en-US"/>
        </w:rPr>
        <w:t>ive reach not only to Broadmoor</w:t>
      </w:r>
      <w:r w:rsidRPr="0079243D">
        <w:rPr>
          <w:rFonts w:eastAsia="Times New Roman" w:cs="Times New Roman"/>
          <w:szCs w:val="24"/>
          <w:lang w:eastAsia="en-US"/>
        </w:rPr>
        <w:t xml:space="preserve"> but </w:t>
      </w:r>
      <w:r w:rsidR="00F93A12">
        <w:rPr>
          <w:rFonts w:eastAsia="Times New Roman" w:cs="Times New Roman"/>
          <w:szCs w:val="24"/>
          <w:lang w:eastAsia="en-US"/>
        </w:rPr>
        <w:t xml:space="preserve">also </w:t>
      </w:r>
      <w:r w:rsidRPr="0079243D">
        <w:rPr>
          <w:rFonts w:eastAsia="Times New Roman" w:cs="Times New Roman"/>
          <w:szCs w:val="24"/>
          <w:lang w:eastAsia="en-US"/>
        </w:rPr>
        <w:t>to the development and increased density likely to come to areas surrounding Broadmoor.</w:t>
      </w:r>
      <w:r>
        <w:rPr>
          <w:rFonts w:eastAsia="Times New Roman" w:cs="Times New Roman"/>
          <w:szCs w:val="24"/>
          <w:lang w:eastAsia="en-US"/>
        </w:rPr>
        <w:t xml:space="preserve"> This also takes advantage of property already owned by the City of Pasco.</w:t>
      </w:r>
    </w:p>
    <w:p w14:paraId="27702026" w14:textId="3E3C4002" w:rsidR="006D1F02" w:rsidRPr="006D1F02" w:rsidRDefault="0079243D" w:rsidP="006D1F02">
      <w:pPr>
        <w:spacing w:after="200"/>
        <w:contextualSpacing/>
        <w:rPr>
          <w:rFonts w:eastAsia="Calibri" w:cs="Times New Roman"/>
          <w:lang w:eastAsia="en-US"/>
        </w:rPr>
      </w:pPr>
      <w:r>
        <w:rPr>
          <w:rFonts w:eastAsia="Calibri" w:cs="Times New Roman"/>
          <w:lang w:eastAsia="en-US"/>
        </w:rPr>
        <w:t xml:space="preserve">This location also provides good access </w:t>
      </w:r>
      <w:r w:rsidR="007972EB">
        <w:rPr>
          <w:rFonts w:eastAsia="Calibri" w:cs="Times New Roman"/>
          <w:lang w:eastAsia="en-US"/>
        </w:rPr>
        <w:t xml:space="preserve">to both sides of Interstate 182 and would address concerns identified by the Washington Surveying and Rating Bureau </w:t>
      </w:r>
      <w:r w:rsidR="006D1F02" w:rsidRPr="006D1F02">
        <w:rPr>
          <w:rFonts w:eastAsia="Calibri" w:cs="Times New Roman"/>
          <w:lang w:eastAsia="en-US"/>
        </w:rPr>
        <w:t>in the area of the possible planned unit development.</w:t>
      </w:r>
      <w:r w:rsidR="007972EB">
        <w:rPr>
          <w:rFonts w:eastAsia="Calibri" w:cs="Times New Roman"/>
          <w:lang w:eastAsia="en-US"/>
        </w:rPr>
        <w:t xml:space="preserve"> Adding this station simultaneous to the development of Broadmoor also </w:t>
      </w:r>
      <w:r w:rsidR="00F93A12" w:rsidRPr="006D1F02">
        <w:rPr>
          <w:rFonts w:eastAsia="Calibri" w:cs="Times New Roman"/>
          <w:lang w:eastAsia="en-US"/>
        </w:rPr>
        <w:t xml:space="preserve">increases </w:t>
      </w:r>
      <w:r w:rsidR="006D1F02" w:rsidRPr="006D1F02">
        <w:rPr>
          <w:rFonts w:eastAsia="Calibri" w:cs="Times New Roman"/>
          <w:lang w:eastAsia="en-US"/>
        </w:rPr>
        <w:t>the concentration of resources available in the western portions of the service area</w:t>
      </w:r>
      <w:r w:rsidR="007972EB">
        <w:rPr>
          <w:rFonts w:eastAsia="Calibri" w:cs="Times New Roman"/>
          <w:lang w:eastAsia="en-US"/>
        </w:rPr>
        <w:t xml:space="preserve"> east of Broadmoor.  With </w:t>
      </w:r>
      <w:r w:rsidR="00523B47">
        <w:rPr>
          <w:rFonts w:eastAsia="Calibri" w:cs="Times New Roman"/>
          <w:lang w:eastAsia="en-US"/>
        </w:rPr>
        <w:t xml:space="preserve">an </w:t>
      </w:r>
      <w:r w:rsidR="00523B47" w:rsidRPr="00523B47">
        <w:rPr>
          <w:rFonts w:eastAsia="Calibri" w:cs="Times New Roman"/>
          <w:lang w:eastAsia="en-US"/>
        </w:rPr>
        <w:t>appropriate</w:t>
      </w:r>
      <w:r w:rsidR="00523B47">
        <w:rPr>
          <w:rFonts w:eastAsia="Calibri" w:cs="Times New Roman"/>
          <w:lang w:eastAsia="en-US"/>
        </w:rPr>
        <w:t>ly</w:t>
      </w:r>
      <w:r w:rsidR="00523B47" w:rsidRPr="00523B47">
        <w:rPr>
          <w:rFonts w:eastAsia="Calibri" w:cs="Times New Roman"/>
          <w:lang w:eastAsia="en-US"/>
        </w:rPr>
        <w:t xml:space="preserve"> staff</w:t>
      </w:r>
      <w:r w:rsidR="00523B47">
        <w:rPr>
          <w:rFonts w:eastAsia="Calibri" w:cs="Times New Roman"/>
          <w:lang w:eastAsia="en-US"/>
        </w:rPr>
        <w:t>ed</w:t>
      </w:r>
      <w:r w:rsidR="007972EB">
        <w:rPr>
          <w:rFonts w:eastAsia="Calibri" w:cs="Times New Roman"/>
          <w:lang w:eastAsia="en-US"/>
        </w:rPr>
        <w:t xml:space="preserve"> engine company and medic unit</w:t>
      </w:r>
      <w:r w:rsidR="00523B47">
        <w:rPr>
          <w:rFonts w:eastAsia="Calibri" w:cs="Times New Roman"/>
          <w:lang w:eastAsia="en-US"/>
        </w:rPr>
        <w:t xml:space="preserve"> at the station</w:t>
      </w:r>
      <w:r w:rsidR="007972EB">
        <w:rPr>
          <w:rFonts w:eastAsia="Calibri" w:cs="Times New Roman"/>
          <w:lang w:eastAsia="en-US"/>
        </w:rPr>
        <w:t xml:space="preserve">, the combined </w:t>
      </w:r>
      <w:r w:rsidR="00523B47">
        <w:rPr>
          <w:rFonts w:eastAsia="Calibri" w:cs="Times New Roman"/>
          <w:lang w:eastAsia="en-US"/>
        </w:rPr>
        <w:t xml:space="preserve">resources of the Pasco Fire Department, </w:t>
      </w:r>
      <w:r w:rsidR="007972EB">
        <w:rPr>
          <w:rFonts w:eastAsia="Calibri" w:cs="Times New Roman"/>
          <w:lang w:eastAsia="en-US"/>
        </w:rPr>
        <w:t xml:space="preserve">deployed as identified </w:t>
      </w:r>
      <w:r w:rsidR="00F93A12">
        <w:rPr>
          <w:rFonts w:eastAsia="Calibri" w:cs="Times New Roman"/>
          <w:lang w:eastAsia="en-US"/>
        </w:rPr>
        <w:t xml:space="preserve">in the preceding figure, </w:t>
      </w:r>
      <w:r w:rsidR="00523B47">
        <w:rPr>
          <w:rFonts w:eastAsia="Calibri" w:cs="Times New Roman"/>
          <w:lang w:eastAsia="en-US"/>
        </w:rPr>
        <w:t xml:space="preserve">will </w:t>
      </w:r>
      <w:r w:rsidR="007972EB">
        <w:rPr>
          <w:rFonts w:eastAsia="Calibri" w:cs="Times New Roman"/>
          <w:lang w:eastAsia="en-US"/>
        </w:rPr>
        <w:t>significant</w:t>
      </w:r>
      <w:r w:rsidR="00523B47">
        <w:rPr>
          <w:rFonts w:eastAsia="Calibri" w:cs="Times New Roman"/>
          <w:lang w:eastAsia="en-US"/>
        </w:rPr>
        <w:t>ly</w:t>
      </w:r>
      <w:r w:rsidR="007972EB">
        <w:rPr>
          <w:rFonts w:eastAsia="Calibri" w:cs="Times New Roman"/>
          <w:lang w:eastAsia="en-US"/>
        </w:rPr>
        <w:t xml:space="preserve"> enhance resource concentration—and ultimately effective response force.</w:t>
      </w:r>
      <w:r w:rsidR="006D1F02" w:rsidRPr="006D1F02">
        <w:rPr>
          <w:rFonts w:eastAsia="Calibri" w:cs="Times New Roman"/>
          <w:lang w:eastAsia="en-US"/>
        </w:rPr>
        <w:t xml:space="preserve"> </w:t>
      </w:r>
      <w:r w:rsidR="007972EB">
        <w:rPr>
          <w:rFonts w:eastAsia="Calibri" w:cs="Times New Roman"/>
          <w:lang w:eastAsia="en-US"/>
        </w:rPr>
        <w:t xml:space="preserve">This resource deployment pattern is anticipated to address </w:t>
      </w:r>
      <w:r w:rsidR="00523B47">
        <w:rPr>
          <w:rFonts w:eastAsia="Calibri" w:cs="Times New Roman"/>
          <w:lang w:eastAsia="en-US"/>
        </w:rPr>
        <w:t xml:space="preserve">community </w:t>
      </w:r>
      <w:r w:rsidR="007972EB">
        <w:rPr>
          <w:rFonts w:eastAsia="Calibri" w:cs="Times New Roman"/>
          <w:lang w:eastAsia="en-US"/>
        </w:rPr>
        <w:t xml:space="preserve">growth </w:t>
      </w:r>
      <w:r w:rsidR="00523B47">
        <w:rPr>
          <w:rFonts w:eastAsia="Calibri" w:cs="Times New Roman"/>
          <w:lang w:eastAsia="en-US"/>
        </w:rPr>
        <w:t>and service demand growth</w:t>
      </w:r>
      <w:r w:rsidR="007972EB">
        <w:rPr>
          <w:rFonts w:eastAsia="Calibri" w:cs="Times New Roman"/>
          <w:lang w:eastAsia="en-US"/>
        </w:rPr>
        <w:t xml:space="preserve"> into the </w:t>
      </w:r>
      <w:r w:rsidR="00523B47">
        <w:rPr>
          <w:rFonts w:eastAsia="Calibri" w:cs="Times New Roman"/>
          <w:lang w:eastAsia="en-US"/>
        </w:rPr>
        <w:t xml:space="preserve">foreseeable </w:t>
      </w:r>
      <w:r w:rsidR="007972EB">
        <w:rPr>
          <w:rFonts w:eastAsia="Calibri" w:cs="Times New Roman"/>
          <w:lang w:eastAsia="en-US"/>
        </w:rPr>
        <w:t>future.</w:t>
      </w:r>
    </w:p>
    <w:p w14:paraId="2A7913E0" w14:textId="212FD2D5" w:rsidR="004910B9" w:rsidRDefault="004910B9">
      <w:pPr>
        <w:spacing w:after="200"/>
        <w:jc w:val="left"/>
        <w:rPr>
          <w:rFonts w:eastAsiaTheme="majorEastAsia" w:cstheme="majorBidi"/>
          <w:b/>
          <w:bCs/>
          <w:color w:val="808080" w:themeColor="background1" w:themeShade="80"/>
          <w:sz w:val="28"/>
          <w:szCs w:val="28"/>
          <w:lang w:eastAsia="en-US"/>
        </w:rPr>
      </w:pPr>
      <w:r>
        <w:br w:type="page"/>
      </w:r>
    </w:p>
    <w:p w14:paraId="01FC3DEA" w14:textId="1F678AAE" w:rsidR="005259FB" w:rsidRDefault="005259FB" w:rsidP="005259FB">
      <w:pPr>
        <w:pStyle w:val="Heading1"/>
      </w:pPr>
      <w:bookmarkStart w:id="357" w:name="_Toc464323637"/>
      <w:r w:rsidRPr="006405B8">
        <w:t>Cost Projections</w:t>
      </w:r>
      <w:bookmarkEnd w:id="357"/>
    </w:p>
    <w:p w14:paraId="7FBB7E91" w14:textId="7FF5AFA5" w:rsidR="00A17926" w:rsidRPr="00A17926" w:rsidRDefault="009234BC" w:rsidP="00A17926">
      <w:pPr>
        <w:pStyle w:val="Heading2"/>
        <w:rPr>
          <w:rFonts w:eastAsia="Times New Roman"/>
        </w:rPr>
      </w:pPr>
      <w:bookmarkStart w:id="358" w:name="_Toc464323638"/>
      <w:r>
        <w:rPr>
          <w:rFonts w:eastAsia="Times New Roman"/>
        </w:rPr>
        <w:t>Revenue &amp; Expenditure Forecast</w:t>
      </w:r>
      <w:bookmarkEnd w:id="358"/>
    </w:p>
    <w:p w14:paraId="56F38DD7" w14:textId="77777777" w:rsidR="00A17926" w:rsidRPr="00A17926" w:rsidRDefault="00A17926" w:rsidP="00A17926">
      <w:pPr>
        <w:spacing w:after="200"/>
        <w:rPr>
          <w:rFonts w:eastAsia="Calibri" w:cs="Times New Roman"/>
          <w:lang w:eastAsia="en-US"/>
        </w:rPr>
      </w:pPr>
      <w:r w:rsidRPr="00A17926">
        <w:rPr>
          <w:rFonts w:eastAsia="Calibri" w:cs="Times New Roman"/>
          <w:lang w:eastAsia="en-US"/>
        </w:rPr>
        <w:t xml:space="preserve">ESCI developed a forecast of revenues and expenditures to assess the near term financial sustainability of current operations and test various service level improvements. The forecast is based on historical actual revenues and expenditures and informed assumptions about how those revenues and expenditures will change in the future.  The key assumptions used in the forecast are presented below followed by the forecast results and selected metrics.  </w:t>
      </w:r>
    </w:p>
    <w:p w14:paraId="58955309" w14:textId="2D8BFC1E" w:rsidR="00A17926" w:rsidRPr="00A17926" w:rsidRDefault="00A17926" w:rsidP="00A17926">
      <w:pPr>
        <w:spacing w:after="200"/>
        <w:rPr>
          <w:rFonts w:eastAsia="Calibri" w:cs="Times New Roman"/>
          <w:lang w:eastAsia="en-US"/>
        </w:rPr>
      </w:pPr>
      <w:r w:rsidRPr="00A17926">
        <w:rPr>
          <w:rFonts w:eastAsia="Calibri" w:cs="Times New Roman"/>
          <w:lang w:eastAsia="en-US"/>
        </w:rPr>
        <w:t>Since the Pasco Fire Department actually resides in two separa</w:t>
      </w:r>
      <w:r w:rsidR="009324D5">
        <w:rPr>
          <w:rFonts w:eastAsia="Calibri" w:cs="Times New Roman"/>
          <w:lang w:eastAsia="en-US"/>
        </w:rPr>
        <w:t>te funds</w:t>
      </w:r>
      <w:r w:rsidRPr="00A17926">
        <w:rPr>
          <w:rFonts w:eastAsia="Calibri" w:cs="Times New Roman"/>
          <w:lang w:eastAsia="en-US"/>
        </w:rPr>
        <w:t>, the forecast looks at the General Fund fire budget and the Ambulance Utility Fund budget separately.  However, some of the assumptions used are common to both budgets.  For example, employee wages and benefits should react the same in both funds.  To the extent that each budget utilizes unrestricted General Fund revenues, the previous discussion of local economic performance and indicators provides some context for potential General Fund revenue growth in the City during the forecast period.</w:t>
      </w:r>
    </w:p>
    <w:p w14:paraId="739F699E" w14:textId="01CBCE54" w:rsidR="00A17926" w:rsidRPr="00A17926" w:rsidRDefault="00A17926" w:rsidP="00A17926">
      <w:pPr>
        <w:spacing w:after="200"/>
        <w:rPr>
          <w:rFonts w:eastAsia="Calibri" w:cs="Times New Roman"/>
          <w:lang w:eastAsia="en-US"/>
        </w:rPr>
      </w:pPr>
      <w:r w:rsidRPr="00A17926">
        <w:rPr>
          <w:rFonts w:eastAsia="Calibri" w:cs="Times New Roman"/>
          <w:lang w:eastAsia="en-US"/>
        </w:rPr>
        <w:t xml:space="preserve">Since the Ambulance Utility Fund is a self-contained fund separate from the General Fund fire budget and has its own recurring revenue sources and fund balance, three separate scenarios for a status quo forecast are provided.  Each of the three scenarios uses the same expenditure assumptions but the revenue assumptions are altered in each case to provide staff and council with a sense of how varying the utility fee and the General Fund transfer might affect annual operating surplus/(deficit) and beginning fund balance.  The only recurring revenue item varied in each case is the Ambulance Utility Fee.  The General Fund </w:t>
      </w:r>
      <w:r w:rsidR="009324D5">
        <w:rPr>
          <w:rFonts w:eastAsia="Calibri" w:cs="Times New Roman"/>
          <w:lang w:eastAsia="en-US"/>
        </w:rPr>
        <w:t xml:space="preserve">subsidy </w:t>
      </w:r>
      <w:r w:rsidRPr="00A17926">
        <w:rPr>
          <w:rFonts w:eastAsia="Calibri" w:cs="Times New Roman"/>
          <w:lang w:eastAsia="en-US"/>
        </w:rPr>
        <w:t>(I/F Transfer In) was also reduced in the third scenario.</w:t>
      </w:r>
    </w:p>
    <w:p w14:paraId="45A3BB13" w14:textId="57FFDB2E" w:rsidR="00A17926" w:rsidRPr="00A17926" w:rsidRDefault="00A17926" w:rsidP="00A17926">
      <w:pPr>
        <w:spacing w:after="200"/>
        <w:rPr>
          <w:rFonts w:eastAsia="Calibri" w:cs="Times New Roman"/>
          <w:lang w:eastAsia="en-US"/>
        </w:rPr>
      </w:pPr>
      <w:r w:rsidRPr="00A17926">
        <w:rPr>
          <w:rFonts w:eastAsia="Calibri" w:cs="Times New Roman"/>
          <w:lang w:eastAsia="en-US"/>
        </w:rPr>
        <w:t>The fire budget i</w:t>
      </w:r>
      <w:r w:rsidR="009324D5">
        <w:rPr>
          <w:rFonts w:eastAsia="Calibri" w:cs="Times New Roman"/>
          <w:lang w:eastAsia="en-US"/>
        </w:rPr>
        <w:t>ncludes four separate scenarios:</w:t>
      </w:r>
      <w:r w:rsidRPr="00A17926">
        <w:rPr>
          <w:rFonts w:eastAsia="Calibri" w:cs="Times New Roman"/>
          <w:lang w:eastAsia="en-US"/>
        </w:rPr>
        <w:t xml:space="preserve"> status quo, the addition of a</w:t>
      </w:r>
      <w:r w:rsidR="00193D80">
        <w:rPr>
          <w:rFonts w:eastAsia="Calibri" w:cs="Times New Roman"/>
          <w:lang w:eastAsia="en-US"/>
        </w:rPr>
        <w:t xml:space="preserve"> third</w:t>
      </w:r>
      <w:r w:rsidRPr="00A17926">
        <w:rPr>
          <w:rFonts w:eastAsia="Calibri" w:cs="Times New Roman"/>
          <w:lang w:eastAsia="en-US"/>
        </w:rPr>
        <w:t xml:space="preserve"> firefighter on each engine on each of the three shifts, the addition of a three-person engine company at the time a new fire station is placed in service</w:t>
      </w:r>
      <w:r w:rsidR="0032322C">
        <w:rPr>
          <w:rFonts w:eastAsia="Calibri" w:cs="Times New Roman"/>
          <w:lang w:eastAsia="en-US"/>
        </w:rPr>
        <w:t>,</w:t>
      </w:r>
      <w:r w:rsidRPr="00A17926">
        <w:rPr>
          <w:rFonts w:eastAsia="Calibri" w:cs="Times New Roman"/>
          <w:lang w:eastAsia="en-US"/>
        </w:rPr>
        <w:t xml:space="preserve"> and a combination of the last two scenarios which add</w:t>
      </w:r>
      <w:r w:rsidR="0032322C">
        <w:rPr>
          <w:rFonts w:eastAsia="Calibri" w:cs="Times New Roman"/>
          <w:lang w:eastAsia="en-US"/>
        </w:rPr>
        <w:t>s</w:t>
      </w:r>
      <w:r w:rsidRPr="00A17926">
        <w:rPr>
          <w:rFonts w:eastAsia="Calibri" w:cs="Times New Roman"/>
          <w:lang w:eastAsia="en-US"/>
        </w:rPr>
        <w:t xml:space="preserve"> a third person to each existing engine company and add</w:t>
      </w:r>
      <w:r w:rsidR="0032322C">
        <w:rPr>
          <w:rFonts w:eastAsia="Calibri" w:cs="Times New Roman"/>
          <w:lang w:eastAsia="en-US"/>
        </w:rPr>
        <w:t>s</w:t>
      </w:r>
      <w:r w:rsidRPr="00A17926">
        <w:rPr>
          <w:rFonts w:eastAsia="Calibri" w:cs="Times New Roman"/>
          <w:lang w:eastAsia="en-US"/>
        </w:rPr>
        <w:t xml:space="preserve"> an additional engine company.  It is unknown when the City plans to build a new station and how it would finance the project; therefore, the capital costs of adding a new station (as well as the station operating costs) are not included in the scenarios.  Only the recurring costs of staffing the additional engine are modeled.</w:t>
      </w:r>
    </w:p>
    <w:p w14:paraId="354C984D" w14:textId="77777777" w:rsidR="00A17926" w:rsidRPr="00A17926" w:rsidRDefault="00A17926" w:rsidP="00A17926">
      <w:pPr>
        <w:pStyle w:val="Heading3"/>
        <w:rPr>
          <w:rFonts w:eastAsia="Times New Roman"/>
          <w:lang w:eastAsia="en-US"/>
        </w:rPr>
      </w:pPr>
      <w:bookmarkStart w:id="359" w:name="_Toc464323639"/>
      <w:r w:rsidRPr="00A17926">
        <w:rPr>
          <w:rFonts w:eastAsia="Times New Roman"/>
          <w:lang w:eastAsia="en-US"/>
        </w:rPr>
        <w:t>Forecast Assumptions</w:t>
      </w:r>
      <w:bookmarkEnd w:id="359"/>
    </w:p>
    <w:p w14:paraId="567B97FD" w14:textId="77777777" w:rsidR="00A17926" w:rsidRPr="00A17926" w:rsidRDefault="00A17926" w:rsidP="00A17926">
      <w:pPr>
        <w:keepNext/>
        <w:keepLines/>
        <w:spacing w:before="200" w:after="120"/>
        <w:contextualSpacing/>
        <w:outlineLvl w:val="3"/>
        <w:rPr>
          <w:rFonts w:eastAsia="Times New Roman" w:cs="Times New Roman"/>
          <w:bCs/>
          <w:i/>
          <w:iCs/>
          <w:color w:val="808080"/>
        </w:rPr>
      </w:pPr>
      <w:r w:rsidRPr="00A17926">
        <w:rPr>
          <w:rFonts w:eastAsia="Times New Roman" w:cs="Times New Roman"/>
          <w:bCs/>
          <w:i/>
          <w:iCs/>
          <w:color w:val="808080"/>
        </w:rPr>
        <w:t>Revenue Forecast Assumptions</w:t>
      </w:r>
    </w:p>
    <w:p w14:paraId="5E82B2D4" w14:textId="77777777" w:rsidR="00A17926" w:rsidRPr="00A17926" w:rsidRDefault="00A17926" w:rsidP="007705AA">
      <w:pPr>
        <w:numPr>
          <w:ilvl w:val="0"/>
          <w:numId w:val="47"/>
        </w:numPr>
        <w:spacing w:after="200"/>
        <w:contextualSpacing/>
        <w:jc w:val="left"/>
        <w:rPr>
          <w:rFonts w:eastAsia="Calibri" w:cs="Times New Roman"/>
          <w:lang w:eastAsia="en-US"/>
        </w:rPr>
      </w:pPr>
      <w:r w:rsidRPr="00A17926">
        <w:rPr>
          <w:rFonts w:eastAsia="Calibri" w:cs="Times New Roman"/>
          <w:lang w:eastAsia="en-US"/>
        </w:rPr>
        <w:t>Airport Fire Protection Agreement</w:t>
      </w:r>
    </w:p>
    <w:p w14:paraId="57135AC3" w14:textId="468AB6FA" w:rsidR="00A17926" w:rsidRPr="00A17926" w:rsidRDefault="00A17926" w:rsidP="007857F7">
      <w:pPr>
        <w:numPr>
          <w:ilvl w:val="1"/>
          <w:numId w:val="47"/>
        </w:numPr>
        <w:spacing w:after="120" w:line="240" w:lineRule="auto"/>
        <w:rPr>
          <w:rFonts w:eastAsia="Calibri" w:cs="Times New Roman"/>
          <w:lang w:eastAsia="en-US"/>
        </w:rPr>
      </w:pPr>
      <w:r w:rsidRPr="00A17926">
        <w:rPr>
          <w:rFonts w:eastAsia="Calibri" w:cs="Arial"/>
        </w:rPr>
        <w:t>The interlocal agreement, dated April 20, 2015</w:t>
      </w:r>
      <w:r w:rsidR="0032322C">
        <w:rPr>
          <w:rFonts w:eastAsia="Calibri" w:cs="Arial"/>
        </w:rPr>
        <w:t>,</w:t>
      </w:r>
      <w:r w:rsidRPr="00A17926">
        <w:rPr>
          <w:rFonts w:eastAsia="Calibri" w:cs="Arial"/>
        </w:rPr>
        <w:t xml:space="preserve"> provides that Port of Pasco will pay $699,996 to the City for ARFF services in FY 2016.  Amount increases each year based upon actual employee costs.  </w:t>
      </w:r>
    </w:p>
    <w:p w14:paraId="25DE704A" w14:textId="77777777" w:rsidR="007857F7" w:rsidRPr="007857F7" w:rsidRDefault="00193D80" w:rsidP="007857F7">
      <w:pPr>
        <w:numPr>
          <w:ilvl w:val="1"/>
          <w:numId w:val="47"/>
        </w:numPr>
        <w:spacing w:after="120" w:line="240" w:lineRule="auto"/>
        <w:rPr>
          <w:rFonts w:eastAsia="Calibri" w:cs="Times New Roman"/>
          <w:lang w:eastAsia="en-US"/>
        </w:rPr>
      </w:pPr>
      <w:r w:rsidRPr="00193D80">
        <w:rPr>
          <w:rFonts w:eastAsia="Calibri" w:cs="Arial"/>
        </w:rPr>
        <w:t>As discussed earlier, and excluding staffing increases and reclassifications, personnel services costs have historically increased an average of 3.7 percent annually between 2011 and 2016.  Wages have increased an average of 2.58 percent annually while benefits have increased an average of 8.9 percent annually.</w:t>
      </w:r>
    </w:p>
    <w:p w14:paraId="06E44BB2" w14:textId="6DFD34C6" w:rsidR="00A17926" w:rsidRPr="00A17926" w:rsidRDefault="00A17926" w:rsidP="007857F7">
      <w:pPr>
        <w:numPr>
          <w:ilvl w:val="1"/>
          <w:numId w:val="47"/>
        </w:numPr>
        <w:spacing w:after="120" w:line="240" w:lineRule="auto"/>
        <w:rPr>
          <w:rFonts w:eastAsia="Calibri" w:cs="Times New Roman"/>
          <w:lang w:eastAsia="en-US"/>
        </w:rPr>
      </w:pPr>
      <w:r w:rsidRPr="00A17926">
        <w:rPr>
          <w:rFonts w:eastAsia="Calibri" w:cs="Arial"/>
        </w:rPr>
        <w:t>Forecast assumes airport interlocal revenue will increase 9.2 percent annually.</w:t>
      </w:r>
    </w:p>
    <w:p w14:paraId="1E133A4B" w14:textId="386DC693" w:rsidR="00A17926" w:rsidRPr="00A17926" w:rsidRDefault="00A17926" w:rsidP="007857F7">
      <w:pPr>
        <w:numPr>
          <w:ilvl w:val="0"/>
          <w:numId w:val="47"/>
        </w:numPr>
        <w:spacing w:after="200"/>
        <w:contextualSpacing/>
        <w:rPr>
          <w:rFonts w:eastAsia="Calibri" w:cs="Times New Roman"/>
          <w:lang w:eastAsia="en-US"/>
        </w:rPr>
      </w:pPr>
      <w:r w:rsidRPr="00A17926">
        <w:rPr>
          <w:rFonts w:eastAsia="Calibri" w:cs="Times New Roman"/>
          <w:lang w:eastAsia="en-US"/>
        </w:rPr>
        <w:t>Charges for Services/Misc. Sources - Fire</w:t>
      </w:r>
    </w:p>
    <w:p w14:paraId="62B000C6" w14:textId="77777777" w:rsidR="00A17926" w:rsidRPr="00A17926" w:rsidRDefault="00A17926" w:rsidP="007857F7">
      <w:pPr>
        <w:numPr>
          <w:ilvl w:val="1"/>
          <w:numId w:val="47"/>
        </w:numPr>
        <w:spacing w:after="120" w:line="240" w:lineRule="auto"/>
        <w:rPr>
          <w:rFonts w:eastAsia="Calibri" w:cs="Times New Roman"/>
          <w:lang w:eastAsia="en-US"/>
        </w:rPr>
      </w:pPr>
      <w:r w:rsidRPr="00A17926">
        <w:rPr>
          <w:rFonts w:eastAsia="Calibri" w:cs="Arial"/>
        </w:rPr>
        <w:t>Charges for Services and other miscellaneous fire revenues have varied from a low of $29,000 in the amended FY 2016 budget to a high of $67,894 in FY 2015 with an average of $43,000 over the period FY 2011 through FY 2016</w:t>
      </w:r>
      <w:r w:rsidRPr="00A17926">
        <w:rPr>
          <w:rFonts w:eastAsia="Calibri" w:cs="Times New Roman"/>
          <w:lang w:eastAsia="en-US"/>
        </w:rPr>
        <w:t>.</w:t>
      </w:r>
    </w:p>
    <w:p w14:paraId="151A883F" w14:textId="3AE06E00" w:rsidR="00A17926" w:rsidRPr="00A17926" w:rsidRDefault="00A17926" w:rsidP="007857F7">
      <w:pPr>
        <w:numPr>
          <w:ilvl w:val="1"/>
          <w:numId w:val="47"/>
        </w:numPr>
        <w:spacing w:after="240" w:line="240" w:lineRule="auto"/>
        <w:rPr>
          <w:rFonts w:eastAsia="Calibri" w:cs="Times New Roman"/>
          <w:lang w:eastAsia="en-US"/>
        </w:rPr>
      </w:pPr>
      <w:r w:rsidRPr="00A17926">
        <w:rPr>
          <w:rFonts w:eastAsia="Calibri" w:cs="Times New Roman"/>
          <w:lang w:eastAsia="en-US"/>
        </w:rPr>
        <w:t>Forecast assumes $43,000 as base</w:t>
      </w:r>
      <w:r w:rsidR="0032322C">
        <w:rPr>
          <w:rFonts w:eastAsia="Calibri" w:cs="Times New Roman"/>
          <w:lang w:eastAsia="en-US"/>
        </w:rPr>
        <w:t>,</w:t>
      </w:r>
      <w:r w:rsidRPr="00A17926">
        <w:rPr>
          <w:rFonts w:eastAsia="Calibri" w:cs="Times New Roman"/>
          <w:lang w:eastAsia="en-US"/>
        </w:rPr>
        <w:t xml:space="preserve"> which escalates with inflation at 2 percent per year.</w:t>
      </w:r>
    </w:p>
    <w:p w14:paraId="35E983F9" w14:textId="77777777" w:rsidR="00A17926" w:rsidRPr="00A17926" w:rsidRDefault="00A17926" w:rsidP="007857F7">
      <w:pPr>
        <w:numPr>
          <w:ilvl w:val="0"/>
          <w:numId w:val="47"/>
        </w:numPr>
        <w:spacing w:after="200"/>
        <w:contextualSpacing/>
        <w:rPr>
          <w:rFonts w:eastAsia="Calibri" w:cs="Times New Roman"/>
          <w:lang w:eastAsia="en-US"/>
        </w:rPr>
      </w:pPr>
      <w:r w:rsidRPr="00A17926">
        <w:rPr>
          <w:rFonts w:eastAsia="Calibri" w:cs="Times New Roman"/>
          <w:lang w:eastAsia="en-US"/>
        </w:rPr>
        <w:t>Ambulance Billing</w:t>
      </w:r>
    </w:p>
    <w:p w14:paraId="5A78ABF1" w14:textId="77777777" w:rsidR="00A17926" w:rsidRPr="00A17926" w:rsidRDefault="00A17926" w:rsidP="007857F7">
      <w:pPr>
        <w:numPr>
          <w:ilvl w:val="1"/>
          <w:numId w:val="47"/>
        </w:numPr>
        <w:spacing w:after="120" w:line="240" w:lineRule="auto"/>
        <w:rPr>
          <w:rFonts w:eastAsia="Calibri" w:cs="Times New Roman"/>
          <w:lang w:eastAsia="en-US"/>
        </w:rPr>
      </w:pPr>
      <w:r w:rsidRPr="00A17926">
        <w:rPr>
          <w:rFonts w:eastAsia="Calibri" w:cs="Arial"/>
        </w:rPr>
        <w:t>Ambulance billing revenue has risen from $1,148,437 in FY 2011 to a projected $1,500,000 in FY 2016 or approximately 5.66 percent annually</w:t>
      </w:r>
      <w:r w:rsidRPr="00A17926">
        <w:rPr>
          <w:rFonts w:eastAsia="Calibri" w:cs="Times New Roman"/>
          <w:lang w:eastAsia="en-US"/>
        </w:rPr>
        <w:t>.</w:t>
      </w:r>
    </w:p>
    <w:p w14:paraId="62691723" w14:textId="77777777" w:rsidR="00A17926" w:rsidRPr="00A17926" w:rsidRDefault="00A17926" w:rsidP="007857F7">
      <w:pPr>
        <w:numPr>
          <w:ilvl w:val="1"/>
          <w:numId w:val="47"/>
        </w:numPr>
        <w:spacing w:after="240" w:line="240" w:lineRule="auto"/>
        <w:rPr>
          <w:rFonts w:eastAsia="Calibri" w:cs="Times New Roman"/>
          <w:lang w:eastAsia="en-US"/>
        </w:rPr>
      </w:pPr>
      <w:r w:rsidRPr="00A17926">
        <w:rPr>
          <w:rFonts w:eastAsia="Calibri" w:cs="Times New Roman"/>
          <w:lang w:eastAsia="en-US"/>
        </w:rPr>
        <w:t>Forecast assumes billing revenue increases 5.7 percent per year from FY 2016 base of $1.5 million.</w:t>
      </w:r>
    </w:p>
    <w:p w14:paraId="74A98AB4" w14:textId="77777777" w:rsidR="00A17926" w:rsidRPr="00A17926" w:rsidRDefault="00A17926" w:rsidP="007857F7">
      <w:pPr>
        <w:numPr>
          <w:ilvl w:val="0"/>
          <w:numId w:val="47"/>
        </w:numPr>
        <w:spacing w:after="200"/>
        <w:contextualSpacing/>
        <w:rPr>
          <w:rFonts w:eastAsia="Calibri" w:cs="Times New Roman"/>
          <w:lang w:eastAsia="en-US"/>
        </w:rPr>
      </w:pPr>
      <w:r w:rsidRPr="00A17926">
        <w:rPr>
          <w:rFonts w:eastAsia="Calibri" w:cs="Times New Roman"/>
          <w:lang w:eastAsia="en-US"/>
        </w:rPr>
        <w:t>Ambulance Utility Fee</w:t>
      </w:r>
    </w:p>
    <w:p w14:paraId="273B184C" w14:textId="77777777" w:rsidR="00A17926" w:rsidRPr="00A17926" w:rsidRDefault="00A17926" w:rsidP="007857F7">
      <w:pPr>
        <w:numPr>
          <w:ilvl w:val="1"/>
          <w:numId w:val="47"/>
        </w:numPr>
        <w:spacing w:after="120" w:line="240" w:lineRule="auto"/>
        <w:rPr>
          <w:rFonts w:eastAsia="Calibri" w:cs="Times New Roman"/>
          <w:lang w:eastAsia="en-US"/>
        </w:rPr>
      </w:pPr>
      <w:r w:rsidRPr="00A17926">
        <w:rPr>
          <w:rFonts w:eastAsia="Calibri" w:cs="Arial"/>
        </w:rPr>
        <w:t>Ambulance utility fee has risen from $876,842 in FY 2011 to $1,999,850 in FY 2015 and remained relatively flat at $2,095,864 in FY 2015 while council considered a new rate study.</w:t>
      </w:r>
    </w:p>
    <w:p w14:paraId="211FEDA8" w14:textId="77777777" w:rsidR="00A17926" w:rsidRPr="00A17926" w:rsidRDefault="00A17926" w:rsidP="007857F7">
      <w:pPr>
        <w:numPr>
          <w:ilvl w:val="1"/>
          <w:numId w:val="47"/>
        </w:numPr>
        <w:spacing w:after="120" w:line="240" w:lineRule="auto"/>
        <w:rPr>
          <w:rFonts w:eastAsia="Calibri" w:cs="Times New Roman"/>
          <w:lang w:eastAsia="en-US"/>
        </w:rPr>
      </w:pPr>
      <w:r w:rsidRPr="00A17926">
        <w:rPr>
          <w:rFonts w:eastAsia="Calibri" w:cs="Times New Roman"/>
          <w:lang w:eastAsia="en-US"/>
        </w:rPr>
        <w:t>From FY 2011 through FY 2015, the average annual rate of increase was 25.1 percent.</w:t>
      </w:r>
    </w:p>
    <w:p w14:paraId="60ED1BE6" w14:textId="77777777" w:rsidR="00A17926" w:rsidRPr="00A17926" w:rsidRDefault="00A17926" w:rsidP="007857F7">
      <w:pPr>
        <w:numPr>
          <w:ilvl w:val="1"/>
          <w:numId w:val="47"/>
        </w:numPr>
        <w:spacing w:after="120" w:line="240" w:lineRule="auto"/>
        <w:rPr>
          <w:rFonts w:eastAsia="Calibri" w:cs="Times New Roman"/>
          <w:lang w:eastAsia="en-US"/>
        </w:rPr>
      </w:pPr>
      <w:r w:rsidRPr="00A17926">
        <w:rPr>
          <w:rFonts w:eastAsia="Calibri" w:cs="Times New Roman"/>
          <w:lang w:eastAsia="en-US"/>
        </w:rPr>
        <w:t>Base utility fee will be FY 2016 amount of $3,466,019.</w:t>
      </w:r>
    </w:p>
    <w:p w14:paraId="0354268B" w14:textId="307522BD" w:rsidR="00A17926" w:rsidRPr="00A17926" w:rsidRDefault="00A17926" w:rsidP="007857F7">
      <w:pPr>
        <w:numPr>
          <w:ilvl w:val="1"/>
          <w:numId w:val="47"/>
        </w:numPr>
        <w:spacing w:after="120" w:line="240" w:lineRule="auto"/>
        <w:rPr>
          <w:rFonts w:eastAsia="Calibri" w:cs="Times New Roman"/>
          <w:lang w:eastAsia="en-US"/>
        </w:rPr>
      </w:pPr>
      <w:r w:rsidRPr="00A17926">
        <w:rPr>
          <w:rFonts w:eastAsia="Calibri" w:cs="Times New Roman"/>
          <w:lang w:eastAsia="en-US"/>
        </w:rPr>
        <w:t xml:space="preserve">Forecast Scenario A assumes that the </w:t>
      </w:r>
      <w:r w:rsidR="00193D80">
        <w:rPr>
          <w:rFonts w:eastAsia="Calibri" w:cs="Times New Roman"/>
          <w:lang w:eastAsia="en-US"/>
        </w:rPr>
        <w:t xml:space="preserve">ambulance utility </w:t>
      </w:r>
      <w:r w:rsidRPr="00A17926">
        <w:rPr>
          <w:rFonts w:eastAsia="Calibri" w:cs="Times New Roman"/>
          <w:lang w:eastAsia="en-US"/>
        </w:rPr>
        <w:t xml:space="preserve">rate </w:t>
      </w:r>
      <w:r w:rsidR="00193D80">
        <w:rPr>
          <w:rFonts w:eastAsia="Calibri" w:cs="Times New Roman"/>
          <w:lang w:eastAsia="en-US"/>
        </w:rPr>
        <w:t xml:space="preserve">will rise at the same 1 percent annual growth rated projected by the city utility study </w:t>
      </w:r>
      <w:r w:rsidRPr="00A17926">
        <w:rPr>
          <w:rFonts w:eastAsia="Calibri" w:cs="Times New Roman"/>
          <w:lang w:eastAsia="en-US"/>
        </w:rPr>
        <w:t>and that the GF subsidy will remain fixed at $420,000 per year.</w:t>
      </w:r>
    </w:p>
    <w:p w14:paraId="5D5C5502" w14:textId="77777777" w:rsidR="00193D80" w:rsidRPr="00193D80" w:rsidRDefault="00193D80" w:rsidP="00193D80">
      <w:pPr>
        <w:pStyle w:val="ListParagraph"/>
        <w:numPr>
          <w:ilvl w:val="1"/>
          <w:numId w:val="47"/>
        </w:numPr>
        <w:rPr>
          <w:rFonts w:eastAsia="Calibri" w:cs="Times New Roman"/>
          <w:lang w:eastAsia="en-US"/>
        </w:rPr>
      </w:pPr>
      <w:r w:rsidRPr="00193D80">
        <w:rPr>
          <w:rFonts w:eastAsia="Calibri" w:cs="Times New Roman"/>
          <w:lang w:eastAsia="en-US"/>
        </w:rPr>
        <w:t>Forecast Scenario B assumes that the ambulance utility rate will rise at 2.74 percent annually which is based upon the state’s Office of Financial Management projection for single-family residential (projected growth at 3.1 percent for this class which represents 69 percent of the billable units) and multi-family residential (projected growth at 2.4 percent for this class which represents 25 percent of the billable units) growth in Franklin County.  Further, this scenario assumes that the GF subsidy will remain fixed at $420,000 per year.</w:t>
      </w:r>
    </w:p>
    <w:p w14:paraId="05B57837" w14:textId="5776A8C0" w:rsidR="00A17926" w:rsidRPr="00A17926" w:rsidRDefault="00A17926" w:rsidP="007857F7">
      <w:pPr>
        <w:numPr>
          <w:ilvl w:val="1"/>
          <w:numId w:val="47"/>
        </w:numPr>
        <w:spacing w:after="120" w:line="240" w:lineRule="auto"/>
        <w:rPr>
          <w:rFonts w:eastAsia="Calibri" w:cs="Times New Roman"/>
          <w:lang w:eastAsia="en-US"/>
        </w:rPr>
      </w:pPr>
      <w:r w:rsidRPr="00A17926">
        <w:rPr>
          <w:rFonts w:eastAsia="Calibri" w:cs="Times New Roman"/>
          <w:lang w:eastAsia="en-US"/>
        </w:rPr>
        <w:t>Forecast Scenario C balance</w:t>
      </w:r>
      <w:r w:rsidR="00193D80">
        <w:rPr>
          <w:rFonts w:eastAsia="Calibri" w:cs="Times New Roman"/>
          <w:lang w:eastAsia="en-US"/>
        </w:rPr>
        <w:t>s</w:t>
      </w:r>
      <w:r w:rsidRPr="00A17926">
        <w:rPr>
          <w:rFonts w:eastAsia="Calibri" w:cs="Times New Roman"/>
          <w:lang w:eastAsia="en-US"/>
        </w:rPr>
        <w:t xml:space="preserve"> recurring expense and recurring revenue to maintain a small annual operating surplus/(deficit).  This scenario allows the Utility Fee to rise each year in the following manner</w:t>
      </w:r>
      <w:r w:rsidR="0032322C">
        <w:rPr>
          <w:rFonts w:eastAsia="Calibri" w:cs="Times New Roman"/>
          <w:lang w:eastAsia="en-US"/>
        </w:rPr>
        <w:t>:</w:t>
      </w:r>
      <w:r w:rsidRPr="00A17926">
        <w:rPr>
          <w:rFonts w:eastAsia="Calibri" w:cs="Times New Roman"/>
          <w:lang w:eastAsia="en-US"/>
        </w:rPr>
        <w:t xml:space="preserve"> 25 percent in FY 2017-2018, 15 percent in FY 2019, 12.5 percent in FY 2020, 15 percent in FY 2021 and 20 percent in FY 2021.  This </w:t>
      </w:r>
      <w:r w:rsidR="00193D80">
        <w:rPr>
          <w:rFonts w:eastAsia="Calibri" w:cs="Times New Roman"/>
          <w:lang w:eastAsia="en-US"/>
        </w:rPr>
        <w:t xml:space="preserve">scenario also </w:t>
      </w:r>
      <w:r w:rsidRPr="00A17926">
        <w:rPr>
          <w:rFonts w:eastAsia="Calibri" w:cs="Times New Roman"/>
          <w:lang w:eastAsia="en-US"/>
        </w:rPr>
        <w:t>allows the GF subsidy to be gradually decreased from $420,000 until it is fully eliminated in FY 2020.</w:t>
      </w:r>
    </w:p>
    <w:p w14:paraId="1DD18D34" w14:textId="77777777" w:rsidR="00A17926" w:rsidRPr="00A17926" w:rsidRDefault="00A17926" w:rsidP="007857F7">
      <w:pPr>
        <w:numPr>
          <w:ilvl w:val="0"/>
          <w:numId w:val="47"/>
        </w:numPr>
        <w:spacing w:after="0"/>
        <w:rPr>
          <w:rFonts w:eastAsia="Calibri" w:cs="Times New Roman"/>
          <w:lang w:eastAsia="en-US"/>
        </w:rPr>
      </w:pPr>
      <w:r w:rsidRPr="00A17926">
        <w:rPr>
          <w:rFonts w:eastAsia="Calibri" w:cs="Times New Roman"/>
          <w:lang w:eastAsia="en-US"/>
        </w:rPr>
        <w:t>Contractual Services/Misc. Sources - Ambulance</w:t>
      </w:r>
    </w:p>
    <w:p w14:paraId="0B22D8B7" w14:textId="77777777" w:rsidR="00A17926" w:rsidRPr="00A17926" w:rsidRDefault="00A17926" w:rsidP="007857F7">
      <w:pPr>
        <w:numPr>
          <w:ilvl w:val="1"/>
          <w:numId w:val="47"/>
        </w:numPr>
        <w:spacing w:after="120" w:line="240" w:lineRule="auto"/>
        <w:rPr>
          <w:rFonts w:eastAsia="Calibri" w:cs="Times New Roman"/>
          <w:lang w:eastAsia="en-US"/>
        </w:rPr>
      </w:pPr>
      <w:r w:rsidRPr="00A17926">
        <w:rPr>
          <w:rFonts w:eastAsia="Calibri" w:cs="Arial"/>
        </w:rPr>
        <w:t>Contractual services and miscellaneous sources of ambulance revenue were relatively minor from FY 2011 through FY 2013 ranging from a low of $3,246 in FY 2012 to a high of $6,439 in FY 2013. With the addition of county fire district contracts in FY 2014, this source increased to $29,804 and has averaged $28,846 for the last three years.</w:t>
      </w:r>
    </w:p>
    <w:p w14:paraId="52E08945" w14:textId="77777777" w:rsidR="00A17926" w:rsidRPr="00A17926" w:rsidRDefault="00A17926" w:rsidP="007857F7">
      <w:pPr>
        <w:numPr>
          <w:ilvl w:val="1"/>
          <w:numId w:val="47"/>
        </w:numPr>
        <w:spacing w:after="240" w:line="240" w:lineRule="auto"/>
        <w:rPr>
          <w:rFonts w:eastAsia="Calibri" w:cs="Times New Roman"/>
          <w:lang w:eastAsia="en-US"/>
        </w:rPr>
      </w:pPr>
      <w:r w:rsidRPr="00A17926">
        <w:rPr>
          <w:rFonts w:eastAsia="Calibri" w:cs="Times New Roman"/>
          <w:lang w:eastAsia="en-US"/>
        </w:rPr>
        <w:t>Forecast assumes a base of $28,800 which increases with inflation at 2 percent annually.</w:t>
      </w:r>
    </w:p>
    <w:p w14:paraId="0AFEFD07" w14:textId="77777777" w:rsidR="00A17926" w:rsidRPr="00A17926" w:rsidRDefault="00A17926" w:rsidP="00A17926">
      <w:pPr>
        <w:keepNext/>
        <w:keepLines/>
        <w:spacing w:before="200" w:after="120"/>
        <w:contextualSpacing/>
        <w:outlineLvl w:val="3"/>
        <w:rPr>
          <w:rFonts w:eastAsia="Times New Roman" w:cs="Times New Roman"/>
          <w:b/>
          <w:bCs/>
          <w:iCs/>
          <w:color w:val="808080"/>
        </w:rPr>
      </w:pPr>
      <w:r w:rsidRPr="00A17926">
        <w:rPr>
          <w:rFonts w:eastAsia="Times New Roman" w:cs="Times New Roman"/>
          <w:b/>
          <w:bCs/>
          <w:i/>
          <w:iCs/>
          <w:color w:val="808080"/>
        </w:rPr>
        <w:t>Expense Forecast Assumptions</w:t>
      </w:r>
    </w:p>
    <w:p w14:paraId="733DAAAA" w14:textId="77777777" w:rsidR="00A17926" w:rsidRPr="00A17926" w:rsidRDefault="00A17926" w:rsidP="007705AA">
      <w:pPr>
        <w:numPr>
          <w:ilvl w:val="0"/>
          <w:numId w:val="48"/>
        </w:numPr>
        <w:spacing w:after="200"/>
        <w:contextualSpacing/>
        <w:jc w:val="left"/>
        <w:rPr>
          <w:rFonts w:eastAsia="Calibri" w:cs="Arial"/>
          <w:lang w:eastAsia="en-US"/>
        </w:rPr>
      </w:pPr>
      <w:r w:rsidRPr="00A17926">
        <w:rPr>
          <w:rFonts w:eastAsia="Calibri" w:cs="Arial"/>
          <w:lang w:eastAsia="en-US"/>
        </w:rPr>
        <w:t>Salaries/Wages</w:t>
      </w:r>
    </w:p>
    <w:p w14:paraId="1FC933A5" w14:textId="77777777" w:rsidR="00A17926" w:rsidRPr="00A17926" w:rsidRDefault="00A17926" w:rsidP="007857F7">
      <w:pPr>
        <w:numPr>
          <w:ilvl w:val="1"/>
          <w:numId w:val="48"/>
        </w:numPr>
        <w:spacing w:after="120" w:line="240" w:lineRule="auto"/>
        <w:rPr>
          <w:rFonts w:eastAsia="Calibri" w:cs="Arial"/>
          <w:lang w:eastAsia="en-US"/>
        </w:rPr>
      </w:pPr>
      <w:r w:rsidRPr="00A17926">
        <w:rPr>
          <w:rFonts w:eastAsia="Calibri" w:cs="Arial"/>
          <w:lang w:eastAsia="en-US"/>
        </w:rPr>
        <w:t>No change in staffing levels for status quo scenario.</w:t>
      </w:r>
    </w:p>
    <w:p w14:paraId="72B9D156" w14:textId="77777777" w:rsidR="00193D80" w:rsidRPr="00193D80" w:rsidRDefault="00193D80" w:rsidP="008C5B75">
      <w:pPr>
        <w:pStyle w:val="ListParagraph"/>
        <w:numPr>
          <w:ilvl w:val="1"/>
          <w:numId w:val="48"/>
        </w:numPr>
        <w:rPr>
          <w:rFonts w:eastAsia="Calibri" w:cs="Arial"/>
          <w:lang w:eastAsia="en-US"/>
        </w:rPr>
      </w:pPr>
      <w:r w:rsidRPr="00193D80">
        <w:rPr>
          <w:rFonts w:eastAsia="Calibri" w:cs="Arial"/>
          <w:lang w:eastAsia="en-US"/>
        </w:rPr>
        <w:t>Based upon early discussion of historical Personal Services costs, assuming that the impact of added staff and reclassifications are removed, wages have increased an average of 2.58 percent annually while benefits have increased an average of 8.9 percent annually.  Total PS costs have increased an average of 3.7 percent annually in aggregate.</w:t>
      </w:r>
    </w:p>
    <w:p w14:paraId="319ED0E6" w14:textId="754B224D" w:rsidR="00A17926" w:rsidRPr="00A17926" w:rsidRDefault="00A17926" w:rsidP="007857F7">
      <w:pPr>
        <w:numPr>
          <w:ilvl w:val="1"/>
          <w:numId w:val="48"/>
        </w:numPr>
        <w:spacing w:after="120" w:line="240" w:lineRule="auto"/>
        <w:rPr>
          <w:rFonts w:eastAsia="Calibri" w:cs="Arial"/>
          <w:lang w:eastAsia="en-US"/>
        </w:rPr>
      </w:pPr>
      <w:r w:rsidRPr="00A17926">
        <w:rPr>
          <w:rFonts w:eastAsia="Calibri" w:cs="Arial"/>
          <w:lang w:eastAsia="en-US"/>
        </w:rPr>
        <w:t xml:space="preserve">Forecast assumes an average annual increase of </w:t>
      </w:r>
      <w:r w:rsidR="00193D80">
        <w:rPr>
          <w:rFonts w:eastAsia="Calibri" w:cs="Arial"/>
          <w:lang w:eastAsia="en-US"/>
        </w:rPr>
        <w:t>2.5</w:t>
      </w:r>
      <w:r w:rsidR="008C5B75">
        <w:rPr>
          <w:rFonts w:eastAsia="Calibri" w:cs="Arial"/>
          <w:lang w:eastAsia="en-US"/>
        </w:rPr>
        <w:t>8</w:t>
      </w:r>
      <w:r w:rsidRPr="00A17926">
        <w:rPr>
          <w:rFonts w:eastAsia="Calibri" w:cs="Arial"/>
          <w:lang w:eastAsia="en-US"/>
        </w:rPr>
        <w:t xml:space="preserve"> percent using the FY 2016 amount as the base for fire and ambulance budgets.</w:t>
      </w:r>
    </w:p>
    <w:p w14:paraId="34C0DA94" w14:textId="77777777" w:rsidR="00A17926" w:rsidRPr="00A17926" w:rsidRDefault="00A17926" w:rsidP="007857F7">
      <w:pPr>
        <w:numPr>
          <w:ilvl w:val="1"/>
          <w:numId w:val="48"/>
        </w:numPr>
        <w:spacing w:after="120" w:line="240" w:lineRule="auto"/>
        <w:rPr>
          <w:rFonts w:eastAsia="Calibri" w:cs="Arial"/>
          <w:lang w:eastAsia="en-US"/>
        </w:rPr>
      </w:pPr>
      <w:r w:rsidRPr="00A17926">
        <w:rPr>
          <w:rFonts w:eastAsia="Calibri" w:cs="Arial"/>
          <w:lang w:eastAsia="en-US"/>
        </w:rPr>
        <w:t>A firefighter with 25-36 months has a current salary of $70,850 with benefits of$25,552 which is the rate used to add one firefighter per engine per shift.</w:t>
      </w:r>
    </w:p>
    <w:p w14:paraId="658E1D21" w14:textId="6450C6BB" w:rsidR="00A17926" w:rsidRPr="00A17926" w:rsidRDefault="00A17926" w:rsidP="007857F7">
      <w:pPr>
        <w:numPr>
          <w:ilvl w:val="1"/>
          <w:numId w:val="48"/>
        </w:numPr>
        <w:spacing w:after="120" w:line="240" w:lineRule="auto"/>
        <w:rPr>
          <w:rFonts w:eastAsia="Calibri" w:cs="Arial"/>
          <w:lang w:eastAsia="en-US"/>
        </w:rPr>
      </w:pPr>
      <w:r w:rsidRPr="00A17926">
        <w:rPr>
          <w:rFonts w:eastAsia="Calibri" w:cs="Arial"/>
          <w:lang w:eastAsia="en-US"/>
        </w:rPr>
        <w:t xml:space="preserve">Adding a three-person engine company assumes the need for one firefighter at the rate shown above, plus a firefighter with 49 or more </w:t>
      </w:r>
      <w:r w:rsidR="00B0047A" w:rsidRPr="00A17926">
        <w:rPr>
          <w:rFonts w:eastAsia="Calibri" w:cs="Arial"/>
          <w:lang w:eastAsia="en-US"/>
        </w:rPr>
        <w:t>months’</w:t>
      </w:r>
      <w:r w:rsidRPr="00A17926">
        <w:rPr>
          <w:rFonts w:eastAsia="Calibri" w:cs="Arial"/>
          <w:lang w:eastAsia="en-US"/>
        </w:rPr>
        <w:t xml:space="preserve"> experience to serve as a driver/engineer at a salary of $78,728 with benefits of $26,078 and a lieutenant at a salary of $86,606 with benefits of $26,604.</w:t>
      </w:r>
    </w:p>
    <w:p w14:paraId="18007221" w14:textId="77777777" w:rsidR="00A17926" w:rsidRPr="00A17926" w:rsidRDefault="00A17926" w:rsidP="007857F7">
      <w:pPr>
        <w:numPr>
          <w:ilvl w:val="1"/>
          <w:numId w:val="48"/>
        </w:numPr>
        <w:spacing w:after="120" w:line="240" w:lineRule="auto"/>
        <w:rPr>
          <w:rFonts w:eastAsia="Calibri" w:cs="Arial"/>
          <w:lang w:eastAsia="en-US"/>
        </w:rPr>
      </w:pPr>
      <w:r w:rsidRPr="00A17926">
        <w:rPr>
          <w:rFonts w:eastAsia="Calibri" w:cs="Arial"/>
          <w:lang w:eastAsia="en-US"/>
        </w:rPr>
        <w:t>Overtime is assumed to average 15 percent per employee annually.</w:t>
      </w:r>
    </w:p>
    <w:p w14:paraId="6427081F" w14:textId="77777777" w:rsidR="00A17926" w:rsidRPr="00A17926" w:rsidRDefault="00A17926" w:rsidP="007857F7">
      <w:pPr>
        <w:numPr>
          <w:ilvl w:val="1"/>
          <w:numId w:val="48"/>
        </w:numPr>
        <w:spacing w:after="240" w:line="240" w:lineRule="auto"/>
        <w:rPr>
          <w:rFonts w:eastAsia="Calibri" w:cs="Arial"/>
          <w:lang w:eastAsia="en-US"/>
        </w:rPr>
      </w:pPr>
      <w:r w:rsidRPr="00A17926">
        <w:rPr>
          <w:rFonts w:eastAsia="Calibri" w:cs="Arial"/>
          <w:lang w:eastAsia="en-US"/>
        </w:rPr>
        <w:t>One-time on-boarding costs per employee are assumed to be $5,000 and are included in operating costs.</w:t>
      </w:r>
    </w:p>
    <w:p w14:paraId="486F6693" w14:textId="77777777" w:rsidR="00A17926" w:rsidRPr="00A17926" w:rsidRDefault="00A17926" w:rsidP="007857F7">
      <w:pPr>
        <w:numPr>
          <w:ilvl w:val="0"/>
          <w:numId w:val="48"/>
        </w:numPr>
        <w:spacing w:after="200"/>
        <w:contextualSpacing/>
        <w:rPr>
          <w:rFonts w:eastAsia="Calibri" w:cs="Arial"/>
          <w:lang w:eastAsia="en-US"/>
        </w:rPr>
      </w:pPr>
      <w:r w:rsidRPr="00A17926">
        <w:rPr>
          <w:rFonts w:eastAsia="Calibri" w:cs="Arial"/>
          <w:lang w:eastAsia="en-US"/>
        </w:rPr>
        <w:t>Benefits</w:t>
      </w:r>
    </w:p>
    <w:p w14:paraId="74BF0305" w14:textId="2FD159B6" w:rsidR="00A17926" w:rsidRPr="00A17926" w:rsidRDefault="00A17926" w:rsidP="007857F7">
      <w:pPr>
        <w:numPr>
          <w:ilvl w:val="1"/>
          <w:numId w:val="48"/>
        </w:numPr>
        <w:spacing w:after="120" w:line="240" w:lineRule="auto"/>
        <w:rPr>
          <w:rFonts w:eastAsia="Calibri" w:cs="Arial"/>
          <w:lang w:eastAsia="en-US"/>
        </w:rPr>
      </w:pPr>
      <w:r w:rsidRPr="00A17926">
        <w:rPr>
          <w:rFonts w:eastAsia="Calibri" w:cs="Arial"/>
          <w:lang w:eastAsia="en-US"/>
        </w:rPr>
        <w:t xml:space="preserve">Historical personnel benefits have increased linearly from FY 2011 to FY 2015 at an average rate of </w:t>
      </w:r>
      <w:r w:rsidR="008C5B75">
        <w:rPr>
          <w:rFonts w:eastAsia="Calibri" w:cs="Arial"/>
          <w:lang w:eastAsia="en-US"/>
        </w:rPr>
        <w:t>8.9</w:t>
      </w:r>
      <w:r w:rsidRPr="00A17926">
        <w:rPr>
          <w:rFonts w:eastAsia="Calibri" w:cs="Arial"/>
          <w:lang w:eastAsia="en-US"/>
        </w:rPr>
        <w:t xml:space="preserve"> percent per year</w:t>
      </w:r>
      <w:r w:rsidR="008C5B75">
        <w:rPr>
          <w:rFonts w:eastAsia="Calibri" w:cs="Arial"/>
          <w:lang w:eastAsia="en-US"/>
        </w:rPr>
        <w:t xml:space="preserve"> exclusive of added staff and reclassification as discussed above</w:t>
      </w:r>
      <w:r w:rsidRPr="00A17926">
        <w:rPr>
          <w:rFonts w:eastAsia="Calibri" w:cs="Arial"/>
          <w:lang w:eastAsia="en-US"/>
        </w:rPr>
        <w:t>.</w:t>
      </w:r>
    </w:p>
    <w:p w14:paraId="5EE3CD0D" w14:textId="17F65830" w:rsidR="00A17926" w:rsidRPr="00A17926" w:rsidRDefault="00A17926" w:rsidP="007857F7">
      <w:pPr>
        <w:numPr>
          <w:ilvl w:val="1"/>
          <w:numId w:val="48"/>
        </w:numPr>
        <w:spacing w:after="120" w:line="240" w:lineRule="auto"/>
        <w:rPr>
          <w:rFonts w:eastAsia="Calibri" w:cs="Arial"/>
          <w:lang w:eastAsia="en-US"/>
        </w:rPr>
      </w:pPr>
      <w:r w:rsidRPr="00A17926">
        <w:rPr>
          <w:rFonts w:eastAsia="Calibri" w:cs="Arial"/>
          <w:lang w:eastAsia="en-US"/>
        </w:rPr>
        <w:t>Benefit rate increase driven largely by annual increases in health care costs</w:t>
      </w:r>
      <w:r w:rsidR="0074730B">
        <w:rPr>
          <w:rFonts w:eastAsia="Calibri" w:cs="Arial"/>
          <w:lang w:eastAsia="en-US"/>
        </w:rPr>
        <w:t>,</w:t>
      </w:r>
      <w:r w:rsidRPr="00A17926">
        <w:rPr>
          <w:rFonts w:eastAsia="Calibri" w:cs="Arial"/>
          <w:lang w:eastAsia="en-US"/>
        </w:rPr>
        <w:t xml:space="preserve"> which have increased </w:t>
      </w:r>
      <w:r w:rsidR="008C5B75">
        <w:rPr>
          <w:rFonts w:eastAsia="Calibri" w:cs="Arial"/>
          <w:lang w:eastAsia="en-US"/>
        </w:rPr>
        <w:t>as much as</w:t>
      </w:r>
      <w:r w:rsidRPr="00A17926">
        <w:rPr>
          <w:rFonts w:eastAsia="Calibri" w:cs="Arial"/>
          <w:lang w:eastAsia="en-US"/>
        </w:rPr>
        <w:t xml:space="preserve"> 30 percent per year for the period.</w:t>
      </w:r>
    </w:p>
    <w:p w14:paraId="643E5DD6" w14:textId="77777777" w:rsidR="00A17926" w:rsidRPr="00A17926" w:rsidRDefault="00A17926" w:rsidP="007857F7">
      <w:pPr>
        <w:numPr>
          <w:ilvl w:val="1"/>
          <w:numId w:val="48"/>
        </w:numPr>
        <w:spacing w:after="240" w:line="240" w:lineRule="auto"/>
        <w:rPr>
          <w:rFonts w:eastAsia="Calibri" w:cs="Arial"/>
          <w:lang w:eastAsia="en-US"/>
        </w:rPr>
      </w:pPr>
      <w:r w:rsidRPr="00A17926">
        <w:rPr>
          <w:rFonts w:eastAsia="Calibri" w:cs="Arial"/>
          <w:lang w:eastAsia="en-US"/>
        </w:rPr>
        <w:t>Forecast uses an 11.3 percent increase each year for benefits with FY 2016 as the base.</w:t>
      </w:r>
    </w:p>
    <w:p w14:paraId="47A2CD15" w14:textId="77777777" w:rsidR="00A17926" w:rsidRPr="00A17926" w:rsidRDefault="00A17926" w:rsidP="007857F7">
      <w:pPr>
        <w:numPr>
          <w:ilvl w:val="0"/>
          <w:numId w:val="48"/>
        </w:numPr>
        <w:spacing w:after="200"/>
        <w:contextualSpacing/>
        <w:rPr>
          <w:rFonts w:eastAsia="Calibri" w:cs="Arial"/>
          <w:lang w:eastAsia="en-US"/>
        </w:rPr>
      </w:pPr>
      <w:r w:rsidRPr="00A17926">
        <w:rPr>
          <w:rFonts w:eastAsia="Calibri" w:cs="Arial"/>
          <w:lang w:eastAsia="en-US"/>
        </w:rPr>
        <w:t xml:space="preserve">O&amp;M Supplies </w:t>
      </w:r>
    </w:p>
    <w:p w14:paraId="4BA27F83" w14:textId="786F71F4" w:rsidR="00A17926" w:rsidRPr="00A17926" w:rsidRDefault="00A17926" w:rsidP="007857F7">
      <w:pPr>
        <w:numPr>
          <w:ilvl w:val="1"/>
          <w:numId w:val="48"/>
        </w:numPr>
        <w:spacing w:after="200"/>
        <w:contextualSpacing/>
        <w:rPr>
          <w:rFonts w:eastAsia="Calibri" w:cs="Arial"/>
          <w:lang w:eastAsia="en-US"/>
        </w:rPr>
      </w:pPr>
      <w:r w:rsidRPr="00A17926">
        <w:rPr>
          <w:rFonts w:eastAsia="Calibri" w:cs="Arial"/>
          <w:lang w:eastAsia="en-US"/>
        </w:rPr>
        <w:t xml:space="preserve">As shown in the upper portion of </w:t>
      </w:r>
      <w:r w:rsidRPr="0074730B">
        <w:rPr>
          <w:rFonts w:eastAsia="Calibri" w:cs="Arial"/>
          <w:lang w:eastAsia="en-US"/>
        </w:rPr>
        <w:fldChar w:fldCharType="begin"/>
      </w:r>
      <w:r w:rsidRPr="0074730B">
        <w:rPr>
          <w:rFonts w:eastAsia="Calibri" w:cs="Arial"/>
          <w:lang w:eastAsia="en-US"/>
        </w:rPr>
        <w:instrText xml:space="preserve"> REF _Ref456014773 \h </w:instrText>
      </w:r>
      <w:r w:rsidR="0074730B" w:rsidRPr="0074730B">
        <w:rPr>
          <w:rFonts w:eastAsia="Calibri" w:cs="Arial"/>
          <w:lang w:eastAsia="en-US"/>
        </w:rPr>
        <w:instrText xml:space="preserve"> \* MERGEFORMAT </w:instrText>
      </w:r>
      <w:r w:rsidRPr="0074730B">
        <w:rPr>
          <w:rFonts w:eastAsia="Calibri" w:cs="Arial"/>
          <w:lang w:eastAsia="en-US"/>
        </w:rPr>
      </w:r>
      <w:r w:rsidRPr="0074730B">
        <w:rPr>
          <w:rFonts w:eastAsia="Calibri" w:cs="Arial"/>
          <w:lang w:eastAsia="en-US"/>
        </w:rPr>
        <w:fldChar w:fldCharType="separate"/>
      </w:r>
      <w:r w:rsidR="008209A2" w:rsidRPr="008209A2">
        <w:rPr>
          <w:rFonts w:eastAsia="Calibri" w:cs="Times New Roman"/>
          <w:iCs/>
          <w:lang w:eastAsia="en-US"/>
        </w:rPr>
        <w:t xml:space="preserve">Figure </w:t>
      </w:r>
      <w:r w:rsidR="008209A2" w:rsidRPr="008209A2">
        <w:rPr>
          <w:rFonts w:eastAsia="Calibri" w:cs="Times New Roman"/>
          <w:iCs/>
          <w:noProof/>
          <w:lang w:eastAsia="en-US"/>
        </w:rPr>
        <w:t>98</w:t>
      </w:r>
      <w:r w:rsidRPr="0074730B">
        <w:rPr>
          <w:rFonts w:eastAsia="Calibri" w:cs="Arial"/>
          <w:lang w:eastAsia="en-US"/>
        </w:rPr>
        <w:fldChar w:fldCharType="end"/>
      </w:r>
      <w:r w:rsidRPr="00A17926">
        <w:rPr>
          <w:rFonts w:eastAsia="Calibri" w:cs="Arial"/>
          <w:lang w:eastAsia="en-US"/>
        </w:rPr>
        <w:t>, O&amp;M Supplies for the fire budget declined from $214,717 in FY 2011 to a low of $106,394 in FY 2013 before increasing steadily to $234,646 in FY 2016.</w:t>
      </w:r>
    </w:p>
    <w:p w14:paraId="3402991C" w14:textId="77777777" w:rsidR="00A17926" w:rsidRPr="00A17926" w:rsidRDefault="00A17926" w:rsidP="007857F7">
      <w:pPr>
        <w:numPr>
          <w:ilvl w:val="1"/>
          <w:numId w:val="48"/>
        </w:numPr>
        <w:spacing w:after="120" w:line="240" w:lineRule="auto"/>
        <w:rPr>
          <w:rFonts w:eastAsia="Calibri" w:cs="Arial"/>
          <w:lang w:eastAsia="en-US"/>
        </w:rPr>
      </w:pPr>
      <w:r w:rsidRPr="00A17926">
        <w:rPr>
          <w:rFonts w:eastAsia="Calibri" w:cs="Arial"/>
          <w:lang w:eastAsia="en-US"/>
        </w:rPr>
        <w:t>One-time on-boarding costs of $5,000 per employee are added for each additional employee added in the various fire scenarios.</w:t>
      </w:r>
    </w:p>
    <w:p w14:paraId="62B89CD0" w14:textId="77777777" w:rsidR="00A17926" w:rsidRPr="00A17926" w:rsidRDefault="00A17926" w:rsidP="007857F7">
      <w:pPr>
        <w:numPr>
          <w:ilvl w:val="1"/>
          <w:numId w:val="48"/>
        </w:numPr>
        <w:spacing w:after="120" w:line="240" w:lineRule="auto"/>
        <w:rPr>
          <w:rFonts w:eastAsia="Calibri" w:cs="Arial"/>
          <w:lang w:eastAsia="en-US"/>
        </w:rPr>
      </w:pPr>
      <w:r w:rsidRPr="00A17926">
        <w:rPr>
          <w:rFonts w:eastAsia="Calibri" w:cs="Arial"/>
          <w:lang w:eastAsia="en-US"/>
        </w:rPr>
        <w:t>Average annual increase between FY 2012 and FY 2016 is 19.5 percent.</w:t>
      </w:r>
    </w:p>
    <w:p w14:paraId="5F64C901" w14:textId="77777777" w:rsidR="00A17926" w:rsidRPr="00A17926" w:rsidRDefault="00A17926" w:rsidP="007857F7">
      <w:pPr>
        <w:numPr>
          <w:ilvl w:val="1"/>
          <w:numId w:val="48"/>
        </w:numPr>
        <w:spacing w:after="120" w:line="240" w:lineRule="auto"/>
        <w:rPr>
          <w:rFonts w:eastAsia="Calibri" w:cs="Arial"/>
          <w:lang w:eastAsia="en-US"/>
        </w:rPr>
      </w:pPr>
      <w:r w:rsidRPr="00A17926">
        <w:rPr>
          <w:rFonts w:eastAsia="Calibri" w:cs="Arial"/>
          <w:lang w:eastAsia="en-US"/>
        </w:rPr>
        <w:t>Forecast for Fire O&amp;M assumes FY 2016 as base with an annual increase of 10 percent.</w:t>
      </w:r>
    </w:p>
    <w:p w14:paraId="3880055A" w14:textId="77777777" w:rsidR="00A17926" w:rsidRPr="00A17926" w:rsidRDefault="00A17926" w:rsidP="007857F7">
      <w:pPr>
        <w:numPr>
          <w:ilvl w:val="1"/>
          <w:numId w:val="48"/>
        </w:numPr>
        <w:spacing w:after="120" w:line="240" w:lineRule="auto"/>
        <w:rPr>
          <w:rFonts w:eastAsia="Calibri" w:cs="Arial"/>
          <w:lang w:eastAsia="en-US"/>
        </w:rPr>
      </w:pPr>
      <w:r w:rsidRPr="00A17926">
        <w:rPr>
          <w:rFonts w:eastAsia="Calibri" w:cs="Arial"/>
          <w:lang w:eastAsia="en-US"/>
        </w:rPr>
        <w:t>As shown in the lower portion of the figure, O&amp;M Supplies for the ambulance budget have increased linearly from $75,028 in FY 2011 to $249,215 in FY 2015 for an average annual increase of 28 percent.</w:t>
      </w:r>
    </w:p>
    <w:p w14:paraId="225A2D4E" w14:textId="3AEE2AA6" w:rsidR="00A17926" w:rsidRDefault="00A17926" w:rsidP="007857F7">
      <w:pPr>
        <w:numPr>
          <w:ilvl w:val="1"/>
          <w:numId w:val="48"/>
        </w:numPr>
        <w:spacing w:after="240" w:line="240" w:lineRule="auto"/>
        <w:rPr>
          <w:rFonts w:eastAsia="Calibri" w:cs="Arial"/>
          <w:lang w:eastAsia="en-US"/>
        </w:rPr>
      </w:pPr>
      <w:r w:rsidRPr="00A17926">
        <w:rPr>
          <w:rFonts w:eastAsia="Calibri" w:cs="Arial"/>
          <w:lang w:eastAsia="en-US"/>
        </w:rPr>
        <w:t>Forecast assumes FY 2016 as base with an annual increase of 25 percent.</w:t>
      </w:r>
    </w:p>
    <w:p w14:paraId="5DE6E4FD" w14:textId="5A64141F" w:rsidR="008C5B75" w:rsidRPr="007857F7" w:rsidRDefault="008C5B75" w:rsidP="007857F7">
      <w:pPr>
        <w:pStyle w:val="ListParagraph"/>
        <w:numPr>
          <w:ilvl w:val="1"/>
          <w:numId w:val="48"/>
        </w:numPr>
        <w:rPr>
          <w:rFonts w:eastAsia="Calibri" w:cs="Arial"/>
          <w:lang w:eastAsia="en-US"/>
        </w:rPr>
      </w:pPr>
      <w:r w:rsidRPr="008C5B75">
        <w:rPr>
          <w:rFonts w:eastAsia="Calibri" w:cs="Arial"/>
          <w:lang w:eastAsia="en-US"/>
        </w:rPr>
        <w:t>It is important to note that O&amp;M Supplies is an area where costs could be contained and it is likely that the department will do so in the future.  Therefore, costs modeled can be considered a high end forecast.  FCS Group used 2 percent, or inflation, for their forecast; therefore, their modeled expenses are significantly lower than those shown here.</w:t>
      </w:r>
    </w:p>
    <w:p w14:paraId="7888DA7B" w14:textId="652DB0AD" w:rsidR="00A17926" w:rsidRPr="00A17926" w:rsidRDefault="00A17926" w:rsidP="0074730B">
      <w:pPr>
        <w:pStyle w:val="Caption"/>
      </w:pPr>
      <w:bookmarkStart w:id="360" w:name="_Ref456014773"/>
      <w:bookmarkStart w:id="361" w:name="_Toc464323740"/>
      <w:r w:rsidRPr="00A17926">
        <w:t xml:space="preserve">Figure </w:t>
      </w:r>
      <w:r w:rsidR="00432AD4">
        <w:fldChar w:fldCharType="begin"/>
      </w:r>
      <w:r w:rsidR="00432AD4">
        <w:instrText xml:space="preserve"> SEQ Figure \* ARABIC </w:instrText>
      </w:r>
      <w:r w:rsidR="00432AD4">
        <w:fldChar w:fldCharType="separate"/>
      </w:r>
      <w:r w:rsidR="008209A2">
        <w:rPr>
          <w:noProof/>
        </w:rPr>
        <w:t>98</w:t>
      </w:r>
      <w:r w:rsidR="00432AD4">
        <w:rPr>
          <w:noProof/>
        </w:rPr>
        <w:fldChar w:fldCharType="end"/>
      </w:r>
      <w:bookmarkEnd w:id="360"/>
      <w:r w:rsidRPr="00A17926">
        <w:t xml:space="preserve">: </w:t>
      </w:r>
      <w:r w:rsidR="0060470A" w:rsidRPr="0060470A">
        <w:t>Historical Operating Expense Trends – Fire and Ambulance Budgets</w:t>
      </w:r>
      <w:bookmarkEnd w:id="361"/>
    </w:p>
    <w:p w14:paraId="35329606" w14:textId="77777777" w:rsidR="00A17926" w:rsidRPr="00A17926" w:rsidRDefault="00A17926" w:rsidP="00A17926">
      <w:pPr>
        <w:spacing w:after="120"/>
        <w:jc w:val="center"/>
        <w:rPr>
          <w:rFonts w:eastAsia="Calibri" w:cs="Arial"/>
          <w:b/>
          <w:sz w:val="20"/>
        </w:rPr>
      </w:pPr>
      <w:r w:rsidRPr="00A17926">
        <w:rPr>
          <w:rFonts w:eastAsia="Calibri" w:cs="Arial"/>
          <w:b/>
          <w:noProof/>
          <w:sz w:val="20"/>
          <w:lang w:eastAsia="en-US"/>
        </w:rPr>
        <w:drawing>
          <wp:inline distT="0" distB="0" distL="0" distR="0" wp14:anchorId="003B023B" wp14:editId="289B3C10">
            <wp:extent cx="4023360" cy="4306999"/>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023360" cy="4306999"/>
                    </a:xfrm>
                    <a:prstGeom prst="rect">
                      <a:avLst/>
                    </a:prstGeom>
                    <a:noFill/>
                  </pic:spPr>
                </pic:pic>
              </a:graphicData>
            </a:graphic>
          </wp:inline>
        </w:drawing>
      </w:r>
    </w:p>
    <w:p w14:paraId="70B22909" w14:textId="77777777" w:rsidR="00A17926" w:rsidRPr="0074730B" w:rsidRDefault="00A17926" w:rsidP="0074730B">
      <w:pPr>
        <w:spacing w:after="240" w:line="240" w:lineRule="auto"/>
        <w:jc w:val="left"/>
        <w:rPr>
          <w:rFonts w:eastAsia="Calibri" w:cs="Arial"/>
          <w:i/>
          <w:sz w:val="20"/>
        </w:rPr>
      </w:pPr>
      <w:r w:rsidRPr="0074730B">
        <w:rPr>
          <w:rFonts w:eastAsia="Calibri" w:cs="Arial"/>
          <w:i/>
          <w:sz w:val="20"/>
        </w:rPr>
        <w:t>Source:  Departmental Audited and Adopted Budget Documents</w:t>
      </w:r>
    </w:p>
    <w:p w14:paraId="7DDD3BB2" w14:textId="77777777" w:rsidR="00A17926" w:rsidRPr="00A17926" w:rsidRDefault="00A17926" w:rsidP="007705AA">
      <w:pPr>
        <w:numPr>
          <w:ilvl w:val="0"/>
          <w:numId w:val="48"/>
        </w:numPr>
        <w:spacing w:after="200"/>
        <w:contextualSpacing/>
        <w:jc w:val="left"/>
        <w:rPr>
          <w:rFonts w:eastAsia="Calibri" w:cs="Arial"/>
          <w:lang w:eastAsia="en-US"/>
        </w:rPr>
      </w:pPr>
      <w:r w:rsidRPr="00A17926">
        <w:rPr>
          <w:rFonts w:eastAsia="Calibri" w:cs="Arial"/>
          <w:lang w:eastAsia="en-US"/>
        </w:rPr>
        <w:t>Other Services/Charges</w:t>
      </w:r>
    </w:p>
    <w:p w14:paraId="2B481E91" w14:textId="43E66CC0" w:rsidR="00A17926" w:rsidRPr="00A17926" w:rsidRDefault="00A17926" w:rsidP="0074730B">
      <w:pPr>
        <w:numPr>
          <w:ilvl w:val="1"/>
          <w:numId w:val="48"/>
        </w:numPr>
        <w:spacing w:after="120" w:line="240" w:lineRule="auto"/>
        <w:jc w:val="left"/>
        <w:rPr>
          <w:rFonts w:eastAsia="Calibri" w:cs="Arial"/>
          <w:lang w:eastAsia="en-US"/>
        </w:rPr>
      </w:pPr>
      <w:r w:rsidRPr="00A17926">
        <w:rPr>
          <w:rFonts w:eastAsia="Calibri" w:cs="Arial"/>
          <w:lang w:eastAsia="en-US"/>
        </w:rPr>
        <w:t xml:space="preserve">As shown in the upper portion of </w:t>
      </w:r>
      <w:r w:rsidRPr="0074730B">
        <w:rPr>
          <w:rFonts w:eastAsia="Calibri" w:cs="Arial"/>
          <w:lang w:eastAsia="en-US"/>
        </w:rPr>
        <w:fldChar w:fldCharType="begin"/>
      </w:r>
      <w:r w:rsidRPr="0074730B">
        <w:rPr>
          <w:rFonts w:eastAsia="Calibri" w:cs="Arial"/>
          <w:lang w:eastAsia="en-US"/>
        </w:rPr>
        <w:instrText xml:space="preserve"> REF _Ref456014773 \h </w:instrText>
      </w:r>
      <w:r w:rsidR="0074730B" w:rsidRPr="0074730B">
        <w:rPr>
          <w:rFonts w:eastAsia="Calibri" w:cs="Arial"/>
          <w:lang w:eastAsia="en-US"/>
        </w:rPr>
        <w:instrText xml:space="preserve"> \* MERGEFORMAT </w:instrText>
      </w:r>
      <w:r w:rsidRPr="0074730B">
        <w:rPr>
          <w:rFonts w:eastAsia="Calibri" w:cs="Arial"/>
          <w:lang w:eastAsia="en-US"/>
        </w:rPr>
      </w:r>
      <w:r w:rsidRPr="0074730B">
        <w:rPr>
          <w:rFonts w:eastAsia="Calibri" w:cs="Arial"/>
          <w:lang w:eastAsia="en-US"/>
        </w:rPr>
        <w:fldChar w:fldCharType="separate"/>
      </w:r>
      <w:r w:rsidR="008209A2" w:rsidRPr="008209A2">
        <w:rPr>
          <w:rFonts w:eastAsia="Calibri" w:cs="Times New Roman"/>
          <w:iCs/>
          <w:lang w:eastAsia="en-US"/>
        </w:rPr>
        <w:t xml:space="preserve">Figure </w:t>
      </w:r>
      <w:r w:rsidR="008209A2" w:rsidRPr="008209A2">
        <w:rPr>
          <w:rFonts w:eastAsia="Calibri" w:cs="Times New Roman"/>
          <w:iCs/>
          <w:noProof/>
          <w:lang w:eastAsia="en-US"/>
        </w:rPr>
        <w:t>98</w:t>
      </w:r>
      <w:r w:rsidRPr="0074730B">
        <w:rPr>
          <w:rFonts w:eastAsia="Calibri" w:cs="Arial"/>
          <w:lang w:eastAsia="en-US"/>
        </w:rPr>
        <w:fldChar w:fldCharType="end"/>
      </w:r>
      <w:r w:rsidRPr="00A17926">
        <w:rPr>
          <w:rFonts w:eastAsia="Calibri" w:cs="Arial"/>
          <w:lang w:eastAsia="en-US"/>
        </w:rPr>
        <w:t>, Other Services/Charges for the fire budget were relatively flat, averaging $300,000 from FY 2011 through FY 2013 after which they climbed from $292,183 to $603,499 in FY 2016.</w:t>
      </w:r>
    </w:p>
    <w:p w14:paraId="08C960BE" w14:textId="77777777" w:rsidR="00A17926" w:rsidRPr="00A17926" w:rsidRDefault="00A17926" w:rsidP="0074730B">
      <w:pPr>
        <w:numPr>
          <w:ilvl w:val="1"/>
          <w:numId w:val="48"/>
        </w:numPr>
        <w:spacing w:after="120" w:line="240" w:lineRule="auto"/>
        <w:jc w:val="left"/>
        <w:rPr>
          <w:rFonts w:eastAsia="Calibri" w:cs="Arial"/>
          <w:lang w:eastAsia="en-US"/>
        </w:rPr>
      </w:pPr>
      <w:r w:rsidRPr="00A17926">
        <w:rPr>
          <w:rFonts w:eastAsia="Calibri" w:cs="Arial"/>
          <w:lang w:eastAsia="en-US"/>
        </w:rPr>
        <w:t>Average annual increase between FY 2013 and FY 2016 is 27.4 percent.</w:t>
      </w:r>
    </w:p>
    <w:p w14:paraId="3091181D" w14:textId="77777777" w:rsidR="00A17926" w:rsidRPr="00A17926" w:rsidRDefault="00A17926" w:rsidP="0074730B">
      <w:pPr>
        <w:numPr>
          <w:ilvl w:val="1"/>
          <w:numId w:val="48"/>
        </w:numPr>
        <w:spacing w:after="120" w:line="240" w:lineRule="auto"/>
        <w:jc w:val="left"/>
        <w:rPr>
          <w:rFonts w:eastAsia="Calibri" w:cs="Arial"/>
          <w:lang w:eastAsia="en-US"/>
        </w:rPr>
      </w:pPr>
      <w:r w:rsidRPr="00A17926">
        <w:rPr>
          <w:rFonts w:eastAsia="Calibri" w:cs="Arial"/>
          <w:lang w:eastAsia="en-US"/>
        </w:rPr>
        <w:t>Using the FY 2011 figure of $275,106 as a starting point, the average annual increase through FY 2016 is 17.9.</w:t>
      </w:r>
    </w:p>
    <w:p w14:paraId="4956E820" w14:textId="77777777" w:rsidR="00A17926" w:rsidRPr="00A17926" w:rsidRDefault="00A17926" w:rsidP="0074730B">
      <w:pPr>
        <w:numPr>
          <w:ilvl w:val="1"/>
          <w:numId w:val="48"/>
        </w:numPr>
        <w:spacing w:after="120" w:line="240" w:lineRule="auto"/>
        <w:jc w:val="left"/>
        <w:rPr>
          <w:rFonts w:eastAsia="Calibri" w:cs="Arial"/>
          <w:lang w:eastAsia="en-US"/>
        </w:rPr>
      </w:pPr>
      <w:r w:rsidRPr="00A17926">
        <w:rPr>
          <w:rFonts w:eastAsia="Calibri" w:cs="Arial"/>
          <w:lang w:eastAsia="en-US"/>
        </w:rPr>
        <w:t>Forecast for Fire Other Services/Charges assumes FY 2016 as base with an annual increase of 20 percent.</w:t>
      </w:r>
    </w:p>
    <w:p w14:paraId="2613FA6E" w14:textId="77777777" w:rsidR="00A17926" w:rsidRPr="00A17926" w:rsidRDefault="00A17926" w:rsidP="0074730B">
      <w:pPr>
        <w:numPr>
          <w:ilvl w:val="1"/>
          <w:numId w:val="48"/>
        </w:numPr>
        <w:spacing w:after="120" w:line="240" w:lineRule="auto"/>
        <w:jc w:val="left"/>
        <w:rPr>
          <w:rFonts w:eastAsia="Calibri" w:cs="Arial"/>
          <w:lang w:eastAsia="en-US"/>
        </w:rPr>
      </w:pPr>
      <w:r w:rsidRPr="00A17926">
        <w:rPr>
          <w:rFonts w:eastAsia="Calibri" w:cs="Arial"/>
          <w:lang w:eastAsia="en-US"/>
        </w:rPr>
        <w:t>As shown in the lower portion of the figure, Other Services/Charges for the ambulance budget have generally increased linearly (with the exception of a spike in FY 2012) from $442,020 in FY 2011 to $1,186,340 in FY 2016 for an average annual increase of 25.2 percent.</w:t>
      </w:r>
    </w:p>
    <w:p w14:paraId="677B0987" w14:textId="68AE0E25" w:rsidR="00A17926" w:rsidRDefault="00A17926" w:rsidP="0074730B">
      <w:pPr>
        <w:numPr>
          <w:ilvl w:val="1"/>
          <w:numId w:val="48"/>
        </w:numPr>
        <w:spacing w:after="240" w:line="240" w:lineRule="auto"/>
        <w:jc w:val="left"/>
        <w:rPr>
          <w:rFonts w:eastAsia="Calibri" w:cs="Arial"/>
          <w:lang w:eastAsia="en-US"/>
        </w:rPr>
      </w:pPr>
      <w:r w:rsidRPr="00A17926">
        <w:rPr>
          <w:rFonts w:eastAsia="Calibri" w:cs="Arial"/>
          <w:lang w:eastAsia="en-US"/>
        </w:rPr>
        <w:t xml:space="preserve">Forecast for Ambulance Other Services/Charges assumes FY 2016 as base with an annual increase of 25 percent. </w:t>
      </w:r>
    </w:p>
    <w:p w14:paraId="786186AB" w14:textId="6A9CEC43" w:rsidR="008C5B75" w:rsidRPr="007857F7" w:rsidRDefault="008C5B75" w:rsidP="007857F7">
      <w:pPr>
        <w:pStyle w:val="ListParagraph"/>
        <w:numPr>
          <w:ilvl w:val="1"/>
          <w:numId w:val="48"/>
        </w:numPr>
        <w:rPr>
          <w:rFonts w:eastAsia="Calibri" w:cs="Arial"/>
          <w:lang w:eastAsia="en-US"/>
        </w:rPr>
      </w:pPr>
      <w:r w:rsidRPr="008C5B75">
        <w:rPr>
          <w:rFonts w:eastAsia="Calibri" w:cs="Arial"/>
          <w:lang w:eastAsia="en-US"/>
        </w:rPr>
        <w:t>Again, this is an area where the department can control costs and has indicated that it will continue to work towards cost containment.  FCS Group used 2 percent growth in these expenses and their expense forecast is, therefore, lower in comparison.</w:t>
      </w:r>
    </w:p>
    <w:p w14:paraId="76296964" w14:textId="77777777" w:rsidR="00A17926" w:rsidRPr="00A17926" w:rsidRDefault="00A17926" w:rsidP="007705AA">
      <w:pPr>
        <w:numPr>
          <w:ilvl w:val="0"/>
          <w:numId w:val="48"/>
        </w:numPr>
        <w:spacing w:after="200"/>
        <w:contextualSpacing/>
        <w:jc w:val="left"/>
        <w:rPr>
          <w:rFonts w:eastAsia="Calibri" w:cs="Arial"/>
          <w:lang w:eastAsia="en-US"/>
        </w:rPr>
      </w:pPr>
      <w:r w:rsidRPr="00A17926">
        <w:rPr>
          <w:rFonts w:eastAsia="Calibri" w:cs="Arial"/>
          <w:lang w:eastAsia="en-US"/>
        </w:rPr>
        <w:t>Capital – I/F ER Replacement</w:t>
      </w:r>
    </w:p>
    <w:p w14:paraId="2DBD0A01" w14:textId="77777777" w:rsidR="00A17926" w:rsidRPr="00A17926" w:rsidRDefault="00A17926" w:rsidP="0074730B">
      <w:pPr>
        <w:numPr>
          <w:ilvl w:val="1"/>
          <w:numId w:val="48"/>
        </w:numPr>
        <w:spacing w:after="120" w:line="240" w:lineRule="auto"/>
        <w:jc w:val="left"/>
        <w:rPr>
          <w:rFonts w:eastAsia="Calibri" w:cs="Arial"/>
          <w:lang w:eastAsia="en-US"/>
        </w:rPr>
      </w:pPr>
      <w:r w:rsidRPr="00A17926">
        <w:rPr>
          <w:rFonts w:eastAsia="Calibri" w:cs="Arial"/>
          <w:lang w:eastAsia="en-US"/>
        </w:rPr>
        <w:t>Department costs averaged $450,000 per year from FY 2011-2015 split almost equally between the fire and ambulance budgets, jumping in FY 2016 to $540,000.</w:t>
      </w:r>
    </w:p>
    <w:p w14:paraId="483598C3" w14:textId="77777777" w:rsidR="00A17926" w:rsidRPr="00A17926" w:rsidRDefault="00A17926" w:rsidP="0074730B">
      <w:pPr>
        <w:numPr>
          <w:ilvl w:val="1"/>
          <w:numId w:val="48"/>
        </w:numPr>
        <w:spacing w:after="120" w:line="240" w:lineRule="auto"/>
        <w:jc w:val="left"/>
        <w:rPr>
          <w:rFonts w:eastAsia="Calibri" w:cs="Arial"/>
          <w:lang w:eastAsia="en-US"/>
        </w:rPr>
      </w:pPr>
      <w:r w:rsidRPr="00A17926">
        <w:rPr>
          <w:rFonts w:eastAsia="Calibri" w:cs="Arial"/>
          <w:lang w:eastAsia="en-US"/>
        </w:rPr>
        <w:t>This line item has grown an average of 5.1 percent annually in the fire budget and 5.6 percent annually in the ambulance budget.</w:t>
      </w:r>
    </w:p>
    <w:p w14:paraId="4B3246DB" w14:textId="54BA273A" w:rsidR="00A17926" w:rsidRPr="00A17926" w:rsidRDefault="00A17926" w:rsidP="0074730B">
      <w:pPr>
        <w:numPr>
          <w:ilvl w:val="1"/>
          <w:numId w:val="48"/>
        </w:numPr>
        <w:spacing w:after="120" w:line="240" w:lineRule="auto"/>
        <w:jc w:val="left"/>
        <w:rPr>
          <w:rFonts w:eastAsia="Calibri" w:cs="Arial"/>
          <w:lang w:eastAsia="en-US"/>
        </w:rPr>
      </w:pPr>
      <w:r w:rsidRPr="00A17926">
        <w:rPr>
          <w:rFonts w:eastAsia="Calibri" w:cs="Arial"/>
          <w:lang w:eastAsia="en-US"/>
        </w:rPr>
        <w:t>ESCI</w:t>
      </w:r>
      <w:r w:rsidR="0074730B">
        <w:rPr>
          <w:rFonts w:eastAsia="Calibri" w:cs="Arial"/>
          <w:lang w:eastAsia="en-US"/>
        </w:rPr>
        <w:t>’s</w:t>
      </w:r>
      <w:r w:rsidRPr="00A17926">
        <w:rPr>
          <w:rFonts w:eastAsia="Calibri" w:cs="Arial"/>
          <w:lang w:eastAsia="en-US"/>
        </w:rPr>
        <w:t xml:space="preserve"> experience is that capital apparatus increase</w:t>
      </w:r>
      <w:r w:rsidR="008C5B75">
        <w:rPr>
          <w:rFonts w:eastAsia="Calibri" w:cs="Arial"/>
          <w:lang w:eastAsia="en-US"/>
        </w:rPr>
        <w:t>s</w:t>
      </w:r>
      <w:r w:rsidRPr="00A17926">
        <w:rPr>
          <w:rFonts w:eastAsia="Calibri" w:cs="Arial"/>
          <w:lang w:eastAsia="en-US"/>
        </w:rPr>
        <w:t xml:space="preserve"> in cost by approximately 3 percent annually.</w:t>
      </w:r>
    </w:p>
    <w:p w14:paraId="62D52D7A" w14:textId="77777777" w:rsidR="00A17926" w:rsidRPr="00A17926" w:rsidRDefault="00A17926" w:rsidP="0074730B">
      <w:pPr>
        <w:numPr>
          <w:ilvl w:val="1"/>
          <w:numId w:val="48"/>
        </w:numPr>
        <w:spacing w:after="240" w:line="240" w:lineRule="auto"/>
        <w:jc w:val="left"/>
        <w:rPr>
          <w:rFonts w:eastAsia="Calibri" w:cs="Arial"/>
          <w:lang w:eastAsia="en-US"/>
        </w:rPr>
      </w:pPr>
      <w:r w:rsidRPr="00A17926">
        <w:rPr>
          <w:rFonts w:eastAsia="Calibri" w:cs="Arial"/>
          <w:lang w:eastAsia="en-US"/>
        </w:rPr>
        <w:t>Forecast assumes FY 2015 as base year with capital apparatus costs escalating 5 percent for growth and 3 percent for inflation annually for a total annual increase of 8 percent.</w:t>
      </w:r>
    </w:p>
    <w:p w14:paraId="273E8D12" w14:textId="77777777" w:rsidR="00A17926" w:rsidRPr="00A17926" w:rsidRDefault="00A17926" w:rsidP="007705AA">
      <w:pPr>
        <w:numPr>
          <w:ilvl w:val="0"/>
          <w:numId w:val="48"/>
        </w:numPr>
        <w:spacing w:after="200"/>
        <w:contextualSpacing/>
        <w:jc w:val="left"/>
        <w:rPr>
          <w:rFonts w:eastAsia="Calibri" w:cs="Arial"/>
          <w:lang w:eastAsia="en-US"/>
        </w:rPr>
      </w:pPr>
      <w:r w:rsidRPr="00A17926">
        <w:rPr>
          <w:rFonts w:eastAsia="Calibri" w:cs="Arial"/>
          <w:lang w:eastAsia="en-US"/>
        </w:rPr>
        <w:t>Capital - Other</w:t>
      </w:r>
    </w:p>
    <w:p w14:paraId="25B6A6A9" w14:textId="77777777" w:rsidR="00A17926" w:rsidRPr="00A17926" w:rsidRDefault="00A17926" w:rsidP="0074730B">
      <w:pPr>
        <w:numPr>
          <w:ilvl w:val="1"/>
          <w:numId w:val="48"/>
        </w:numPr>
        <w:spacing w:after="120" w:line="240" w:lineRule="auto"/>
        <w:jc w:val="left"/>
        <w:rPr>
          <w:rFonts w:eastAsia="Calibri" w:cs="Arial"/>
          <w:lang w:eastAsia="en-US"/>
        </w:rPr>
      </w:pPr>
      <w:r w:rsidRPr="00A17926">
        <w:rPr>
          <w:rFonts w:eastAsia="Calibri" w:cs="Arial"/>
          <w:lang w:eastAsia="en-US"/>
        </w:rPr>
        <w:t>Other capital costs in both the fire and ambulance budgets show no trends with sporadic expenditures.</w:t>
      </w:r>
    </w:p>
    <w:p w14:paraId="6B2460EE" w14:textId="011A32CE" w:rsidR="00A17926" w:rsidRPr="00A17926" w:rsidRDefault="00A17926" w:rsidP="0074730B">
      <w:pPr>
        <w:numPr>
          <w:ilvl w:val="1"/>
          <w:numId w:val="48"/>
        </w:numPr>
        <w:spacing w:after="240" w:line="240" w:lineRule="auto"/>
        <w:jc w:val="left"/>
        <w:rPr>
          <w:rFonts w:eastAsia="Calibri" w:cs="Arial"/>
          <w:lang w:eastAsia="en-US"/>
        </w:rPr>
      </w:pPr>
      <w:r w:rsidRPr="00A17926">
        <w:rPr>
          <w:rFonts w:eastAsia="Calibri" w:cs="Arial"/>
          <w:lang w:eastAsia="en-US"/>
        </w:rPr>
        <w:t xml:space="preserve">Forecast assumes a base case of an average of the prior six years </w:t>
      </w:r>
      <w:r w:rsidR="008C5B75">
        <w:rPr>
          <w:rFonts w:eastAsia="Calibri" w:cs="Arial"/>
          <w:lang w:eastAsia="en-US"/>
        </w:rPr>
        <w:t xml:space="preserve">of </w:t>
      </w:r>
      <w:r w:rsidRPr="00A17926">
        <w:rPr>
          <w:rFonts w:eastAsia="Calibri" w:cs="Arial"/>
          <w:lang w:eastAsia="en-US"/>
        </w:rPr>
        <w:t>expenditures with an annual increase at the assumed rate of inflation (2 percent).</w:t>
      </w:r>
    </w:p>
    <w:p w14:paraId="6DA78BDC" w14:textId="77777777" w:rsidR="00A17926" w:rsidRPr="00A17926" w:rsidRDefault="00A17926" w:rsidP="007705AA">
      <w:pPr>
        <w:numPr>
          <w:ilvl w:val="0"/>
          <w:numId w:val="48"/>
        </w:numPr>
        <w:spacing w:after="200"/>
        <w:contextualSpacing/>
        <w:jc w:val="left"/>
        <w:rPr>
          <w:rFonts w:eastAsia="Calibri" w:cs="Arial"/>
          <w:lang w:eastAsia="en-US"/>
        </w:rPr>
      </w:pPr>
      <w:r w:rsidRPr="00A17926">
        <w:rPr>
          <w:rFonts w:eastAsia="Calibri" w:cs="Arial"/>
          <w:lang w:eastAsia="en-US"/>
        </w:rPr>
        <w:t>Debt Service</w:t>
      </w:r>
    </w:p>
    <w:p w14:paraId="4FAD6B6F" w14:textId="77777777" w:rsidR="00A17926" w:rsidRPr="00A17926" w:rsidRDefault="00A17926" w:rsidP="0074730B">
      <w:pPr>
        <w:numPr>
          <w:ilvl w:val="1"/>
          <w:numId w:val="48"/>
        </w:numPr>
        <w:spacing w:after="240" w:line="240" w:lineRule="auto"/>
        <w:jc w:val="left"/>
        <w:rPr>
          <w:rFonts w:eastAsia="Calibri" w:cs="Arial"/>
          <w:lang w:eastAsia="en-US"/>
        </w:rPr>
      </w:pPr>
      <w:r w:rsidRPr="00A17926">
        <w:rPr>
          <w:rFonts w:eastAsia="Calibri" w:cs="Arial"/>
          <w:lang w:eastAsia="en-US"/>
        </w:rPr>
        <w:t xml:space="preserve">No debt is contemplated during the forecast period. </w:t>
      </w:r>
    </w:p>
    <w:p w14:paraId="4AFF6C8C" w14:textId="77777777" w:rsidR="00A17926" w:rsidRPr="00A17926" w:rsidRDefault="00A17926" w:rsidP="00A17926">
      <w:pPr>
        <w:pStyle w:val="Heading3"/>
        <w:rPr>
          <w:rFonts w:eastAsia="Times New Roman"/>
          <w:lang w:eastAsia="en-US"/>
        </w:rPr>
      </w:pPr>
      <w:bookmarkStart w:id="362" w:name="_Toc464323640"/>
      <w:r w:rsidRPr="00A17926">
        <w:rPr>
          <w:rFonts w:eastAsia="Times New Roman"/>
          <w:lang w:eastAsia="en-US"/>
        </w:rPr>
        <w:t>Financial Forecast Results</w:t>
      </w:r>
      <w:bookmarkEnd w:id="362"/>
    </w:p>
    <w:p w14:paraId="43F40DED" w14:textId="77777777" w:rsidR="00A17926" w:rsidRPr="00A17926" w:rsidRDefault="00A17926" w:rsidP="00A17926">
      <w:pPr>
        <w:keepNext/>
        <w:keepLines/>
        <w:spacing w:before="200" w:after="120"/>
        <w:contextualSpacing/>
        <w:outlineLvl w:val="3"/>
        <w:rPr>
          <w:rFonts w:eastAsia="Times New Roman" w:cs="Times New Roman"/>
          <w:b/>
          <w:bCs/>
          <w:iCs/>
          <w:color w:val="808080"/>
        </w:rPr>
      </w:pPr>
      <w:r w:rsidRPr="00A17926">
        <w:rPr>
          <w:rFonts w:eastAsia="Times New Roman" w:cs="Times New Roman"/>
          <w:b/>
          <w:bCs/>
          <w:i/>
          <w:iCs/>
          <w:color w:val="808080"/>
        </w:rPr>
        <w:t>Service Level Remains Status Quo – Scenario A (Ambulance and Fire Budgets)</w:t>
      </w:r>
    </w:p>
    <w:p w14:paraId="04C7197D" w14:textId="5F15EC51" w:rsidR="00A17926" w:rsidRPr="00A17926" w:rsidRDefault="00A17926" w:rsidP="00A17926">
      <w:pPr>
        <w:spacing w:after="200"/>
        <w:rPr>
          <w:rFonts w:eastAsia="Calibri" w:cs="Times New Roman"/>
          <w:lang w:eastAsia="en-US"/>
        </w:rPr>
      </w:pPr>
      <w:r w:rsidRPr="00A17926">
        <w:rPr>
          <w:rFonts w:eastAsia="Calibri" w:cs="Times New Roman"/>
          <w:lang w:eastAsia="en-US"/>
        </w:rPr>
        <w:t xml:space="preserve">As mentioned above at the beginning of this section, three status quo scenarios are offered for the Ambulance Utility Fund using the same expenditure assumptions for all three but varying the Ambulance Utility Fee and General Fund subsidy (I/F Transfer In).  The fire budget is part of the City General Fund budget and the forecast does not change with the three scenarios in the ambulance fund.  Thus, the status quo forecast for the fire budget as shown in </w:t>
      </w:r>
      <w:r w:rsidRPr="0074730B">
        <w:rPr>
          <w:rFonts w:eastAsia="Calibri" w:cs="Times New Roman"/>
          <w:lang w:eastAsia="en-US"/>
        </w:rPr>
        <w:fldChar w:fldCharType="begin"/>
      </w:r>
      <w:r w:rsidRPr="0074730B">
        <w:rPr>
          <w:rFonts w:eastAsia="Calibri" w:cs="Times New Roman"/>
          <w:lang w:eastAsia="en-US"/>
        </w:rPr>
        <w:instrText xml:space="preserve"> REF _Ref456014901 \h </w:instrText>
      </w:r>
      <w:r w:rsidR="0074730B" w:rsidRPr="0074730B">
        <w:rPr>
          <w:rFonts w:eastAsia="Calibri" w:cs="Times New Roman"/>
          <w:lang w:eastAsia="en-US"/>
        </w:rPr>
        <w:instrText xml:space="preserve"> \* MERGEFORMAT </w:instrText>
      </w:r>
      <w:r w:rsidRPr="0074730B">
        <w:rPr>
          <w:rFonts w:eastAsia="Calibri" w:cs="Times New Roman"/>
          <w:lang w:eastAsia="en-US"/>
        </w:rPr>
      </w:r>
      <w:r w:rsidRPr="0074730B">
        <w:rPr>
          <w:rFonts w:eastAsia="Calibri" w:cs="Times New Roman"/>
          <w:lang w:eastAsia="en-US"/>
        </w:rPr>
        <w:fldChar w:fldCharType="separate"/>
      </w:r>
      <w:r w:rsidR="008209A2" w:rsidRPr="008209A2">
        <w:rPr>
          <w:rFonts w:eastAsia="Calibri" w:cs="Times New Roman"/>
          <w:iCs/>
          <w:lang w:eastAsia="en-US"/>
        </w:rPr>
        <w:t xml:space="preserve">Figure </w:t>
      </w:r>
      <w:r w:rsidR="008209A2" w:rsidRPr="008209A2">
        <w:rPr>
          <w:rFonts w:eastAsia="Calibri" w:cs="Times New Roman"/>
          <w:iCs/>
          <w:noProof/>
          <w:lang w:eastAsia="en-US"/>
        </w:rPr>
        <w:t>99</w:t>
      </w:r>
      <w:r w:rsidRPr="0074730B">
        <w:rPr>
          <w:rFonts w:eastAsia="Calibri" w:cs="Times New Roman"/>
          <w:lang w:eastAsia="en-US"/>
        </w:rPr>
        <w:fldChar w:fldCharType="end"/>
      </w:r>
      <w:r w:rsidRPr="0074730B">
        <w:rPr>
          <w:rFonts w:eastAsia="Calibri" w:cs="Times New Roman"/>
          <w:lang w:eastAsia="en-US"/>
        </w:rPr>
        <w:t xml:space="preserve"> </w:t>
      </w:r>
      <w:r w:rsidRPr="00A17926">
        <w:rPr>
          <w:rFonts w:eastAsia="Calibri" w:cs="Times New Roman"/>
          <w:lang w:eastAsia="en-US"/>
        </w:rPr>
        <w:t xml:space="preserve">will only </w:t>
      </w:r>
      <w:proofErr w:type="gramStart"/>
      <w:r w:rsidRPr="00A17926">
        <w:rPr>
          <w:rFonts w:eastAsia="Calibri" w:cs="Times New Roman"/>
          <w:lang w:eastAsia="en-US"/>
        </w:rPr>
        <w:t>be presented</w:t>
      </w:r>
      <w:proofErr w:type="gramEnd"/>
      <w:r w:rsidRPr="00A17926">
        <w:rPr>
          <w:rFonts w:eastAsia="Calibri" w:cs="Times New Roman"/>
          <w:lang w:eastAsia="en-US"/>
        </w:rPr>
        <w:t xml:space="preserve"> once and will be discussed first.</w:t>
      </w:r>
    </w:p>
    <w:p w14:paraId="65298276" w14:textId="3A8B1F06" w:rsidR="00A17926" w:rsidRDefault="00A17926" w:rsidP="0074730B">
      <w:pPr>
        <w:pStyle w:val="Caption"/>
      </w:pPr>
      <w:bookmarkStart w:id="363" w:name="_Ref456014901"/>
      <w:bookmarkStart w:id="364" w:name="_Toc464323741"/>
      <w:r w:rsidRPr="00A17926">
        <w:t xml:space="preserve">Figure </w:t>
      </w:r>
      <w:r w:rsidR="00432AD4">
        <w:fldChar w:fldCharType="begin"/>
      </w:r>
      <w:r w:rsidR="00432AD4">
        <w:instrText xml:space="preserve"> SEQ Figure \* ARABIC </w:instrText>
      </w:r>
      <w:r w:rsidR="00432AD4">
        <w:fldChar w:fldCharType="separate"/>
      </w:r>
      <w:r w:rsidR="008209A2">
        <w:rPr>
          <w:noProof/>
        </w:rPr>
        <w:t>99</w:t>
      </w:r>
      <w:r w:rsidR="00432AD4">
        <w:rPr>
          <w:noProof/>
        </w:rPr>
        <w:fldChar w:fldCharType="end"/>
      </w:r>
      <w:bookmarkEnd w:id="363"/>
      <w:r w:rsidRPr="00A17926">
        <w:t>: Status Quo Forecast (Graphical) – Fire Budget</w:t>
      </w:r>
      <w:bookmarkEnd w:id="364"/>
    </w:p>
    <w:p w14:paraId="50C4C7E7" w14:textId="11426B6B" w:rsidR="008C5B75" w:rsidRPr="007857F7" w:rsidRDefault="008C5B75" w:rsidP="007857F7">
      <w:pPr>
        <w:jc w:val="center"/>
        <w:rPr>
          <w:lang w:eastAsia="en-US"/>
        </w:rPr>
      </w:pPr>
      <w:r>
        <w:rPr>
          <w:noProof/>
          <w:lang w:eastAsia="en-US"/>
        </w:rPr>
        <w:drawing>
          <wp:inline distT="0" distB="0" distL="0" distR="0" wp14:anchorId="3C1FAFE1" wp14:editId="26AB1392">
            <wp:extent cx="5438775" cy="3105150"/>
            <wp:effectExtent l="0" t="0" r="9525" b="19050"/>
            <wp:docPr id="101" name="Chart 10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14:paraId="4FF4E1FF" w14:textId="77777777" w:rsidR="00F75EFD" w:rsidRPr="00A17926" w:rsidRDefault="00F75EFD" w:rsidP="00F75EFD">
      <w:pPr>
        <w:spacing w:after="200"/>
        <w:rPr>
          <w:rFonts w:eastAsia="Calibri" w:cs="Arial"/>
          <w:color w:val="000000"/>
        </w:rPr>
      </w:pPr>
      <w:r w:rsidRPr="00A17926">
        <w:rPr>
          <w:rFonts w:eastAsia="Calibri" w:cs="Arial"/>
          <w:color w:val="000000"/>
        </w:rPr>
        <w:t>Utilizing the assumptions presented above, recurring fire-specific revenues are expected to increase from $729,000 in FY 2016 to $</w:t>
      </w:r>
      <w:r>
        <w:rPr>
          <w:rFonts w:eastAsia="Calibri" w:cs="Arial"/>
          <w:color w:val="000000"/>
        </w:rPr>
        <w:t>918,956</w:t>
      </w:r>
      <w:r w:rsidRPr="00A17926">
        <w:rPr>
          <w:rFonts w:eastAsia="Calibri" w:cs="Arial"/>
          <w:color w:val="000000"/>
        </w:rPr>
        <w:t xml:space="preserve"> in FY 2022 at an average annual rate of </w:t>
      </w:r>
      <w:r>
        <w:rPr>
          <w:rFonts w:eastAsia="Calibri" w:cs="Arial"/>
          <w:color w:val="000000"/>
        </w:rPr>
        <w:t>3.48</w:t>
      </w:r>
      <w:r w:rsidRPr="00A17926">
        <w:rPr>
          <w:rFonts w:eastAsia="Calibri" w:cs="Arial"/>
          <w:color w:val="000000"/>
        </w:rPr>
        <w:t xml:space="preserve"> percent for the forecast period.  Recurring expenditures are expected to increase from $5,602,747 in FY 2016 to </w:t>
      </w:r>
      <w:r>
        <w:rPr>
          <w:rFonts w:eastAsia="Calibri" w:cs="Arial"/>
          <w:color w:val="000000"/>
        </w:rPr>
        <w:t>$8,260,887</w:t>
      </w:r>
      <w:r w:rsidRPr="00A17926">
        <w:rPr>
          <w:rFonts w:eastAsia="Calibri" w:cs="Arial"/>
          <w:color w:val="000000"/>
        </w:rPr>
        <w:t xml:space="preserve"> in FY 2022 at an average annual rate of </w:t>
      </w:r>
      <w:r>
        <w:rPr>
          <w:rFonts w:eastAsia="Calibri" w:cs="Arial"/>
          <w:color w:val="000000"/>
        </w:rPr>
        <w:t>6.64</w:t>
      </w:r>
      <w:r w:rsidRPr="00A17926">
        <w:rPr>
          <w:rFonts w:eastAsia="Calibri" w:cs="Arial"/>
          <w:color w:val="000000"/>
        </w:rPr>
        <w:t xml:space="preserve"> percent for the forecast period.  As shown in the above figure, recurring expense exceeds recurring revenue resulting in an annual operating deficit (green bars) which is made up with other, unrestricted General Fund revenues such as property and sales tax.  Because the recurring expenses are expected to increase at a higher rate than the recurring fire-specific revenues, the annual operating deficit funded by other unrestricted GF revenues grows each year.</w:t>
      </w:r>
    </w:p>
    <w:p w14:paraId="008EDD37" w14:textId="77777777" w:rsidR="00F75EFD" w:rsidRPr="00A17926" w:rsidRDefault="00F75EFD" w:rsidP="00F75EFD">
      <w:pPr>
        <w:spacing w:after="200"/>
        <w:rPr>
          <w:rFonts w:eastAsia="Calibri" w:cs="Arial"/>
          <w:color w:val="000000"/>
        </w:rPr>
      </w:pPr>
      <w:r w:rsidRPr="00A17926">
        <w:rPr>
          <w:rFonts w:eastAsia="Calibri" w:cs="Arial"/>
        </w:rPr>
        <w:t xml:space="preserve">In Status Quo – Scenario A, the Ambulance Utility Fee is only allowed to increase at the same annual rate </w:t>
      </w:r>
      <w:r>
        <w:rPr>
          <w:rFonts w:eastAsia="Calibri" w:cs="Arial"/>
        </w:rPr>
        <w:t>as forecast in the city utility study</w:t>
      </w:r>
      <w:r w:rsidRPr="00A17926">
        <w:rPr>
          <w:rFonts w:eastAsia="Calibri" w:cs="Arial"/>
        </w:rPr>
        <w:t xml:space="preserve">.  Therefore, the fee only grows at </w:t>
      </w:r>
      <w:r>
        <w:rPr>
          <w:rFonts w:eastAsia="Calibri" w:cs="Arial"/>
        </w:rPr>
        <w:t>1.0</w:t>
      </w:r>
      <w:r w:rsidRPr="00A17926">
        <w:rPr>
          <w:rFonts w:eastAsia="Calibri" w:cs="Arial"/>
        </w:rPr>
        <w:t xml:space="preserve"> percent each year.  The General Fund subsidy or I/F Transfer in to the Ambulance Fund is kept at its present level of $420,000 per year under this scenario.  </w:t>
      </w:r>
    </w:p>
    <w:p w14:paraId="23395403" w14:textId="77777777" w:rsidR="00A17926" w:rsidRPr="00A17926" w:rsidRDefault="00A17926" w:rsidP="00A17926">
      <w:pPr>
        <w:spacing w:after="120"/>
        <w:rPr>
          <w:rFonts w:eastAsia="Calibri" w:cs="Arial"/>
        </w:rPr>
      </w:pPr>
      <w:r w:rsidRPr="00A17926">
        <w:rPr>
          <w:rFonts w:eastAsia="Calibri" w:cs="Arial"/>
        </w:rPr>
        <w:t>The following figure shows how the various components of the recurring expenditure and revenue budgets increase during the forecast period given the assumptions previously detailed.</w:t>
      </w:r>
    </w:p>
    <w:p w14:paraId="6958CAEF" w14:textId="77777777" w:rsidR="00A17926" w:rsidRPr="00A17926" w:rsidRDefault="00A17926" w:rsidP="00A17926">
      <w:pPr>
        <w:spacing w:after="120"/>
        <w:rPr>
          <w:rFonts w:eastAsia="Calibri" w:cs="Arial"/>
        </w:rPr>
      </w:pPr>
    </w:p>
    <w:p w14:paraId="1C743008" w14:textId="0DFBDE64" w:rsidR="00A17926" w:rsidRDefault="00A17926" w:rsidP="0074730B">
      <w:pPr>
        <w:pStyle w:val="Caption"/>
        <w:rPr>
          <w:rFonts w:cs="Arial"/>
        </w:rPr>
      </w:pPr>
      <w:bookmarkStart w:id="365" w:name="_Toc464323742"/>
      <w:r w:rsidRPr="00A17926">
        <w:t xml:space="preserve">Figure </w:t>
      </w:r>
      <w:r w:rsidR="00432AD4">
        <w:fldChar w:fldCharType="begin"/>
      </w:r>
      <w:r w:rsidR="00432AD4">
        <w:instrText xml:space="preserve"> SEQ Figure \* ARABIC </w:instrText>
      </w:r>
      <w:r w:rsidR="00432AD4">
        <w:fldChar w:fldCharType="separate"/>
      </w:r>
      <w:r w:rsidR="008209A2">
        <w:rPr>
          <w:noProof/>
        </w:rPr>
        <w:t>100</w:t>
      </w:r>
      <w:r w:rsidR="00432AD4">
        <w:rPr>
          <w:noProof/>
        </w:rPr>
        <w:fldChar w:fldCharType="end"/>
      </w:r>
      <w:r w:rsidRPr="00A17926">
        <w:t>: Status Quo Forecast (Tabular) – Scenario A</w:t>
      </w:r>
      <w:bookmarkEnd w:id="365"/>
      <w:r w:rsidRPr="00A17926">
        <w:rPr>
          <w:rFonts w:cs="Arial"/>
        </w:rPr>
        <w:t xml:space="preserve"> </w:t>
      </w:r>
    </w:p>
    <w:p w14:paraId="4A391012" w14:textId="77777777" w:rsidR="007857F7" w:rsidRDefault="00F75EFD" w:rsidP="007857F7">
      <w:pPr>
        <w:rPr>
          <w:rFonts w:eastAsia="Calibri" w:cs="Arial"/>
        </w:rPr>
      </w:pPr>
      <w:r>
        <w:rPr>
          <w:noProof/>
          <w:lang w:eastAsia="en-US"/>
        </w:rPr>
        <w:drawing>
          <wp:inline distT="0" distB="0" distL="0" distR="0" wp14:anchorId="5CCD0A6A" wp14:editId="1F70FE32">
            <wp:extent cx="5943600" cy="4504055"/>
            <wp:effectExtent l="0" t="0" r="0" b="0"/>
            <wp:docPr id="10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943600" cy="4504055"/>
                    </a:xfrm>
                    <a:prstGeom prst="rect">
                      <a:avLst/>
                    </a:prstGeom>
                    <a:solidFill>
                      <a:sysClr val="window" lastClr="FFFFFF"/>
                    </a:solidFill>
                  </pic:spPr>
                </pic:pic>
              </a:graphicData>
            </a:graphic>
          </wp:inline>
        </w:drawing>
      </w:r>
    </w:p>
    <w:p w14:paraId="3D00578B" w14:textId="77777777" w:rsidR="008209A2" w:rsidRPr="008209A2" w:rsidRDefault="00F75EFD" w:rsidP="007857F7">
      <w:pPr>
        <w:rPr>
          <w:rFonts w:eastAsia="Calibri" w:cs="Times New Roman"/>
          <w:iCs/>
          <w:lang w:eastAsia="en-US"/>
        </w:rPr>
      </w:pPr>
      <w:r w:rsidRPr="009D225B">
        <w:rPr>
          <w:rFonts w:eastAsia="Calibri" w:cs="Arial"/>
        </w:rPr>
        <w:fldChar w:fldCharType="begin"/>
      </w:r>
      <w:r w:rsidRPr="009D225B">
        <w:rPr>
          <w:rFonts w:eastAsia="Calibri" w:cs="Arial"/>
        </w:rPr>
        <w:instrText xml:space="preserve"> REF _Ref456015014 \h  \* MERGEFORMAT </w:instrText>
      </w:r>
      <w:r w:rsidRPr="009D225B">
        <w:rPr>
          <w:rFonts w:eastAsia="Calibri" w:cs="Arial"/>
        </w:rPr>
      </w:r>
      <w:r w:rsidRPr="009D225B">
        <w:rPr>
          <w:rFonts w:eastAsia="Calibri" w:cs="Arial"/>
        </w:rPr>
        <w:fldChar w:fldCharType="separate"/>
      </w:r>
    </w:p>
    <w:p w14:paraId="6477923B" w14:textId="0133E1C0" w:rsidR="007857F7" w:rsidRPr="007857F7" w:rsidRDefault="008209A2" w:rsidP="007857F7">
      <w:pPr>
        <w:rPr>
          <w:lang w:eastAsia="en-US"/>
        </w:rPr>
      </w:pPr>
      <w:r w:rsidRPr="008209A2">
        <w:rPr>
          <w:rFonts w:eastAsia="Calibri" w:cs="Times New Roman"/>
          <w:iCs/>
          <w:lang w:eastAsia="en-US"/>
        </w:rPr>
        <w:t>Figure</w:t>
      </w:r>
      <w:r w:rsidRPr="008209A2">
        <w:rPr>
          <w:rFonts w:eastAsia="Calibri" w:cs="Times New Roman"/>
          <w:iCs/>
          <w:noProof/>
          <w:lang w:eastAsia="en-US"/>
        </w:rPr>
        <w:t xml:space="preserve"> </w:t>
      </w:r>
      <w:r>
        <w:rPr>
          <w:noProof/>
        </w:rPr>
        <w:t>101</w:t>
      </w:r>
      <w:r w:rsidR="00F75EFD" w:rsidRPr="009D225B">
        <w:rPr>
          <w:rFonts w:eastAsia="Calibri" w:cs="Arial"/>
        </w:rPr>
        <w:fldChar w:fldCharType="end"/>
      </w:r>
      <w:r w:rsidR="00F75EFD" w:rsidRPr="009D225B">
        <w:rPr>
          <w:rFonts w:eastAsia="Calibri" w:cs="Arial"/>
        </w:rPr>
        <w:t xml:space="preserve"> </w:t>
      </w:r>
      <w:r w:rsidR="00F75EFD" w:rsidRPr="00A17926">
        <w:rPr>
          <w:rFonts w:eastAsia="Calibri" w:cs="Arial"/>
        </w:rPr>
        <w:t>shows graphically what happens as this scenario unfolds.  Recurring operating expenses increase from $5,569,551 in FY 2016 to $</w:t>
      </w:r>
      <w:r w:rsidR="00F75EFD">
        <w:rPr>
          <w:rFonts w:eastAsia="Calibri" w:cs="Arial"/>
        </w:rPr>
        <w:t>10,703,267</w:t>
      </w:r>
      <w:r w:rsidR="00F75EFD" w:rsidRPr="00A17926">
        <w:rPr>
          <w:rFonts w:eastAsia="Calibri" w:cs="Arial"/>
        </w:rPr>
        <w:t xml:space="preserve"> in FY 2022 for an average annual increase of </w:t>
      </w:r>
      <w:r w:rsidR="00F75EFD">
        <w:rPr>
          <w:rFonts w:eastAsia="Calibri" w:cs="Arial"/>
        </w:rPr>
        <w:t>11.52</w:t>
      </w:r>
      <w:r w:rsidR="00F75EFD" w:rsidRPr="00A17926">
        <w:rPr>
          <w:rFonts w:eastAsia="Calibri" w:cs="Arial"/>
        </w:rPr>
        <w:t xml:space="preserve"> percent while recurring revenues increase from $4,993,669 to $</w:t>
      </w:r>
      <w:r w:rsidR="00F75EFD">
        <w:rPr>
          <w:rFonts w:eastAsia="Calibri" w:cs="Arial"/>
        </w:rPr>
        <w:t>5,803,636</w:t>
      </w:r>
      <w:r w:rsidR="00F75EFD" w:rsidRPr="00A17926">
        <w:rPr>
          <w:rFonts w:eastAsia="Calibri" w:cs="Arial"/>
        </w:rPr>
        <w:t xml:space="preserve"> for an average annual increase of only </w:t>
      </w:r>
      <w:r w:rsidR="00F75EFD">
        <w:rPr>
          <w:rFonts w:eastAsia="Calibri" w:cs="Arial"/>
        </w:rPr>
        <w:t>2.54</w:t>
      </w:r>
      <w:r w:rsidR="00F75EFD" w:rsidRPr="00A17926">
        <w:rPr>
          <w:rFonts w:eastAsia="Calibri" w:cs="Arial"/>
        </w:rPr>
        <w:t xml:space="preserve"> percent.  This difference leads to an annual operating deficit that grows from $575,882 in FY 2016 to </w:t>
      </w:r>
      <w:r w:rsidR="00F75EFD">
        <w:rPr>
          <w:rFonts w:eastAsia="Calibri" w:cs="Arial"/>
        </w:rPr>
        <w:t>8-1/2</w:t>
      </w:r>
      <w:r w:rsidR="00F75EFD" w:rsidRPr="00A17926">
        <w:rPr>
          <w:rFonts w:eastAsia="Calibri" w:cs="Arial"/>
        </w:rPr>
        <w:t xml:space="preserve"> times that amount by FY 2022 at $</w:t>
      </w:r>
      <w:r w:rsidR="00F75EFD">
        <w:rPr>
          <w:rFonts w:eastAsia="Calibri" w:cs="Arial"/>
        </w:rPr>
        <w:t>4,899,632</w:t>
      </w:r>
      <w:r w:rsidR="00F75EFD" w:rsidRPr="00A17926">
        <w:rPr>
          <w:rFonts w:eastAsia="Calibri" w:cs="Arial"/>
        </w:rPr>
        <w:t>.  This has a major negative effect on the beginning fund balance as shown in orange in the lower part of the figure.  In all likelihood, this scenario is financially untenable by FY 2018 without a major reduction in service level or increase in revenue, either recurring revenue or GF subsidy.</w:t>
      </w:r>
      <w:bookmarkStart w:id="366" w:name="_Ref456015014"/>
    </w:p>
    <w:p w14:paraId="5C6AC321" w14:textId="1A67384B" w:rsidR="00A17926" w:rsidRDefault="00A17926" w:rsidP="009D225B">
      <w:pPr>
        <w:pStyle w:val="Caption"/>
      </w:pPr>
      <w:bookmarkStart w:id="367" w:name="_Toc464323743"/>
      <w:r w:rsidRPr="00A17926">
        <w:t xml:space="preserve">Figure </w:t>
      </w:r>
      <w:r w:rsidR="00432AD4">
        <w:fldChar w:fldCharType="begin"/>
      </w:r>
      <w:r w:rsidR="00432AD4">
        <w:instrText xml:space="preserve"> SEQ Figure \* ARABIC </w:instrText>
      </w:r>
      <w:r w:rsidR="00432AD4">
        <w:fldChar w:fldCharType="separate"/>
      </w:r>
      <w:r w:rsidR="008209A2">
        <w:rPr>
          <w:noProof/>
        </w:rPr>
        <w:t>101</w:t>
      </w:r>
      <w:r w:rsidR="00432AD4">
        <w:rPr>
          <w:noProof/>
        </w:rPr>
        <w:fldChar w:fldCharType="end"/>
      </w:r>
      <w:bookmarkEnd w:id="366"/>
      <w:r w:rsidRPr="00A17926">
        <w:t>: Status Quo Forecast (Graphical) – Ambulance Budget Scenario A</w:t>
      </w:r>
      <w:bookmarkEnd w:id="367"/>
      <w:r w:rsidRPr="00A17926">
        <w:t xml:space="preserve"> </w:t>
      </w:r>
    </w:p>
    <w:p w14:paraId="1B0360A6" w14:textId="0805A882" w:rsidR="00F75EFD" w:rsidRPr="007857F7" w:rsidRDefault="00F75EFD" w:rsidP="007857F7">
      <w:pPr>
        <w:jc w:val="center"/>
        <w:rPr>
          <w:lang w:eastAsia="en-US"/>
        </w:rPr>
      </w:pPr>
      <w:r>
        <w:rPr>
          <w:noProof/>
          <w:lang w:eastAsia="en-US"/>
        </w:rPr>
        <w:drawing>
          <wp:inline distT="0" distB="0" distL="0" distR="0" wp14:anchorId="6D2E3F41" wp14:editId="223D8EFC">
            <wp:extent cx="5124450" cy="5495412"/>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124450" cy="5495412"/>
                    </a:xfrm>
                    <a:prstGeom prst="rect">
                      <a:avLst/>
                    </a:prstGeom>
                    <a:noFill/>
                    <a:ln>
                      <a:noFill/>
                    </a:ln>
                  </pic:spPr>
                </pic:pic>
              </a:graphicData>
            </a:graphic>
          </wp:inline>
        </w:drawing>
      </w:r>
    </w:p>
    <w:p w14:paraId="06CCB929" w14:textId="07E99958" w:rsidR="00A17926" w:rsidRPr="00A17926" w:rsidRDefault="00A17926" w:rsidP="00A17926">
      <w:pPr>
        <w:keepNext/>
        <w:keepLines/>
        <w:spacing w:before="60" w:after="100" w:line="240" w:lineRule="auto"/>
        <w:jc w:val="center"/>
        <w:rPr>
          <w:rFonts w:eastAsia="Calibri" w:cs="Arial"/>
          <w:b/>
          <w:color w:val="000000"/>
          <w:sz w:val="20"/>
          <w:szCs w:val="20"/>
        </w:rPr>
      </w:pPr>
      <w:r w:rsidRPr="00A17926">
        <w:rPr>
          <w:rFonts w:eastAsia="Calibri" w:cs="Arial"/>
          <w:b/>
          <w:color w:val="000000"/>
          <w:sz w:val="20"/>
          <w:szCs w:val="20"/>
        </w:rPr>
        <w:t xml:space="preserve"> </w:t>
      </w:r>
    </w:p>
    <w:p w14:paraId="76E80A25" w14:textId="77777777" w:rsidR="00A17926" w:rsidRPr="00A17926" w:rsidRDefault="00A17926" w:rsidP="00A17926">
      <w:pPr>
        <w:spacing w:after="120"/>
        <w:rPr>
          <w:rFonts w:eastAsia="Calibri" w:cs="Arial"/>
        </w:rPr>
      </w:pPr>
    </w:p>
    <w:p w14:paraId="3EDA2CBF" w14:textId="101084BB" w:rsidR="00A17926" w:rsidRPr="00A17926" w:rsidRDefault="00A17926" w:rsidP="00A17926">
      <w:pPr>
        <w:keepNext/>
        <w:keepLines/>
        <w:spacing w:before="200" w:after="120"/>
        <w:contextualSpacing/>
        <w:outlineLvl w:val="3"/>
        <w:rPr>
          <w:rFonts w:eastAsia="Times New Roman" w:cs="Times New Roman"/>
          <w:b/>
          <w:bCs/>
          <w:iCs/>
          <w:color w:val="808080"/>
        </w:rPr>
      </w:pPr>
      <w:r w:rsidRPr="00A17926">
        <w:rPr>
          <w:rFonts w:eastAsia="Times New Roman" w:cs="Times New Roman"/>
          <w:b/>
          <w:bCs/>
          <w:i/>
          <w:iCs/>
          <w:color w:val="808080"/>
        </w:rPr>
        <w:t>Service Level Remains Status Quo – Scenario B (Ambulance Budget)</w:t>
      </w:r>
    </w:p>
    <w:p w14:paraId="03B1675F" w14:textId="77777777" w:rsidR="00F75EFD" w:rsidRPr="00F75EFD" w:rsidRDefault="00F75EFD" w:rsidP="00F75EFD">
      <w:pPr>
        <w:spacing w:after="120"/>
        <w:rPr>
          <w:rFonts w:eastAsia="Calibri" w:cs="Arial"/>
        </w:rPr>
      </w:pPr>
      <w:r w:rsidRPr="00F75EFD">
        <w:rPr>
          <w:rFonts w:eastAsia="Calibri" w:cs="Arial"/>
        </w:rPr>
        <w:t>In Status Quo – Scenario B, the Ambulance Utility Fee is increased based upon the State’s Office of Financial Management projections for single-family and multi-family residential growth in Franklin County.  Based upon the ratio of single- and multi-family residential units and the projected growth rate for each, the fee grows at 2.74 percent each year.  The General Fund subsidy or I/F Transfer in to the Ambulance Fund is kept at its present level of $420,000 per year under this scenario.  The results of this revenue scenario are not materially different from Scenario A.</w:t>
      </w:r>
    </w:p>
    <w:p w14:paraId="47D7537F" w14:textId="77777777" w:rsidR="00F75EFD" w:rsidRPr="00F75EFD" w:rsidRDefault="00F75EFD" w:rsidP="00F75EFD">
      <w:pPr>
        <w:spacing w:after="120"/>
        <w:rPr>
          <w:rFonts w:eastAsia="Calibri" w:cs="Arial"/>
        </w:rPr>
      </w:pPr>
    </w:p>
    <w:p w14:paraId="2AAAFA84" w14:textId="202FF273" w:rsidR="00F75EFD" w:rsidRPr="00F75EFD" w:rsidRDefault="00F75EFD" w:rsidP="00F75EFD">
      <w:pPr>
        <w:spacing w:after="120"/>
        <w:rPr>
          <w:rFonts w:eastAsia="Calibri" w:cs="Arial"/>
        </w:rPr>
      </w:pPr>
      <w:r w:rsidRPr="00F75EFD">
        <w:rPr>
          <w:rFonts w:eastAsia="Calibri" w:cs="Arial"/>
        </w:rPr>
        <w:fldChar w:fldCharType="begin"/>
      </w:r>
      <w:r w:rsidRPr="00F75EFD">
        <w:rPr>
          <w:rFonts w:eastAsia="Calibri" w:cs="Arial"/>
        </w:rPr>
        <w:instrText xml:space="preserve"> REF _Ref456015053 \h  \* MERGEFORMAT </w:instrText>
      </w:r>
      <w:r w:rsidRPr="00F75EFD">
        <w:rPr>
          <w:rFonts w:eastAsia="Calibri" w:cs="Arial"/>
        </w:rPr>
      </w:r>
      <w:r w:rsidRPr="00F75EFD">
        <w:rPr>
          <w:rFonts w:eastAsia="Calibri" w:cs="Arial"/>
        </w:rPr>
        <w:fldChar w:fldCharType="separate"/>
      </w:r>
      <w:r w:rsidR="008209A2" w:rsidRPr="008209A2">
        <w:rPr>
          <w:rFonts w:eastAsia="Calibri" w:cs="Times New Roman"/>
          <w:iCs/>
          <w:lang w:eastAsia="en-US"/>
        </w:rPr>
        <w:t xml:space="preserve">Figure </w:t>
      </w:r>
      <w:r w:rsidR="008209A2" w:rsidRPr="008209A2">
        <w:rPr>
          <w:rFonts w:eastAsia="Calibri" w:cs="Times New Roman"/>
          <w:iCs/>
          <w:noProof/>
          <w:lang w:eastAsia="en-US"/>
        </w:rPr>
        <w:t>102</w:t>
      </w:r>
      <w:r w:rsidRPr="00F75EFD">
        <w:rPr>
          <w:rFonts w:eastAsia="Calibri" w:cs="Arial"/>
        </w:rPr>
        <w:fldChar w:fldCharType="end"/>
      </w:r>
      <w:r w:rsidRPr="00F75EFD">
        <w:rPr>
          <w:rFonts w:eastAsia="Calibri" w:cs="Arial"/>
        </w:rPr>
        <w:t xml:space="preserve"> shows graphically what happens as this scenario unfolds.  Recurring operating expenses increase from $5,569,551 in FY 2016 to $10,703,267 in FY 2022 for an average annual increase of 11.52 percent while recurring revenues increase from $4,993,669 to $6,200,707 for an average annual increase of 3.67 percent.  This difference leads to an annual operating deficit that rapidly grows from $575,882 in FY 2016 to $4,502,560.  This has almost the same major, negative effect on the beginning fund balance as shown in orange in the lower part of the figure.  </w:t>
      </w:r>
    </w:p>
    <w:p w14:paraId="25CAAF48" w14:textId="616D4EA6" w:rsidR="00A17926" w:rsidRDefault="00A17926" w:rsidP="009D225B">
      <w:pPr>
        <w:pStyle w:val="Caption"/>
      </w:pPr>
      <w:bookmarkStart w:id="368" w:name="_Ref456015053"/>
      <w:bookmarkStart w:id="369" w:name="_Toc464323744"/>
      <w:r w:rsidRPr="00A17926">
        <w:t xml:space="preserve">Figure </w:t>
      </w:r>
      <w:r w:rsidR="00432AD4">
        <w:fldChar w:fldCharType="begin"/>
      </w:r>
      <w:r w:rsidR="00432AD4">
        <w:instrText xml:space="preserve"> SEQ Figure \* ARABIC </w:instrText>
      </w:r>
      <w:r w:rsidR="00432AD4">
        <w:fldChar w:fldCharType="separate"/>
      </w:r>
      <w:r w:rsidR="008209A2">
        <w:rPr>
          <w:noProof/>
        </w:rPr>
        <w:t>102</w:t>
      </w:r>
      <w:r w:rsidR="00432AD4">
        <w:rPr>
          <w:noProof/>
        </w:rPr>
        <w:fldChar w:fldCharType="end"/>
      </w:r>
      <w:bookmarkEnd w:id="368"/>
      <w:r w:rsidRPr="00A17926">
        <w:t>: Status Quo Forecast (Graphical) – Ambulance Budget Scenario B</w:t>
      </w:r>
      <w:bookmarkEnd w:id="369"/>
    </w:p>
    <w:p w14:paraId="0EFC2CBD" w14:textId="2553A7C3" w:rsidR="00F75EFD" w:rsidRPr="007857F7" w:rsidRDefault="00F75EFD" w:rsidP="007857F7">
      <w:pPr>
        <w:jc w:val="center"/>
        <w:rPr>
          <w:lang w:eastAsia="en-US"/>
        </w:rPr>
      </w:pPr>
      <w:r>
        <w:rPr>
          <w:rFonts w:eastAsia="Calibri" w:cs="Times New Roman"/>
          <w:noProof/>
          <w:lang w:eastAsia="en-US"/>
        </w:rPr>
        <w:drawing>
          <wp:inline distT="0" distB="0" distL="0" distR="0" wp14:anchorId="017C87A4" wp14:editId="216C4638">
            <wp:extent cx="4839419" cy="518160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839419" cy="5181600"/>
                    </a:xfrm>
                    <a:prstGeom prst="rect">
                      <a:avLst/>
                    </a:prstGeom>
                    <a:noFill/>
                    <a:ln>
                      <a:noFill/>
                    </a:ln>
                  </pic:spPr>
                </pic:pic>
              </a:graphicData>
            </a:graphic>
          </wp:inline>
        </w:drawing>
      </w:r>
    </w:p>
    <w:p w14:paraId="6BB32D2D" w14:textId="0A913694" w:rsidR="00A17926" w:rsidRPr="00A17926" w:rsidRDefault="00A17926" w:rsidP="00A17926">
      <w:pPr>
        <w:spacing w:after="200"/>
        <w:jc w:val="center"/>
        <w:rPr>
          <w:rFonts w:eastAsia="Calibri" w:cs="Times New Roman"/>
          <w:lang w:eastAsia="en-US"/>
        </w:rPr>
      </w:pPr>
      <w:r w:rsidRPr="00A17926">
        <w:rPr>
          <w:rFonts w:eastAsia="Calibri" w:cs="Times New Roman"/>
          <w:noProof/>
          <w:lang w:eastAsia="en-US"/>
        </w:rPr>
        <w:t xml:space="preserve"> </w:t>
      </w:r>
    </w:p>
    <w:p w14:paraId="53D91740" w14:textId="77777777" w:rsidR="00A17926" w:rsidRPr="00A17926" w:rsidRDefault="00A17926" w:rsidP="00A17926">
      <w:pPr>
        <w:spacing w:after="200"/>
        <w:rPr>
          <w:rFonts w:eastAsia="Calibri" w:cs="Times New Roman"/>
          <w:lang w:eastAsia="en-US"/>
        </w:rPr>
      </w:pPr>
      <w:r w:rsidRPr="00A17926">
        <w:rPr>
          <w:rFonts w:eastAsia="Calibri" w:cs="Times New Roman"/>
          <w:lang w:eastAsia="en-US"/>
        </w:rPr>
        <w:t xml:space="preserve">The following figure shows the relationship between recurring revenue and expense, operating surplus/(deficit), the General Fund transfer in to the fund and the beginning and ending fund balances each year of the forecast period.  </w:t>
      </w:r>
    </w:p>
    <w:p w14:paraId="0BC75BE4" w14:textId="1B32CE0F" w:rsidR="00A17926" w:rsidRDefault="00A17926" w:rsidP="009D225B">
      <w:pPr>
        <w:pStyle w:val="Caption"/>
      </w:pPr>
      <w:bookmarkStart w:id="370" w:name="_Toc464323745"/>
      <w:r w:rsidRPr="00A17926">
        <w:t xml:space="preserve">Figure </w:t>
      </w:r>
      <w:r w:rsidR="00432AD4">
        <w:fldChar w:fldCharType="begin"/>
      </w:r>
      <w:r w:rsidR="00432AD4">
        <w:instrText xml:space="preserve"> SEQ Figure \* </w:instrText>
      </w:r>
      <w:r w:rsidR="00432AD4">
        <w:instrText xml:space="preserve">ARABIC </w:instrText>
      </w:r>
      <w:r w:rsidR="00432AD4">
        <w:fldChar w:fldCharType="separate"/>
      </w:r>
      <w:r w:rsidR="008209A2">
        <w:rPr>
          <w:noProof/>
        </w:rPr>
        <w:t>103</w:t>
      </w:r>
      <w:r w:rsidR="00432AD4">
        <w:rPr>
          <w:noProof/>
        </w:rPr>
        <w:fldChar w:fldCharType="end"/>
      </w:r>
      <w:r w:rsidRPr="00A17926">
        <w:t>: Status Quo Forecast (Tabular) – Ambulance Budget Scenario B</w:t>
      </w:r>
      <w:bookmarkEnd w:id="370"/>
    </w:p>
    <w:p w14:paraId="71726C67" w14:textId="4A774D9A" w:rsidR="00195804" w:rsidRPr="007857F7" w:rsidRDefault="00195804" w:rsidP="007857F7">
      <w:pPr>
        <w:jc w:val="center"/>
        <w:rPr>
          <w:lang w:eastAsia="en-US"/>
        </w:rPr>
      </w:pPr>
      <w:r w:rsidRPr="00397E91">
        <w:rPr>
          <w:noProof/>
          <w:lang w:eastAsia="en-US"/>
        </w:rPr>
        <w:drawing>
          <wp:inline distT="0" distB="0" distL="0" distR="0" wp14:anchorId="2D9FEB81" wp14:editId="6180711C">
            <wp:extent cx="5943600" cy="1203325"/>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43600" cy="1203325"/>
                    </a:xfrm>
                    <a:prstGeom prst="rect">
                      <a:avLst/>
                    </a:prstGeom>
                    <a:noFill/>
                    <a:ln>
                      <a:noFill/>
                    </a:ln>
                  </pic:spPr>
                </pic:pic>
              </a:graphicData>
            </a:graphic>
          </wp:inline>
        </w:drawing>
      </w:r>
    </w:p>
    <w:p w14:paraId="7A1D026E" w14:textId="5510A24F" w:rsidR="00A17926" w:rsidRPr="00A17926" w:rsidRDefault="00A17926" w:rsidP="00A17926">
      <w:pPr>
        <w:spacing w:after="0"/>
        <w:rPr>
          <w:rFonts w:eastAsia="Calibri" w:cs="Times New Roman"/>
          <w:lang w:eastAsia="en-US"/>
        </w:rPr>
      </w:pPr>
    </w:p>
    <w:p w14:paraId="00A8D6CE" w14:textId="77777777" w:rsidR="00195804" w:rsidRPr="00195804" w:rsidRDefault="00195804" w:rsidP="00195804">
      <w:pPr>
        <w:spacing w:after="200"/>
        <w:rPr>
          <w:rFonts w:eastAsia="Calibri" w:cs="Arial"/>
          <w:b/>
          <w:color w:val="000000"/>
          <w:sz w:val="20"/>
          <w:szCs w:val="20"/>
        </w:rPr>
      </w:pPr>
      <w:r w:rsidRPr="00195804">
        <w:rPr>
          <w:rFonts w:eastAsia="Calibri" w:cs="Times New Roman"/>
          <w:lang w:eastAsia="en-US"/>
        </w:rPr>
        <w:t>Again, this scenario is not materially different from Scenario A and clearly illustrates what happens as expenses rapidly outpace revenue.  While the department can control some of its operating expenses, the degree to which that can occur will not be enough to offset the ever increasing operating deficit.  Although the historical annual increase in the ambulance utility fee has been as high as 25 percent annually, such increases projected into the future would provide significantly more revenue than is needed to fund the department.  Therefore, a third scenario is provided to more closely align increases in the Ambulance Utility Fee with actual forecast expenses as well as minimizing the GF subsidy, should council choose to do so.</w:t>
      </w:r>
    </w:p>
    <w:p w14:paraId="1E801A49" w14:textId="68A138AC" w:rsidR="00A17926" w:rsidRPr="00A17926" w:rsidRDefault="00A17926" w:rsidP="00A17926">
      <w:pPr>
        <w:keepNext/>
        <w:keepLines/>
        <w:spacing w:before="200" w:after="120"/>
        <w:contextualSpacing/>
        <w:outlineLvl w:val="3"/>
        <w:rPr>
          <w:rFonts w:eastAsia="Times New Roman" w:cs="Times New Roman"/>
          <w:b/>
          <w:bCs/>
          <w:iCs/>
          <w:color w:val="808080"/>
        </w:rPr>
      </w:pPr>
      <w:r w:rsidRPr="00A17926">
        <w:rPr>
          <w:rFonts w:eastAsia="Times New Roman" w:cs="Times New Roman"/>
          <w:b/>
          <w:bCs/>
          <w:i/>
          <w:iCs/>
          <w:color w:val="808080"/>
        </w:rPr>
        <w:t>Service Level Remains Status Quo – Scenario C (Ambulance and Budget)</w:t>
      </w:r>
    </w:p>
    <w:p w14:paraId="337D274E" w14:textId="440C1E0D" w:rsidR="00A17926" w:rsidRPr="00A17926" w:rsidRDefault="00A17926" w:rsidP="00A17926">
      <w:pPr>
        <w:spacing w:after="200"/>
        <w:rPr>
          <w:rFonts w:eastAsia="Calibri" w:cs="Times New Roman"/>
          <w:lang w:eastAsia="en-US"/>
        </w:rPr>
      </w:pPr>
      <w:r w:rsidRPr="00A17926">
        <w:rPr>
          <w:rFonts w:eastAsia="Calibri" w:cs="Times New Roman"/>
          <w:lang w:eastAsia="en-US"/>
        </w:rPr>
        <w:t>A more realistic recurring revenue scenario is offered for consideration in Status Quo – Scenario C.  In this scenario, the forecast assumes that the fund must retain some level of fund balance carried forward that would sustain its recurring expenditure budget for the first several months until sufficient revenue is received to fund recurring expenses and replenish the fund balance.  An analysis of monthly cash flow would provide a more complete picture of what level of reserves would be needed.  This forecast scenario contemplates that the fund would fully support its expenditure</w:t>
      </w:r>
      <w:r w:rsidR="009D225B">
        <w:rPr>
          <w:rFonts w:eastAsia="Calibri" w:cs="Times New Roman"/>
          <w:lang w:eastAsia="en-US"/>
        </w:rPr>
        <w:t xml:space="preserve"> (and required reserve) budget </w:t>
      </w:r>
      <w:r w:rsidRPr="00A17926">
        <w:rPr>
          <w:rFonts w:eastAsia="Calibri" w:cs="Times New Roman"/>
          <w:lang w:eastAsia="en-US"/>
        </w:rPr>
        <w:t>by FY 20</w:t>
      </w:r>
      <w:r w:rsidR="00195804">
        <w:rPr>
          <w:rFonts w:eastAsia="Calibri" w:cs="Times New Roman"/>
          <w:lang w:eastAsia="en-US"/>
        </w:rPr>
        <w:t>19</w:t>
      </w:r>
      <w:r w:rsidRPr="00A17926">
        <w:rPr>
          <w:rFonts w:eastAsia="Calibri" w:cs="Times New Roman"/>
          <w:lang w:eastAsia="en-US"/>
        </w:rPr>
        <w:t xml:space="preserve"> when the GF subsidy is reduced </w:t>
      </w:r>
      <w:r w:rsidR="00195804">
        <w:rPr>
          <w:rFonts w:eastAsia="Calibri" w:cs="Times New Roman"/>
          <w:lang w:eastAsia="en-US"/>
        </w:rPr>
        <w:t>by half its current amount to $210,000</w:t>
      </w:r>
      <w:r w:rsidRPr="00A17926">
        <w:rPr>
          <w:rFonts w:eastAsia="Calibri" w:cs="Times New Roman"/>
          <w:lang w:eastAsia="en-US"/>
        </w:rPr>
        <w:t xml:space="preserve"> as shown in the table in the following figure.</w:t>
      </w:r>
    </w:p>
    <w:p w14:paraId="6359AB6F" w14:textId="72E04340" w:rsidR="00A17926" w:rsidRDefault="00A17926" w:rsidP="009D225B">
      <w:pPr>
        <w:pStyle w:val="Caption"/>
      </w:pPr>
      <w:bookmarkStart w:id="371" w:name="_Toc464323746"/>
      <w:r w:rsidRPr="00A17926">
        <w:t xml:space="preserve">Figure </w:t>
      </w:r>
      <w:r w:rsidR="00432AD4">
        <w:fldChar w:fldCharType="begin"/>
      </w:r>
      <w:r w:rsidR="00432AD4">
        <w:instrText xml:space="preserve"> SEQ Figure \* ARABIC </w:instrText>
      </w:r>
      <w:r w:rsidR="00432AD4">
        <w:fldChar w:fldCharType="separate"/>
      </w:r>
      <w:r w:rsidR="008209A2">
        <w:rPr>
          <w:noProof/>
        </w:rPr>
        <w:t>104</w:t>
      </w:r>
      <w:r w:rsidR="00432AD4">
        <w:rPr>
          <w:noProof/>
        </w:rPr>
        <w:fldChar w:fldCharType="end"/>
      </w:r>
      <w:r w:rsidRPr="00A17926">
        <w:t>: Status Quo Forecast (Tabular) – Ambulance Budget Scenario C</w:t>
      </w:r>
      <w:bookmarkEnd w:id="371"/>
    </w:p>
    <w:p w14:paraId="3A6031C9" w14:textId="583AC498" w:rsidR="00195804" w:rsidRPr="007857F7" w:rsidRDefault="00195804" w:rsidP="007857F7">
      <w:pPr>
        <w:jc w:val="center"/>
        <w:rPr>
          <w:lang w:eastAsia="en-US"/>
        </w:rPr>
      </w:pPr>
      <w:r>
        <w:rPr>
          <w:rFonts w:eastAsia="Calibri" w:cs="Times New Roman"/>
          <w:noProof/>
          <w:lang w:eastAsia="en-US"/>
        </w:rPr>
        <w:drawing>
          <wp:inline distT="0" distB="0" distL="0" distR="0" wp14:anchorId="1AE1347D" wp14:editId="76BB2921">
            <wp:extent cx="5943600" cy="1193800"/>
            <wp:effectExtent l="0" t="0" r="0" b="635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943600" cy="1193800"/>
                    </a:xfrm>
                    <a:prstGeom prst="rect">
                      <a:avLst/>
                    </a:prstGeom>
                    <a:noFill/>
                    <a:ln>
                      <a:noFill/>
                    </a:ln>
                  </pic:spPr>
                </pic:pic>
              </a:graphicData>
            </a:graphic>
          </wp:inline>
        </w:drawing>
      </w:r>
    </w:p>
    <w:p w14:paraId="5D0A1AF8" w14:textId="77777777" w:rsidR="00195804" w:rsidRPr="00195804" w:rsidRDefault="00195804" w:rsidP="007857F7">
      <w:pPr>
        <w:spacing w:before="360" w:after="0"/>
        <w:rPr>
          <w:rFonts w:eastAsia="Calibri" w:cs="Arial"/>
        </w:rPr>
      </w:pPr>
      <w:r w:rsidRPr="00195804">
        <w:rPr>
          <w:rFonts w:eastAsia="Calibri" w:cs="Arial"/>
        </w:rPr>
        <w:t>In this scenario, the Ambulance Utility Fee is increased in a manner that minimizes the difference, the operating surplus/(deficit), between the recurring expenses and revenues while also maintaining a level of fund balance between 15-20 percent of recurring expenses.  The Utility Fee has been increased in this scenario as follows: 20 percent in FY 2017, 15 percent in FY 2018-19, 12.5 percent in FY 2020, 20 percent in FY 2021 and 15 percent in FY 2022, while the GF subsidy has been gradually reduced from $420,000 in FY 2017 to zero in FY 2021.  The specific impact of these modeled increases on the monthly rate would cause the rate to increase from the current $12.65 per unit as follows:</w:t>
      </w:r>
    </w:p>
    <w:p w14:paraId="67B979D4" w14:textId="77777777" w:rsidR="00195804" w:rsidRPr="00195804" w:rsidRDefault="00195804" w:rsidP="00195804">
      <w:pPr>
        <w:spacing w:after="0"/>
        <w:rPr>
          <w:rFonts w:eastAsia="Calibri" w:cs="Arial"/>
        </w:rPr>
      </w:pPr>
    </w:p>
    <w:p w14:paraId="51839CC5" w14:textId="77777777" w:rsidR="00195804" w:rsidRPr="00195804" w:rsidRDefault="00195804" w:rsidP="00195804">
      <w:pPr>
        <w:numPr>
          <w:ilvl w:val="0"/>
          <w:numId w:val="61"/>
        </w:numPr>
        <w:adjustRightInd w:val="0"/>
        <w:spacing w:after="0"/>
        <w:contextualSpacing/>
        <w:rPr>
          <w:rFonts w:eastAsia="Calibri" w:cs="Arial"/>
        </w:rPr>
      </w:pPr>
      <w:r w:rsidRPr="00195804">
        <w:rPr>
          <w:rFonts w:eastAsia="Calibri" w:cs="Arial"/>
        </w:rPr>
        <w:t>FY 2017 – 20 percent increase to</w:t>
      </w:r>
      <w:r w:rsidRPr="00195804">
        <w:rPr>
          <w:rFonts w:eastAsia="Calibri" w:cs="Arial"/>
        </w:rPr>
        <w:tab/>
        <w:t>$15.18</w:t>
      </w:r>
    </w:p>
    <w:p w14:paraId="41221AD7" w14:textId="77777777" w:rsidR="00195804" w:rsidRPr="00195804" w:rsidRDefault="00195804" w:rsidP="00195804">
      <w:pPr>
        <w:numPr>
          <w:ilvl w:val="0"/>
          <w:numId w:val="61"/>
        </w:numPr>
        <w:adjustRightInd w:val="0"/>
        <w:spacing w:after="0"/>
        <w:contextualSpacing/>
        <w:rPr>
          <w:rFonts w:eastAsia="Calibri" w:cs="Arial"/>
        </w:rPr>
      </w:pPr>
      <w:r w:rsidRPr="00195804">
        <w:rPr>
          <w:rFonts w:eastAsia="Calibri" w:cs="Arial"/>
        </w:rPr>
        <w:t>FY 2018 – 15 percent increase to</w:t>
      </w:r>
      <w:r w:rsidRPr="00195804">
        <w:rPr>
          <w:rFonts w:eastAsia="Calibri" w:cs="Arial"/>
        </w:rPr>
        <w:tab/>
        <w:t>$17.46</w:t>
      </w:r>
    </w:p>
    <w:p w14:paraId="546C8BD0" w14:textId="77777777" w:rsidR="00195804" w:rsidRPr="00195804" w:rsidRDefault="00195804" w:rsidP="00195804">
      <w:pPr>
        <w:numPr>
          <w:ilvl w:val="0"/>
          <w:numId w:val="61"/>
        </w:numPr>
        <w:adjustRightInd w:val="0"/>
        <w:spacing w:after="0"/>
        <w:contextualSpacing/>
        <w:rPr>
          <w:rFonts w:eastAsia="Calibri" w:cs="Arial"/>
        </w:rPr>
      </w:pPr>
      <w:r w:rsidRPr="00195804">
        <w:rPr>
          <w:rFonts w:eastAsia="Calibri" w:cs="Arial"/>
        </w:rPr>
        <w:t>FY 2019 – 15 percent increase to</w:t>
      </w:r>
      <w:r w:rsidRPr="00195804">
        <w:rPr>
          <w:rFonts w:eastAsia="Calibri" w:cs="Arial"/>
        </w:rPr>
        <w:tab/>
        <w:t>$20.08</w:t>
      </w:r>
    </w:p>
    <w:p w14:paraId="633C7F01" w14:textId="77777777" w:rsidR="00195804" w:rsidRPr="00195804" w:rsidRDefault="00195804" w:rsidP="00195804">
      <w:pPr>
        <w:numPr>
          <w:ilvl w:val="0"/>
          <w:numId w:val="61"/>
        </w:numPr>
        <w:adjustRightInd w:val="0"/>
        <w:spacing w:after="0"/>
        <w:contextualSpacing/>
        <w:rPr>
          <w:rFonts w:eastAsia="Calibri" w:cs="Arial"/>
        </w:rPr>
      </w:pPr>
      <w:r w:rsidRPr="00195804">
        <w:rPr>
          <w:rFonts w:eastAsia="Calibri" w:cs="Arial"/>
        </w:rPr>
        <w:t>FY 2020- 12.5 percent increase to</w:t>
      </w:r>
      <w:r w:rsidRPr="00195804">
        <w:rPr>
          <w:rFonts w:eastAsia="Calibri" w:cs="Arial"/>
        </w:rPr>
        <w:tab/>
        <w:t>$22.58</w:t>
      </w:r>
    </w:p>
    <w:p w14:paraId="22E13E67" w14:textId="77777777" w:rsidR="00195804" w:rsidRPr="00195804" w:rsidRDefault="00195804" w:rsidP="00195804">
      <w:pPr>
        <w:numPr>
          <w:ilvl w:val="0"/>
          <w:numId w:val="61"/>
        </w:numPr>
        <w:adjustRightInd w:val="0"/>
        <w:spacing w:after="0"/>
        <w:contextualSpacing/>
        <w:rPr>
          <w:rFonts w:eastAsia="Calibri" w:cs="Arial"/>
        </w:rPr>
      </w:pPr>
      <w:r w:rsidRPr="00195804">
        <w:rPr>
          <w:rFonts w:eastAsia="Calibri" w:cs="Arial"/>
        </w:rPr>
        <w:t xml:space="preserve">FY 2021- 20 percent increase to </w:t>
      </w:r>
      <w:r w:rsidRPr="00195804">
        <w:rPr>
          <w:rFonts w:eastAsia="Calibri" w:cs="Arial"/>
        </w:rPr>
        <w:tab/>
        <w:t>$27.10</w:t>
      </w:r>
    </w:p>
    <w:p w14:paraId="3623C49E" w14:textId="77777777" w:rsidR="00195804" w:rsidRPr="00195804" w:rsidRDefault="00195804" w:rsidP="00195804">
      <w:pPr>
        <w:numPr>
          <w:ilvl w:val="0"/>
          <w:numId w:val="61"/>
        </w:numPr>
        <w:adjustRightInd w:val="0"/>
        <w:spacing w:after="0"/>
        <w:contextualSpacing/>
        <w:rPr>
          <w:rFonts w:eastAsia="Calibri" w:cs="Arial"/>
        </w:rPr>
      </w:pPr>
      <w:r w:rsidRPr="00195804">
        <w:rPr>
          <w:rFonts w:eastAsia="Calibri" w:cs="Arial"/>
        </w:rPr>
        <w:t>FY 2022 – 15 percent increase to</w:t>
      </w:r>
      <w:r w:rsidRPr="00195804">
        <w:rPr>
          <w:rFonts w:eastAsia="Calibri" w:cs="Arial"/>
        </w:rPr>
        <w:tab/>
        <w:t>$31.17</w:t>
      </w:r>
    </w:p>
    <w:p w14:paraId="1FCF3320" w14:textId="77777777" w:rsidR="00A17926" w:rsidRPr="00A17926" w:rsidRDefault="00A17926" w:rsidP="00A17926">
      <w:pPr>
        <w:spacing w:after="0"/>
        <w:rPr>
          <w:rFonts w:eastAsia="Calibri" w:cs="Arial"/>
        </w:rPr>
      </w:pPr>
    </w:p>
    <w:p w14:paraId="5A5BB0F8" w14:textId="4235FB68" w:rsidR="00195804" w:rsidRPr="00195804" w:rsidRDefault="00195804" w:rsidP="007857F7">
      <w:pPr>
        <w:rPr>
          <w:rFonts w:eastAsia="Calibri" w:cs="Arial"/>
        </w:rPr>
      </w:pPr>
      <w:r w:rsidRPr="00195804">
        <w:rPr>
          <w:rFonts w:eastAsia="Calibri" w:cs="Arial"/>
        </w:rPr>
        <w:fldChar w:fldCharType="begin"/>
      </w:r>
      <w:r w:rsidRPr="00195804">
        <w:rPr>
          <w:rFonts w:eastAsia="Calibri" w:cs="Arial"/>
        </w:rPr>
        <w:instrText xml:space="preserve"> REF _Ref456015129 \h  \* MERGEFORMAT </w:instrText>
      </w:r>
      <w:r w:rsidRPr="00195804">
        <w:rPr>
          <w:rFonts w:eastAsia="Calibri" w:cs="Arial"/>
        </w:rPr>
      </w:r>
      <w:r w:rsidRPr="00195804">
        <w:rPr>
          <w:rFonts w:eastAsia="Calibri" w:cs="Arial"/>
        </w:rPr>
        <w:fldChar w:fldCharType="separate"/>
      </w:r>
      <w:r w:rsidR="008209A2" w:rsidRPr="008209A2">
        <w:rPr>
          <w:rFonts w:eastAsia="Calibri" w:cs="Times New Roman"/>
          <w:iCs/>
          <w:lang w:eastAsia="en-US"/>
        </w:rPr>
        <w:t xml:space="preserve">Figure </w:t>
      </w:r>
      <w:r w:rsidR="008209A2" w:rsidRPr="008209A2">
        <w:rPr>
          <w:rFonts w:eastAsia="Calibri" w:cs="Times New Roman"/>
          <w:iCs/>
          <w:noProof/>
          <w:lang w:eastAsia="en-US"/>
        </w:rPr>
        <w:t>105</w:t>
      </w:r>
      <w:r w:rsidRPr="00195804">
        <w:rPr>
          <w:rFonts w:eastAsia="Calibri" w:cs="Arial"/>
        </w:rPr>
        <w:fldChar w:fldCharType="end"/>
      </w:r>
      <w:r w:rsidRPr="00195804">
        <w:rPr>
          <w:rFonts w:eastAsia="Calibri" w:cs="Arial"/>
        </w:rPr>
        <w:t xml:space="preserve"> shows graphically what happens as this scenario unfolds.  Recurring operating expenses track very closely with recurring revenues.  Expenses increase from $5,569,551 in FY 2016 to $10,703,267 in FY 2022 for an average annual increase of 11.52 percent while recurring revenues increase from $4,993,669 to $10,664,025 for an average annual increase of 13.5 percent.  </w:t>
      </w:r>
    </w:p>
    <w:p w14:paraId="51462B37" w14:textId="23770C1F" w:rsidR="00A17926" w:rsidRPr="009D225B" w:rsidRDefault="00195804" w:rsidP="009D225B">
      <w:pPr>
        <w:spacing w:after="240"/>
        <w:rPr>
          <w:rFonts w:eastAsia="Calibri" w:cs="Arial"/>
        </w:rPr>
      </w:pPr>
      <w:r w:rsidRPr="00A17926">
        <w:rPr>
          <w:rFonts w:eastAsia="Calibri" w:cs="Arial"/>
        </w:rPr>
        <w:t>This difference in recurring revenue and expense leads to annual operating deficits that fluctuate from a high of $575,882 in FY 2016</w:t>
      </w:r>
      <w:r>
        <w:rPr>
          <w:rFonts w:eastAsia="Calibri" w:cs="Arial"/>
        </w:rPr>
        <w:t>,</w:t>
      </w:r>
      <w:r w:rsidRPr="00A17926">
        <w:rPr>
          <w:rFonts w:eastAsia="Calibri" w:cs="Arial"/>
        </w:rPr>
        <w:t xml:space="preserve"> to a low of $</w:t>
      </w:r>
      <w:r>
        <w:rPr>
          <w:rFonts w:eastAsia="Calibri" w:cs="Arial"/>
        </w:rPr>
        <w:t>39,242</w:t>
      </w:r>
      <w:r w:rsidRPr="00A17926">
        <w:rPr>
          <w:rFonts w:eastAsia="Calibri" w:cs="Arial"/>
        </w:rPr>
        <w:t xml:space="preserve"> in FY 202</w:t>
      </w:r>
      <w:r>
        <w:rPr>
          <w:rFonts w:eastAsia="Calibri" w:cs="Arial"/>
        </w:rPr>
        <w:t>2,</w:t>
      </w:r>
      <w:r w:rsidRPr="00A17926">
        <w:rPr>
          <w:rFonts w:eastAsia="Calibri" w:cs="Arial"/>
        </w:rPr>
        <w:t xml:space="preserve"> while </w:t>
      </w:r>
      <w:r>
        <w:rPr>
          <w:rFonts w:eastAsia="Calibri" w:cs="Arial"/>
        </w:rPr>
        <w:t xml:space="preserve">there is actually a </w:t>
      </w:r>
      <w:r w:rsidRPr="00A17926">
        <w:rPr>
          <w:rFonts w:eastAsia="Calibri" w:cs="Arial"/>
        </w:rPr>
        <w:t>surplus</w:t>
      </w:r>
      <w:r>
        <w:rPr>
          <w:rFonts w:eastAsia="Calibri" w:cs="Arial"/>
        </w:rPr>
        <w:t xml:space="preserve"> </w:t>
      </w:r>
      <w:r w:rsidRPr="00A17926">
        <w:rPr>
          <w:rFonts w:eastAsia="Calibri" w:cs="Arial"/>
        </w:rPr>
        <w:t>in FY 202</w:t>
      </w:r>
      <w:r>
        <w:rPr>
          <w:rFonts w:eastAsia="Calibri" w:cs="Arial"/>
        </w:rPr>
        <w:t>1</w:t>
      </w:r>
      <w:r w:rsidRPr="00A17926">
        <w:rPr>
          <w:rFonts w:eastAsia="Calibri" w:cs="Arial"/>
        </w:rPr>
        <w:t xml:space="preserve">.  This fluctuation leads at an initial decrease in beginning fund balance as seen by the dashed orange line in the bottom of the figure from $857,991 in FY 2016 to a low of $702,109 in FY 2017 followed by a </w:t>
      </w:r>
      <w:r>
        <w:rPr>
          <w:rFonts w:eastAsia="Calibri" w:cs="Arial"/>
        </w:rPr>
        <w:t>gradual</w:t>
      </w:r>
      <w:r w:rsidRPr="00A17926">
        <w:rPr>
          <w:rFonts w:eastAsia="Calibri" w:cs="Arial"/>
        </w:rPr>
        <w:t xml:space="preserve"> increase to $</w:t>
      </w:r>
      <w:r>
        <w:rPr>
          <w:rFonts w:eastAsia="Calibri" w:cs="Arial"/>
        </w:rPr>
        <w:t>1,274,743</w:t>
      </w:r>
      <w:r w:rsidRPr="00A17926">
        <w:rPr>
          <w:rFonts w:eastAsia="Calibri" w:cs="Arial"/>
        </w:rPr>
        <w:t xml:space="preserve"> in FY 2020 after which the fund balance generally stabilizes around $1.</w:t>
      </w:r>
      <w:r>
        <w:rPr>
          <w:rFonts w:eastAsia="Calibri" w:cs="Arial"/>
        </w:rPr>
        <w:t>2</w:t>
      </w:r>
      <w:r w:rsidRPr="00A17926">
        <w:rPr>
          <w:rFonts w:eastAsia="Calibri" w:cs="Arial"/>
        </w:rPr>
        <w:t xml:space="preserve"> million each year.  Given the expenditure assumptions, this scenario gives staff and elected officials some idea of how revenues might need to increase in order to preserve a status quo service level without a General Fund subsidy over the long</w:t>
      </w:r>
      <w:r>
        <w:rPr>
          <w:rFonts w:eastAsia="Calibri" w:cs="Arial"/>
        </w:rPr>
        <w:t xml:space="preserve"> term.</w:t>
      </w:r>
    </w:p>
    <w:p w14:paraId="0BF4AC55" w14:textId="5BBFFAA8" w:rsidR="00A17926" w:rsidRDefault="00A17926" w:rsidP="009D225B">
      <w:pPr>
        <w:pStyle w:val="Caption"/>
      </w:pPr>
      <w:bookmarkStart w:id="372" w:name="_Ref456015129"/>
      <w:bookmarkStart w:id="373" w:name="_Toc464323747"/>
      <w:r w:rsidRPr="00A17926">
        <w:t xml:space="preserve">Figure </w:t>
      </w:r>
      <w:r w:rsidR="00432AD4">
        <w:fldChar w:fldCharType="begin"/>
      </w:r>
      <w:r w:rsidR="00432AD4">
        <w:instrText xml:space="preserve"> SEQ Figure \* ARABIC </w:instrText>
      </w:r>
      <w:r w:rsidR="00432AD4">
        <w:fldChar w:fldCharType="separate"/>
      </w:r>
      <w:r w:rsidR="008209A2">
        <w:rPr>
          <w:noProof/>
        </w:rPr>
        <w:t>105</w:t>
      </w:r>
      <w:r w:rsidR="00432AD4">
        <w:rPr>
          <w:noProof/>
        </w:rPr>
        <w:fldChar w:fldCharType="end"/>
      </w:r>
      <w:bookmarkEnd w:id="372"/>
      <w:r w:rsidRPr="00A17926">
        <w:t>: Status Quo Forecast (Graphical) – Ambulance Budget Scenario C</w:t>
      </w:r>
      <w:bookmarkEnd w:id="373"/>
    </w:p>
    <w:p w14:paraId="7F469E21" w14:textId="3F32516A" w:rsidR="00AC0254" w:rsidRPr="007857F7" w:rsidRDefault="00AC0254" w:rsidP="007857F7">
      <w:pPr>
        <w:jc w:val="center"/>
        <w:rPr>
          <w:lang w:eastAsia="en-US"/>
        </w:rPr>
      </w:pPr>
      <w:r>
        <w:rPr>
          <w:rFonts w:eastAsia="Calibri" w:cs="Times New Roman"/>
          <w:noProof/>
          <w:lang w:eastAsia="en-US"/>
        </w:rPr>
        <w:drawing>
          <wp:inline distT="0" distB="0" distL="0" distR="0" wp14:anchorId="687EBFBB" wp14:editId="618E5B92">
            <wp:extent cx="5184128" cy="5524500"/>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184128" cy="5524500"/>
                    </a:xfrm>
                    <a:prstGeom prst="rect">
                      <a:avLst/>
                    </a:prstGeom>
                    <a:noFill/>
                    <a:ln>
                      <a:noFill/>
                    </a:ln>
                  </pic:spPr>
                </pic:pic>
              </a:graphicData>
            </a:graphic>
          </wp:inline>
        </w:drawing>
      </w:r>
    </w:p>
    <w:p w14:paraId="4483FA11" w14:textId="6B7B3E0A" w:rsidR="00A17926" w:rsidRPr="00A17926" w:rsidRDefault="00A17926" w:rsidP="00A17926">
      <w:pPr>
        <w:spacing w:after="200"/>
        <w:jc w:val="center"/>
        <w:rPr>
          <w:rFonts w:eastAsia="Calibri" w:cs="Times New Roman"/>
          <w:lang w:eastAsia="en-US"/>
        </w:rPr>
      </w:pPr>
      <w:r w:rsidRPr="00A17926">
        <w:rPr>
          <w:rFonts w:eastAsia="Calibri" w:cs="Times New Roman"/>
          <w:lang w:eastAsia="en-US"/>
        </w:rPr>
        <w:t xml:space="preserve"> </w:t>
      </w:r>
    </w:p>
    <w:p w14:paraId="161D3911" w14:textId="77777777" w:rsidR="00A17926" w:rsidRPr="00A17926" w:rsidRDefault="00A17926" w:rsidP="00A17926">
      <w:pPr>
        <w:keepNext/>
        <w:keepLines/>
        <w:spacing w:before="200" w:after="120"/>
        <w:contextualSpacing/>
        <w:outlineLvl w:val="3"/>
        <w:rPr>
          <w:rFonts w:eastAsia="Times New Roman" w:cs="Times New Roman"/>
          <w:b/>
          <w:bCs/>
          <w:iCs/>
          <w:color w:val="808080"/>
        </w:rPr>
      </w:pPr>
      <w:r w:rsidRPr="00A17926">
        <w:rPr>
          <w:rFonts w:eastAsia="Times New Roman" w:cs="Times New Roman"/>
          <w:b/>
          <w:bCs/>
          <w:i/>
          <w:iCs/>
          <w:color w:val="808080"/>
        </w:rPr>
        <w:t xml:space="preserve"> Service Level Increases – Scenario D (Fire Budget)</w:t>
      </w:r>
    </w:p>
    <w:p w14:paraId="7A230150" w14:textId="2A7EF336" w:rsidR="00A17926" w:rsidRPr="00A17926" w:rsidRDefault="00A17926" w:rsidP="00A17926">
      <w:pPr>
        <w:spacing w:after="200"/>
        <w:rPr>
          <w:rFonts w:eastAsia="Calibri" w:cs="Times New Roman"/>
          <w:lang w:eastAsia="en-US"/>
        </w:rPr>
      </w:pPr>
      <w:r w:rsidRPr="00A17926">
        <w:rPr>
          <w:rFonts w:eastAsia="Calibri" w:cs="Times New Roman"/>
          <w:lang w:eastAsia="en-US"/>
        </w:rPr>
        <w:t xml:space="preserve">Scenario D represents an increase in fire service level through the addition of a third firefighter to each of the three existing engine companies on all three shifts for a total of nine additional firefighters.  This brings station staffing level from four to five with two personnel assigned to the ambulance and three assigned to the engine.  This and the succeeding scenarios use the FY 2016 pay scale shown in </w:t>
      </w:r>
      <w:r w:rsidRPr="009D225B">
        <w:rPr>
          <w:rFonts w:eastAsia="Calibri" w:cs="Times New Roman"/>
          <w:lang w:eastAsia="en-US"/>
        </w:rPr>
        <w:fldChar w:fldCharType="begin"/>
      </w:r>
      <w:r w:rsidRPr="009D225B">
        <w:rPr>
          <w:rFonts w:eastAsia="Calibri" w:cs="Times New Roman"/>
          <w:lang w:eastAsia="en-US"/>
        </w:rPr>
        <w:instrText xml:space="preserve"> REF _Ref456015169 \h </w:instrText>
      </w:r>
      <w:r w:rsidR="009D225B" w:rsidRPr="009D225B">
        <w:rPr>
          <w:rFonts w:eastAsia="Calibri" w:cs="Times New Roman"/>
          <w:lang w:eastAsia="en-US"/>
        </w:rPr>
        <w:instrText xml:space="preserve"> \* MERGEFORMAT </w:instrText>
      </w:r>
      <w:r w:rsidRPr="009D225B">
        <w:rPr>
          <w:rFonts w:eastAsia="Calibri" w:cs="Times New Roman"/>
          <w:lang w:eastAsia="en-US"/>
        </w:rPr>
      </w:r>
      <w:r w:rsidRPr="009D225B">
        <w:rPr>
          <w:rFonts w:eastAsia="Calibri" w:cs="Times New Roman"/>
          <w:lang w:eastAsia="en-US"/>
        </w:rPr>
        <w:fldChar w:fldCharType="separate"/>
      </w:r>
      <w:r w:rsidR="008209A2" w:rsidRPr="008209A2">
        <w:rPr>
          <w:rFonts w:eastAsia="Calibri" w:cs="Times New Roman"/>
          <w:iCs/>
          <w:lang w:eastAsia="en-US"/>
        </w:rPr>
        <w:t xml:space="preserve">Figure </w:t>
      </w:r>
      <w:r w:rsidR="008209A2" w:rsidRPr="008209A2">
        <w:rPr>
          <w:rFonts w:eastAsia="Calibri" w:cs="Times New Roman"/>
          <w:iCs/>
          <w:noProof/>
          <w:lang w:eastAsia="en-US"/>
        </w:rPr>
        <w:t>106</w:t>
      </w:r>
      <w:r w:rsidRPr="009D225B">
        <w:rPr>
          <w:rFonts w:eastAsia="Calibri" w:cs="Times New Roman"/>
          <w:lang w:eastAsia="en-US"/>
        </w:rPr>
        <w:fldChar w:fldCharType="end"/>
      </w:r>
      <w:r w:rsidRPr="00A17926">
        <w:rPr>
          <w:rFonts w:eastAsia="Calibri" w:cs="Times New Roman"/>
          <w:lang w:eastAsia="en-US"/>
        </w:rPr>
        <w:t>.  Base wages are shown along with wages and overtime increased to account for average annual observed overtime of 15 percent.  Scenario D adds a 25-36 month level firefighter to each of the three engine companies.</w:t>
      </w:r>
    </w:p>
    <w:p w14:paraId="2BF6467C" w14:textId="4BA52761" w:rsidR="00A17926" w:rsidRPr="00A17926" w:rsidRDefault="00A17926" w:rsidP="009D225B">
      <w:pPr>
        <w:pStyle w:val="Caption"/>
      </w:pPr>
      <w:bookmarkStart w:id="374" w:name="_Ref456015169"/>
      <w:bookmarkStart w:id="375" w:name="_Toc464323748"/>
      <w:r w:rsidRPr="00A17926">
        <w:t xml:space="preserve">Figure </w:t>
      </w:r>
      <w:r w:rsidR="00432AD4">
        <w:fldChar w:fldCharType="begin"/>
      </w:r>
      <w:r w:rsidR="00432AD4">
        <w:instrText xml:space="preserve"> SEQ Figure \*</w:instrText>
      </w:r>
      <w:r w:rsidR="00432AD4">
        <w:instrText xml:space="preserve"> ARABIC </w:instrText>
      </w:r>
      <w:r w:rsidR="00432AD4">
        <w:fldChar w:fldCharType="separate"/>
      </w:r>
      <w:r w:rsidR="008209A2">
        <w:rPr>
          <w:noProof/>
        </w:rPr>
        <w:t>106</w:t>
      </w:r>
      <w:r w:rsidR="00432AD4">
        <w:rPr>
          <w:noProof/>
        </w:rPr>
        <w:fldChar w:fldCharType="end"/>
      </w:r>
      <w:bookmarkEnd w:id="374"/>
      <w:r w:rsidRPr="00A17926">
        <w:t>: FY 2016 Firefighter Pay/Benefit Scale Used for Scenarios D, E, and F</w:t>
      </w:r>
      <w:bookmarkEnd w:id="375"/>
    </w:p>
    <w:p w14:paraId="21FAD698" w14:textId="77777777" w:rsidR="00A17926" w:rsidRPr="00A17926" w:rsidRDefault="00A17926" w:rsidP="00A17926">
      <w:pPr>
        <w:spacing w:after="0"/>
        <w:jc w:val="center"/>
        <w:rPr>
          <w:rFonts w:eastAsia="Calibri" w:cs="Times New Roman"/>
          <w:lang w:eastAsia="en-US"/>
        </w:rPr>
      </w:pPr>
      <w:r w:rsidRPr="00A17926">
        <w:rPr>
          <w:rFonts w:eastAsia="Calibri" w:cs="Times New Roman"/>
          <w:noProof/>
          <w:sz w:val="20"/>
          <w:szCs w:val="20"/>
          <w:lang w:eastAsia="en-US"/>
        </w:rPr>
        <w:drawing>
          <wp:inline distT="0" distB="0" distL="0" distR="0" wp14:anchorId="23150B98" wp14:editId="305AF23A">
            <wp:extent cx="4676546" cy="874621"/>
            <wp:effectExtent l="0" t="0" r="0" b="190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4713877" cy="881603"/>
                    </a:xfrm>
                    <a:prstGeom prst="rect">
                      <a:avLst/>
                    </a:prstGeom>
                    <a:noFill/>
                    <a:ln>
                      <a:noFill/>
                    </a:ln>
                  </pic:spPr>
                </pic:pic>
              </a:graphicData>
            </a:graphic>
          </wp:inline>
        </w:drawing>
      </w:r>
    </w:p>
    <w:p w14:paraId="2F074D00" w14:textId="77777777" w:rsidR="00A17926" w:rsidRPr="00A17926" w:rsidRDefault="00A17926" w:rsidP="00A17926">
      <w:pPr>
        <w:spacing w:after="0"/>
        <w:rPr>
          <w:rFonts w:eastAsia="Calibri" w:cs="Times New Roman"/>
          <w:lang w:eastAsia="en-US"/>
        </w:rPr>
      </w:pPr>
    </w:p>
    <w:p w14:paraId="4621D34A" w14:textId="79173574" w:rsidR="00A17926" w:rsidRPr="00A17926" w:rsidRDefault="00A17926" w:rsidP="009D225B">
      <w:pPr>
        <w:spacing w:after="240"/>
        <w:rPr>
          <w:rFonts w:eastAsia="Calibri" w:cs="Times New Roman"/>
          <w:lang w:eastAsia="en-US"/>
        </w:rPr>
      </w:pPr>
      <w:r w:rsidRPr="009D225B">
        <w:rPr>
          <w:rFonts w:eastAsia="Calibri" w:cs="Times New Roman"/>
          <w:lang w:eastAsia="en-US"/>
        </w:rPr>
        <w:fldChar w:fldCharType="begin"/>
      </w:r>
      <w:r w:rsidRPr="009D225B">
        <w:rPr>
          <w:rFonts w:eastAsia="Calibri" w:cs="Times New Roman"/>
          <w:lang w:eastAsia="en-US"/>
        </w:rPr>
        <w:instrText xml:space="preserve"> REF _Ref456015206 \h </w:instrText>
      </w:r>
      <w:r w:rsidR="009D225B" w:rsidRPr="009D225B">
        <w:rPr>
          <w:rFonts w:eastAsia="Calibri" w:cs="Times New Roman"/>
          <w:lang w:eastAsia="en-US"/>
        </w:rPr>
        <w:instrText xml:space="preserve"> \* MERGEFORMAT </w:instrText>
      </w:r>
      <w:r w:rsidRPr="009D225B">
        <w:rPr>
          <w:rFonts w:eastAsia="Calibri" w:cs="Times New Roman"/>
          <w:lang w:eastAsia="en-US"/>
        </w:rPr>
      </w:r>
      <w:r w:rsidRPr="009D225B">
        <w:rPr>
          <w:rFonts w:eastAsia="Calibri" w:cs="Times New Roman"/>
          <w:lang w:eastAsia="en-US"/>
        </w:rPr>
        <w:fldChar w:fldCharType="separate"/>
      </w:r>
      <w:r w:rsidR="008209A2" w:rsidRPr="008209A2">
        <w:rPr>
          <w:rFonts w:eastAsia="Calibri" w:cs="Times New Roman"/>
          <w:iCs/>
          <w:lang w:eastAsia="en-US"/>
        </w:rPr>
        <w:t xml:space="preserve">Figure </w:t>
      </w:r>
      <w:r w:rsidR="008209A2" w:rsidRPr="008209A2">
        <w:rPr>
          <w:rFonts w:eastAsia="Calibri" w:cs="Times New Roman"/>
          <w:iCs/>
          <w:noProof/>
          <w:lang w:eastAsia="en-US"/>
        </w:rPr>
        <w:t>107</w:t>
      </w:r>
      <w:r w:rsidRPr="009D225B">
        <w:rPr>
          <w:rFonts w:eastAsia="Calibri" w:cs="Times New Roman"/>
          <w:lang w:eastAsia="en-US"/>
        </w:rPr>
        <w:fldChar w:fldCharType="end"/>
      </w:r>
      <w:r w:rsidRPr="00A17926">
        <w:rPr>
          <w:rFonts w:eastAsia="Calibri" w:cs="Times New Roman"/>
          <w:lang w:eastAsia="en-US"/>
        </w:rPr>
        <w:t xml:space="preserve"> shows the full recurring cost of adding nine firefighters in Scenario D (a third on each engine company).  The scenario adds these firefighters in FY 2017, but the table below shows what the cost would be if they were added at any point within the forecast period.  Costs escalate at the rate discussed above for wages (6 percent) and benefits (11.3 percent) that have been observed historically.  The operating cost for on-boarding these employees, estimated at $5,000 per employee, is a one-time cost that would include mainly bunker gear, uniforms, etc.  The table below also shows what this one-time cost would be in whatever year these employees were added.  While other operating costs may go up per employee, these would be minor relative to salary and benefits.</w:t>
      </w:r>
    </w:p>
    <w:p w14:paraId="761B4E06" w14:textId="0FEA3919" w:rsidR="00A17926" w:rsidRDefault="00A17926" w:rsidP="009D225B">
      <w:pPr>
        <w:pStyle w:val="Caption"/>
      </w:pPr>
      <w:bookmarkStart w:id="376" w:name="_Ref456015206"/>
      <w:bookmarkStart w:id="377" w:name="_Toc464323749"/>
      <w:r w:rsidRPr="00A17926">
        <w:t xml:space="preserve">Figure </w:t>
      </w:r>
      <w:r w:rsidR="00432AD4">
        <w:fldChar w:fldCharType="begin"/>
      </w:r>
      <w:r w:rsidR="00432AD4">
        <w:instrText xml:space="preserve"> SEQ Figure \* ARABIC </w:instrText>
      </w:r>
      <w:r w:rsidR="00432AD4">
        <w:fldChar w:fldCharType="separate"/>
      </w:r>
      <w:r w:rsidR="008209A2">
        <w:rPr>
          <w:noProof/>
        </w:rPr>
        <w:t>107</w:t>
      </w:r>
      <w:r w:rsidR="00432AD4">
        <w:rPr>
          <w:noProof/>
        </w:rPr>
        <w:fldChar w:fldCharType="end"/>
      </w:r>
      <w:bookmarkEnd w:id="376"/>
      <w:r w:rsidRPr="00A17926">
        <w:t>: Cost of Adding a Third Firefighter to each Engine Company in Various Years of Forecast Period</w:t>
      </w:r>
      <w:bookmarkEnd w:id="377"/>
    </w:p>
    <w:p w14:paraId="0B2E8620" w14:textId="14795343" w:rsidR="00AC0254" w:rsidRPr="007857F7" w:rsidRDefault="00AC0254" w:rsidP="007857F7">
      <w:pPr>
        <w:jc w:val="center"/>
        <w:rPr>
          <w:lang w:eastAsia="en-US"/>
        </w:rPr>
      </w:pPr>
      <w:r>
        <w:rPr>
          <w:noProof/>
          <w:lang w:eastAsia="en-US"/>
        </w:rPr>
        <w:drawing>
          <wp:inline distT="0" distB="0" distL="0" distR="0" wp14:anchorId="502131FF" wp14:editId="56242C04">
            <wp:extent cx="5943600" cy="67310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943600" cy="673100"/>
                    </a:xfrm>
                    <a:prstGeom prst="rect">
                      <a:avLst/>
                    </a:prstGeom>
                    <a:noFill/>
                    <a:ln>
                      <a:noFill/>
                    </a:ln>
                  </pic:spPr>
                </pic:pic>
              </a:graphicData>
            </a:graphic>
          </wp:inline>
        </w:drawing>
      </w:r>
    </w:p>
    <w:p w14:paraId="108D3305" w14:textId="47E18268" w:rsidR="00A17926" w:rsidRPr="00A17926" w:rsidRDefault="00A17926" w:rsidP="00A17926">
      <w:pPr>
        <w:spacing w:after="0"/>
        <w:jc w:val="center"/>
        <w:rPr>
          <w:rFonts w:eastAsia="Calibri" w:cs="Times New Roman"/>
          <w:lang w:eastAsia="en-US"/>
        </w:rPr>
      </w:pPr>
    </w:p>
    <w:p w14:paraId="390F5B3A" w14:textId="77777777" w:rsidR="00A17926" w:rsidRPr="00A17926" w:rsidRDefault="00A17926" w:rsidP="009D225B">
      <w:pPr>
        <w:keepNext/>
        <w:keepLines/>
        <w:spacing w:before="240" w:after="120"/>
        <w:outlineLvl w:val="3"/>
        <w:rPr>
          <w:rFonts w:eastAsia="Times New Roman" w:cs="Times New Roman"/>
          <w:b/>
          <w:bCs/>
          <w:iCs/>
          <w:color w:val="808080"/>
        </w:rPr>
      </w:pPr>
      <w:r w:rsidRPr="00A17926">
        <w:rPr>
          <w:rFonts w:eastAsia="Times New Roman" w:cs="Times New Roman"/>
          <w:b/>
          <w:bCs/>
          <w:i/>
          <w:iCs/>
          <w:color w:val="808080"/>
        </w:rPr>
        <w:t>Service Level Increases – Scenario E (Fire Budget)</w:t>
      </w:r>
    </w:p>
    <w:p w14:paraId="1D2BA3F4" w14:textId="18DDC106" w:rsidR="00A17926" w:rsidRPr="00A17926" w:rsidRDefault="00A17926" w:rsidP="00A17926">
      <w:pPr>
        <w:spacing w:after="200"/>
        <w:rPr>
          <w:rFonts w:eastAsia="Calibri" w:cs="Times New Roman"/>
          <w:lang w:eastAsia="en-US"/>
        </w:rPr>
      </w:pPr>
      <w:r w:rsidRPr="00A17926">
        <w:rPr>
          <w:rFonts w:eastAsia="Calibri" w:cs="Times New Roman"/>
          <w:lang w:eastAsia="en-US"/>
        </w:rPr>
        <w:t>Scenario E represents an increase in fire service level through the addition of a fourth engine company staffed with two firefighters and one lieutenant on each of three shifts for a total of nine additional firefighters.  This engine company would be housed in an as yet to be built fourth fire station.  It is not known when this station would be built and how it would be funded.  Therefore, the capital facility and apparatus/equipment costs as well as recurring station operating costs are not included in this analysis.  For budget planning purposes, staff could use a very generalized figure of $2-2.5 million for an equipped fire station and $450-500,000 for an equipped fire engine.  Staff should plan on hiring the personnel in the year following construction of the station.</w:t>
      </w:r>
    </w:p>
    <w:p w14:paraId="2E3D7FFD" w14:textId="0E42B28A" w:rsidR="00A17926" w:rsidRPr="00A17926" w:rsidRDefault="00A17926" w:rsidP="009D225B">
      <w:pPr>
        <w:spacing w:after="240"/>
        <w:rPr>
          <w:rFonts w:eastAsia="Calibri" w:cs="Times New Roman"/>
          <w:lang w:eastAsia="en-US"/>
        </w:rPr>
      </w:pPr>
      <w:r w:rsidRPr="00A17926">
        <w:rPr>
          <w:rFonts w:eastAsia="Calibri" w:cs="Times New Roman"/>
          <w:lang w:eastAsia="en-US"/>
        </w:rPr>
        <w:t>Scenario D adds one 25-36 month level firefighter, one 49+ month firefighter (functioning as driver/engineer)</w:t>
      </w:r>
      <w:r w:rsidR="009D225B">
        <w:rPr>
          <w:rFonts w:eastAsia="Calibri" w:cs="Times New Roman"/>
          <w:lang w:eastAsia="en-US"/>
        </w:rPr>
        <w:t>,</w:t>
      </w:r>
      <w:r w:rsidRPr="00A17926">
        <w:rPr>
          <w:rFonts w:eastAsia="Calibri" w:cs="Times New Roman"/>
          <w:lang w:eastAsia="en-US"/>
        </w:rPr>
        <w:t xml:space="preserve"> and one lieutenant to each of three shifts to staff the additional engine company. The table below shows the total cost of adding the personnel as well as the one-time cost in whatever year these employees would be added.</w:t>
      </w:r>
    </w:p>
    <w:p w14:paraId="79424052" w14:textId="5F98F425" w:rsidR="00A17926" w:rsidRDefault="00A17926" w:rsidP="009D225B">
      <w:pPr>
        <w:pStyle w:val="Caption"/>
      </w:pPr>
      <w:bookmarkStart w:id="378" w:name="_Toc464323750"/>
      <w:r w:rsidRPr="00A17926">
        <w:t xml:space="preserve">Figure </w:t>
      </w:r>
      <w:r w:rsidR="00432AD4">
        <w:fldChar w:fldCharType="begin"/>
      </w:r>
      <w:r w:rsidR="00432AD4">
        <w:instrText xml:space="preserve"> SEQ Figure \* ARABIC </w:instrText>
      </w:r>
      <w:r w:rsidR="00432AD4">
        <w:fldChar w:fldCharType="separate"/>
      </w:r>
      <w:r w:rsidR="008209A2">
        <w:rPr>
          <w:noProof/>
        </w:rPr>
        <w:t>108</w:t>
      </w:r>
      <w:r w:rsidR="00432AD4">
        <w:rPr>
          <w:noProof/>
        </w:rPr>
        <w:fldChar w:fldCharType="end"/>
      </w:r>
      <w:r w:rsidRPr="00A17926">
        <w:t>: Cost of Adding Another Engine Company in Various Years of Forecast Period</w:t>
      </w:r>
      <w:bookmarkEnd w:id="378"/>
    </w:p>
    <w:p w14:paraId="16D31A97" w14:textId="5C02EB51" w:rsidR="00AC0254" w:rsidRPr="007857F7" w:rsidRDefault="00AC0254" w:rsidP="007857F7">
      <w:pPr>
        <w:jc w:val="center"/>
        <w:rPr>
          <w:lang w:eastAsia="en-US"/>
        </w:rPr>
      </w:pPr>
      <w:r>
        <w:rPr>
          <w:rFonts w:eastAsia="Calibri" w:cs="Times New Roman"/>
          <w:noProof/>
          <w:lang w:eastAsia="en-US"/>
        </w:rPr>
        <w:drawing>
          <wp:inline distT="0" distB="0" distL="0" distR="0" wp14:anchorId="2893DD78" wp14:editId="5E8D0625">
            <wp:extent cx="5943600" cy="65405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943600" cy="654050"/>
                    </a:xfrm>
                    <a:prstGeom prst="rect">
                      <a:avLst/>
                    </a:prstGeom>
                    <a:noFill/>
                    <a:ln>
                      <a:noFill/>
                    </a:ln>
                  </pic:spPr>
                </pic:pic>
              </a:graphicData>
            </a:graphic>
          </wp:inline>
        </w:drawing>
      </w:r>
    </w:p>
    <w:p w14:paraId="010ED4A6" w14:textId="77777777" w:rsidR="00A17926" w:rsidRPr="00A17926" w:rsidRDefault="00A17926" w:rsidP="00A17926">
      <w:pPr>
        <w:keepNext/>
        <w:keepLines/>
        <w:spacing w:before="200" w:after="120"/>
        <w:contextualSpacing/>
        <w:outlineLvl w:val="3"/>
        <w:rPr>
          <w:rFonts w:eastAsia="Times New Roman" w:cs="Times New Roman"/>
          <w:b/>
          <w:bCs/>
          <w:iCs/>
          <w:color w:val="808080"/>
        </w:rPr>
      </w:pPr>
      <w:r w:rsidRPr="00A17926">
        <w:rPr>
          <w:rFonts w:eastAsia="Times New Roman" w:cs="Times New Roman"/>
          <w:b/>
          <w:bCs/>
          <w:i/>
          <w:iCs/>
          <w:color w:val="808080"/>
        </w:rPr>
        <w:t>Service Level Increases – Scenario F (Fire Budget)</w:t>
      </w:r>
    </w:p>
    <w:p w14:paraId="310081FA" w14:textId="77777777" w:rsidR="00A17926" w:rsidRPr="00A17926" w:rsidRDefault="00A17926" w:rsidP="00A17926">
      <w:pPr>
        <w:spacing w:after="200"/>
        <w:rPr>
          <w:rFonts w:eastAsia="Calibri" w:cs="Times New Roman"/>
          <w:lang w:eastAsia="en-US"/>
        </w:rPr>
      </w:pPr>
      <w:r w:rsidRPr="00A17926">
        <w:rPr>
          <w:rFonts w:eastAsia="Calibri" w:cs="Times New Roman"/>
          <w:lang w:eastAsia="en-US"/>
        </w:rPr>
        <w:t xml:space="preserve">In order to give staff and council an appreciation for the full impact of adding a third firefighter to each existing engine company and a fourth three-person engine company, Scenario F was prepared adding both service level upgrades.  Scenario F represents an increase in fire service level through both the addition of a fourth engine company staffed with two firefighters and one lieutenant on each of three shifts as well as the third firefighter on the three current engine companies for a total of 18 additional firefighters.  </w:t>
      </w:r>
    </w:p>
    <w:p w14:paraId="7B872AF6" w14:textId="334DFBF3" w:rsidR="00A17926" w:rsidRPr="00A17926" w:rsidRDefault="00A17926" w:rsidP="00A17926">
      <w:pPr>
        <w:spacing w:after="200"/>
        <w:rPr>
          <w:rFonts w:eastAsia="Calibri" w:cs="Times New Roman"/>
          <w:lang w:eastAsia="en-US"/>
        </w:rPr>
      </w:pPr>
      <w:r w:rsidRPr="00A17926">
        <w:rPr>
          <w:rFonts w:eastAsia="Calibri" w:cs="Times New Roman"/>
          <w:lang w:eastAsia="en-US"/>
        </w:rPr>
        <w:t>As discussed above, the additional engine company would be housed in an as yet to be built fourth fire station.  Scenario F adds four 25-36 month level firefighters (one for each existing engine and one for the new engine), one 49+ month firefighter (functioning as driver/engineer)</w:t>
      </w:r>
      <w:r w:rsidR="00C7448A">
        <w:rPr>
          <w:rFonts w:eastAsia="Calibri" w:cs="Times New Roman"/>
          <w:lang w:eastAsia="en-US"/>
        </w:rPr>
        <w:t>,</w:t>
      </w:r>
      <w:r w:rsidRPr="00A17926">
        <w:rPr>
          <w:rFonts w:eastAsia="Calibri" w:cs="Times New Roman"/>
          <w:lang w:eastAsia="en-US"/>
        </w:rPr>
        <w:t xml:space="preserve"> and one lieutenant to each of the three shifts. The table below shows the total cost of adding the 18 personnel as well as the one-time cost in whatever year these employees would be added.</w:t>
      </w:r>
    </w:p>
    <w:p w14:paraId="0B880E3A" w14:textId="1D2F50E7" w:rsidR="00A17926" w:rsidRDefault="00A17926" w:rsidP="00C7448A">
      <w:pPr>
        <w:pStyle w:val="Caption"/>
      </w:pPr>
      <w:bookmarkStart w:id="379" w:name="_Toc464323751"/>
      <w:r w:rsidRPr="00A17926">
        <w:t xml:space="preserve">Figure </w:t>
      </w:r>
      <w:r w:rsidR="00432AD4">
        <w:fldChar w:fldCharType="begin"/>
      </w:r>
      <w:r w:rsidR="00432AD4">
        <w:instrText xml:space="preserve"> SEQ Figure \* ARABIC </w:instrText>
      </w:r>
      <w:r w:rsidR="00432AD4">
        <w:fldChar w:fldCharType="separate"/>
      </w:r>
      <w:r w:rsidR="008209A2">
        <w:rPr>
          <w:noProof/>
        </w:rPr>
        <w:t>109</w:t>
      </w:r>
      <w:r w:rsidR="00432AD4">
        <w:rPr>
          <w:noProof/>
        </w:rPr>
        <w:fldChar w:fldCharType="end"/>
      </w:r>
      <w:r w:rsidRPr="00A17926">
        <w:t>: Cost of Adding a Third Person in each Engine and Another Engine Company in Various Years of Forecast Period</w:t>
      </w:r>
      <w:bookmarkEnd w:id="379"/>
    </w:p>
    <w:p w14:paraId="1582D626" w14:textId="79D68830" w:rsidR="00AC0254" w:rsidRPr="007857F7" w:rsidRDefault="00AC0254" w:rsidP="007857F7">
      <w:pPr>
        <w:jc w:val="center"/>
        <w:rPr>
          <w:lang w:eastAsia="en-US"/>
        </w:rPr>
      </w:pPr>
      <w:r>
        <w:rPr>
          <w:rFonts w:eastAsia="Calibri" w:cs="Times New Roman"/>
          <w:noProof/>
          <w:lang w:eastAsia="en-US"/>
        </w:rPr>
        <w:drawing>
          <wp:inline distT="0" distB="0" distL="0" distR="0" wp14:anchorId="3B1426F8" wp14:editId="2187CFB4">
            <wp:extent cx="5943600" cy="65405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943600" cy="654050"/>
                    </a:xfrm>
                    <a:prstGeom prst="rect">
                      <a:avLst/>
                    </a:prstGeom>
                    <a:noFill/>
                    <a:ln>
                      <a:noFill/>
                    </a:ln>
                  </pic:spPr>
                </pic:pic>
              </a:graphicData>
            </a:graphic>
          </wp:inline>
        </w:drawing>
      </w:r>
    </w:p>
    <w:p w14:paraId="41769775" w14:textId="28EF2B2A" w:rsidR="00A17926" w:rsidRPr="00A17926" w:rsidRDefault="00A17926" w:rsidP="00A17926">
      <w:pPr>
        <w:spacing w:after="0"/>
        <w:rPr>
          <w:rFonts w:eastAsia="Calibri" w:cs="Times New Roman"/>
          <w:lang w:eastAsia="en-US"/>
        </w:rPr>
      </w:pPr>
      <w:r w:rsidRPr="00A17926">
        <w:rPr>
          <w:rFonts w:eastAsia="Calibri" w:cs="Times New Roman"/>
          <w:lang w:eastAsia="en-US"/>
        </w:rPr>
        <w:t xml:space="preserve">Using the tables from Scenarios D and E, staff and council can mix and match timing of implementing either of these upgrades.  </w:t>
      </w:r>
      <w:r w:rsidRPr="00C7448A">
        <w:rPr>
          <w:rFonts w:eastAsia="Calibri" w:cs="Times New Roman"/>
          <w:lang w:eastAsia="en-US"/>
        </w:rPr>
        <w:fldChar w:fldCharType="begin"/>
      </w:r>
      <w:r w:rsidRPr="00C7448A">
        <w:rPr>
          <w:rFonts w:eastAsia="Calibri" w:cs="Times New Roman"/>
          <w:lang w:eastAsia="en-US"/>
        </w:rPr>
        <w:instrText xml:space="preserve"> REF _Ref456015254 \h </w:instrText>
      </w:r>
      <w:r w:rsidR="00C7448A" w:rsidRPr="00C7448A">
        <w:rPr>
          <w:rFonts w:eastAsia="Calibri" w:cs="Times New Roman"/>
          <w:lang w:eastAsia="en-US"/>
        </w:rPr>
        <w:instrText xml:space="preserve"> \* MERGEFORMAT </w:instrText>
      </w:r>
      <w:r w:rsidRPr="00C7448A">
        <w:rPr>
          <w:rFonts w:eastAsia="Calibri" w:cs="Times New Roman"/>
          <w:lang w:eastAsia="en-US"/>
        </w:rPr>
      </w:r>
      <w:r w:rsidRPr="00C7448A">
        <w:rPr>
          <w:rFonts w:eastAsia="Calibri" w:cs="Times New Roman"/>
          <w:lang w:eastAsia="en-US"/>
        </w:rPr>
        <w:fldChar w:fldCharType="separate"/>
      </w:r>
      <w:r w:rsidR="008209A2" w:rsidRPr="008209A2">
        <w:rPr>
          <w:rFonts w:eastAsia="Calibri" w:cs="Times New Roman"/>
          <w:iCs/>
          <w:lang w:eastAsia="en-US"/>
        </w:rPr>
        <w:t xml:space="preserve">Figure </w:t>
      </w:r>
      <w:r w:rsidR="008209A2" w:rsidRPr="008209A2">
        <w:rPr>
          <w:rFonts w:eastAsia="Calibri" w:cs="Times New Roman"/>
          <w:iCs/>
          <w:noProof/>
          <w:lang w:eastAsia="en-US"/>
        </w:rPr>
        <w:t>110</w:t>
      </w:r>
      <w:r w:rsidRPr="00C7448A">
        <w:rPr>
          <w:rFonts w:eastAsia="Calibri" w:cs="Times New Roman"/>
          <w:lang w:eastAsia="en-US"/>
        </w:rPr>
        <w:fldChar w:fldCharType="end"/>
      </w:r>
      <w:r w:rsidRPr="00A17926">
        <w:rPr>
          <w:rFonts w:eastAsia="Calibri" w:cs="Times New Roman"/>
          <w:lang w:eastAsia="en-US"/>
        </w:rPr>
        <w:t xml:space="preserve"> summarizes the net impact of the above fire service scenarios for each year that the change </w:t>
      </w:r>
      <w:proofErr w:type="gramStart"/>
      <w:r w:rsidRPr="00A17926">
        <w:rPr>
          <w:rFonts w:eastAsia="Calibri" w:cs="Times New Roman"/>
          <w:lang w:eastAsia="en-US"/>
        </w:rPr>
        <w:t>might be implemented</w:t>
      </w:r>
      <w:proofErr w:type="gramEnd"/>
      <w:r w:rsidRPr="00A17926">
        <w:rPr>
          <w:rFonts w:eastAsia="Calibri" w:cs="Times New Roman"/>
          <w:lang w:eastAsia="en-US"/>
        </w:rPr>
        <w:t xml:space="preserve">.  Total fire budget expenditures are shown in the orange dashed line for each year of the forecast and represent a status quo service level.  The incremental cost each year of adding a third firefighter on each engine company is shown with the blue bars while the incremental cost of adding an additional engine company is shown in the red bars.  While the total number of additional firefighters is the same for each upgrade, the engine company is </w:t>
      </w:r>
      <w:r w:rsidR="00AC0254" w:rsidRPr="00A17926">
        <w:rPr>
          <w:rFonts w:eastAsia="Calibri" w:cs="Times New Roman"/>
          <w:lang w:eastAsia="en-US"/>
        </w:rPr>
        <w:t>costlier</w:t>
      </w:r>
      <w:r w:rsidRPr="00A17926">
        <w:rPr>
          <w:rFonts w:eastAsia="Calibri" w:cs="Times New Roman"/>
          <w:lang w:eastAsia="en-US"/>
        </w:rPr>
        <w:t xml:space="preserve"> due to the experience level and commensurate pay grade required to fill the positions needed.</w:t>
      </w:r>
    </w:p>
    <w:p w14:paraId="7D9D3912" w14:textId="77777777" w:rsidR="00A17926" w:rsidRPr="00A17926" w:rsidRDefault="00A17926" w:rsidP="00A17926">
      <w:pPr>
        <w:spacing w:after="0"/>
        <w:rPr>
          <w:rFonts w:eastAsia="Calibri" w:cs="Times New Roman"/>
          <w:lang w:eastAsia="en-US"/>
        </w:rPr>
      </w:pPr>
    </w:p>
    <w:p w14:paraId="63D7D81D" w14:textId="62E4652A" w:rsidR="00AC0254" w:rsidRPr="00AC0254" w:rsidRDefault="00AC0254" w:rsidP="00AC0254">
      <w:pPr>
        <w:spacing w:after="0"/>
        <w:rPr>
          <w:rFonts w:eastAsia="Calibri" w:cs="Times New Roman"/>
          <w:lang w:eastAsia="en-US"/>
        </w:rPr>
      </w:pPr>
      <w:r w:rsidRPr="00AC0254">
        <w:rPr>
          <w:rFonts w:eastAsia="Calibri" w:cs="Times New Roman"/>
          <w:lang w:eastAsia="en-US"/>
        </w:rPr>
        <w:t xml:space="preserve">Adding a third firefighter on each of the three existing engines will add $1.086 million in FY 2017, which grows to just under $1.3 million annually by FY 2022.  The addition of an engine company adds just over $1.5 million in FY 2017, if added then, and grows to $1.9 million by FY 2022.  The addition of a third firefighter to each engine company adds approximately 16.9 percent to the fire budget each year while the addition of another engine company adds </w:t>
      </w:r>
      <w:r w:rsidR="007857F7" w:rsidRPr="00AC0254">
        <w:rPr>
          <w:rFonts w:eastAsia="Calibri" w:cs="Times New Roman"/>
          <w:lang w:eastAsia="en-US"/>
        </w:rPr>
        <w:t>approximately 24.16</w:t>
      </w:r>
      <w:r w:rsidRPr="00AC0254">
        <w:rPr>
          <w:rFonts w:eastAsia="Calibri" w:cs="Times New Roman"/>
          <w:lang w:eastAsia="en-US"/>
        </w:rPr>
        <w:t xml:space="preserve"> percent annually on average.</w:t>
      </w:r>
    </w:p>
    <w:p w14:paraId="7B8E1B45" w14:textId="77777777" w:rsidR="00A17926" w:rsidRPr="00A17926" w:rsidRDefault="00A17926" w:rsidP="00A17926">
      <w:pPr>
        <w:spacing w:after="0"/>
        <w:rPr>
          <w:rFonts w:eastAsia="Calibri" w:cs="Arial"/>
          <w:b/>
          <w:color w:val="000000"/>
          <w:sz w:val="20"/>
          <w:szCs w:val="20"/>
        </w:rPr>
      </w:pPr>
    </w:p>
    <w:p w14:paraId="15B932A3" w14:textId="64DA1FB2" w:rsidR="00A17926" w:rsidRDefault="00A17926" w:rsidP="00C7448A">
      <w:pPr>
        <w:pStyle w:val="Caption"/>
      </w:pPr>
      <w:bookmarkStart w:id="380" w:name="_Ref456015254"/>
      <w:bookmarkStart w:id="381" w:name="_Toc464323752"/>
      <w:r w:rsidRPr="00A17926">
        <w:t xml:space="preserve">Figure </w:t>
      </w:r>
      <w:r w:rsidR="00432AD4">
        <w:fldChar w:fldCharType="begin"/>
      </w:r>
      <w:r w:rsidR="00432AD4">
        <w:instrText xml:space="preserve"> SEQ Figure \* ARABIC </w:instrText>
      </w:r>
      <w:r w:rsidR="00432AD4">
        <w:fldChar w:fldCharType="separate"/>
      </w:r>
      <w:r w:rsidR="008209A2">
        <w:rPr>
          <w:noProof/>
        </w:rPr>
        <w:t>110</w:t>
      </w:r>
      <w:r w:rsidR="00432AD4">
        <w:rPr>
          <w:noProof/>
        </w:rPr>
        <w:fldChar w:fldCharType="end"/>
      </w:r>
      <w:bookmarkEnd w:id="380"/>
      <w:r w:rsidRPr="00A17926">
        <w:t>: Annual Cost Differential of Adding a Third Person in each Engine and/or Another Engine Company</w:t>
      </w:r>
      <w:bookmarkEnd w:id="381"/>
    </w:p>
    <w:p w14:paraId="449BEEA4" w14:textId="5290C663" w:rsidR="00AC0254" w:rsidRPr="007857F7" w:rsidRDefault="00AC0254" w:rsidP="007857F7">
      <w:pPr>
        <w:jc w:val="center"/>
        <w:rPr>
          <w:lang w:eastAsia="en-US"/>
        </w:rPr>
      </w:pPr>
      <w:r>
        <w:rPr>
          <w:noProof/>
          <w:lang w:eastAsia="en-US"/>
        </w:rPr>
        <w:drawing>
          <wp:inline distT="0" distB="0" distL="0" distR="0" wp14:anchorId="7DAF19F7" wp14:editId="1AD59920">
            <wp:extent cx="5943600" cy="3343275"/>
            <wp:effectExtent l="0" t="0" r="0" b="9525"/>
            <wp:docPr id="118" name="Chart 1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14:paraId="7CD84165" w14:textId="1D1C5D46" w:rsidR="00A17926" w:rsidRPr="00A17926" w:rsidRDefault="00A17926" w:rsidP="00A17926">
      <w:pPr>
        <w:spacing w:after="0"/>
        <w:rPr>
          <w:rFonts w:eastAsia="Calibri" w:cs="Times New Roman"/>
          <w:lang w:eastAsia="en-US"/>
        </w:rPr>
      </w:pPr>
    </w:p>
    <w:p w14:paraId="0F51CA03" w14:textId="77777777" w:rsidR="00A17926" w:rsidRPr="00A17926" w:rsidRDefault="00A17926" w:rsidP="00A17926">
      <w:pPr>
        <w:spacing w:after="200"/>
        <w:rPr>
          <w:rFonts w:eastAsia="Calibri" w:cs="Times New Roman"/>
          <w:lang w:eastAsia="en-US"/>
        </w:rPr>
      </w:pPr>
    </w:p>
    <w:p w14:paraId="62400755" w14:textId="77777777" w:rsidR="00A17926" w:rsidRPr="00A17926" w:rsidRDefault="00A17926" w:rsidP="00A17926">
      <w:pPr>
        <w:rPr>
          <w:lang w:eastAsia="en-US"/>
        </w:rPr>
      </w:pPr>
    </w:p>
    <w:p w14:paraId="61249F7B" w14:textId="77777777" w:rsidR="00C7448A" w:rsidRDefault="00C7448A" w:rsidP="006350C1">
      <w:pPr>
        <w:pStyle w:val="Heading1"/>
        <w:rPr>
          <w:rFonts w:cs="Calibri"/>
        </w:rPr>
        <w:sectPr w:rsidR="00C7448A" w:rsidSect="00355973">
          <w:pgSz w:w="12240" w:h="15840"/>
          <w:pgMar w:top="1440" w:right="1440" w:bottom="1440" w:left="1440" w:header="720" w:footer="720" w:gutter="0"/>
          <w:cols w:space="720"/>
          <w:docGrid w:linePitch="299"/>
        </w:sectPr>
      </w:pPr>
      <w:bookmarkStart w:id="382" w:name="_Toc309114196"/>
      <w:bookmarkStart w:id="383" w:name="_Toc357084191"/>
      <w:bookmarkEnd w:id="247"/>
      <w:bookmarkEnd w:id="354"/>
    </w:p>
    <w:p w14:paraId="5985B9F3" w14:textId="55071364" w:rsidR="004910B9" w:rsidRDefault="004910B9">
      <w:pPr>
        <w:spacing w:after="200"/>
        <w:jc w:val="left"/>
        <w:rPr>
          <w:rFonts w:eastAsiaTheme="majorEastAsia" w:cs="Calibri"/>
          <w:b/>
          <w:bCs/>
          <w:color w:val="808080" w:themeColor="background1" w:themeShade="80"/>
          <w:sz w:val="28"/>
          <w:szCs w:val="28"/>
          <w:lang w:eastAsia="en-US"/>
        </w:rPr>
      </w:pPr>
      <w:bookmarkStart w:id="384" w:name="_Toc99695565"/>
      <w:bookmarkStart w:id="385" w:name="_Toc180897324"/>
      <w:bookmarkStart w:id="386" w:name="_Toc181002747"/>
      <w:bookmarkStart w:id="387" w:name="_Toc357084192"/>
      <w:bookmarkStart w:id="388" w:name="_Toc87407253"/>
      <w:bookmarkStart w:id="389" w:name="_Toc171150161"/>
      <w:bookmarkEnd w:id="382"/>
      <w:bookmarkEnd w:id="383"/>
    </w:p>
    <w:p w14:paraId="0B7FB7C7" w14:textId="77777777" w:rsidR="00C7448A" w:rsidRDefault="00C7448A">
      <w:pPr>
        <w:spacing w:after="200"/>
        <w:jc w:val="left"/>
        <w:rPr>
          <w:rFonts w:eastAsiaTheme="majorEastAsia" w:cs="Calibri"/>
          <w:b/>
          <w:bCs/>
          <w:color w:val="808080" w:themeColor="background1" w:themeShade="80"/>
          <w:sz w:val="28"/>
          <w:szCs w:val="28"/>
          <w:lang w:eastAsia="en-US"/>
        </w:rPr>
      </w:pPr>
    </w:p>
    <w:p w14:paraId="3DB9F59B" w14:textId="77777777" w:rsidR="00C7448A" w:rsidRDefault="00C7448A">
      <w:pPr>
        <w:spacing w:after="200"/>
        <w:jc w:val="left"/>
        <w:rPr>
          <w:rFonts w:eastAsiaTheme="majorEastAsia" w:cs="Calibri"/>
          <w:b/>
          <w:bCs/>
          <w:color w:val="808080" w:themeColor="background1" w:themeShade="80"/>
          <w:sz w:val="28"/>
          <w:szCs w:val="28"/>
          <w:lang w:eastAsia="en-US"/>
        </w:rPr>
      </w:pPr>
    </w:p>
    <w:p w14:paraId="5C6FF6D7" w14:textId="390260FA" w:rsidR="00C7448A" w:rsidRDefault="00C7448A" w:rsidP="00D945C8">
      <w:pPr>
        <w:pStyle w:val="Heading1"/>
        <w:jc w:val="center"/>
        <w:rPr>
          <w:rFonts w:cs="Calibri"/>
        </w:rPr>
      </w:pPr>
    </w:p>
    <w:p w14:paraId="2B4F1922" w14:textId="413262D8" w:rsidR="00D945C8" w:rsidRDefault="00D945C8" w:rsidP="00D945C8">
      <w:pPr>
        <w:rPr>
          <w:lang w:eastAsia="en-US"/>
        </w:rPr>
      </w:pPr>
    </w:p>
    <w:p w14:paraId="4506C45F" w14:textId="530C48A1" w:rsidR="00D945C8" w:rsidRDefault="00D945C8" w:rsidP="00D945C8">
      <w:pPr>
        <w:rPr>
          <w:lang w:eastAsia="en-US"/>
        </w:rPr>
      </w:pPr>
    </w:p>
    <w:p w14:paraId="194B2F84" w14:textId="44F63F2D" w:rsidR="00D945C8" w:rsidRDefault="00D945C8" w:rsidP="00D945C8">
      <w:pPr>
        <w:rPr>
          <w:lang w:eastAsia="en-US"/>
        </w:rPr>
      </w:pPr>
    </w:p>
    <w:p w14:paraId="35E285C1" w14:textId="44A3CCE1" w:rsidR="00D945C8" w:rsidRDefault="00D945C8" w:rsidP="00D945C8">
      <w:pPr>
        <w:rPr>
          <w:lang w:eastAsia="en-US"/>
        </w:rPr>
      </w:pPr>
    </w:p>
    <w:p w14:paraId="5AF7A88E" w14:textId="493643FB" w:rsidR="00D945C8" w:rsidRDefault="00D945C8" w:rsidP="00D945C8">
      <w:pPr>
        <w:rPr>
          <w:lang w:eastAsia="en-US"/>
        </w:rPr>
      </w:pPr>
    </w:p>
    <w:p w14:paraId="41DAD13F" w14:textId="4962CAE4" w:rsidR="00D945C8" w:rsidRDefault="00D945C8" w:rsidP="00D945C8">
      <w:pPr>
        <w:rPr>
          <w:lang w:eastAsia="en-US"/>
        </w:rPr>
      </w:pPr>
    </w:p>
    <w:p w14:paraId="6E0E62EB" w14:textId="2DF7CB3D" w:rsidR="00D945C8" w:rsidRDefault="00D945C8" w:rsidP="00D945C8">
      <w:pPr>
        <w:rPr>
          <w:lang w:eastAsia="en-US"/>
        </w:rPr>
      </w:pPr>
    </w:p>
    <w:p w14:paraId="163CBFD9" w14:textId="452F4B13" w:rsidR="00D945C8" w:rsidRDefault="00D945C8" w:rsidP="00D945C8">
      <w:pPr>
        <w:rPr>
          <w:lang w:eastAsia="en-US"/>
        </w:rPr>
      </w:pPr>
    </w:p>
    <w:p w14:paraId="44C8A7A6" w14:textId="77777777" w:rsidR="00D945C8" w:rsidRPr="00D945C8" w:rsidRDefault="00D945C8" w:rsidP="00D945C8">
      <w:pPr>
        <w:spacing w:after="200"/>
        <w:jc w:val="center"/>
        <w:rPr>
          <w:rFonts w:ascii="Corbel" w:eastAsia="Calibri" w:hAnsi="Corbel" w:cs="Times New Roman"/>
          <w:sz w:val="40"/>
          <w:szCs w:val="40"/>
          <w:lang w:eastAsia="en-US"/>
        </w:rPr>
      </w:pPr>
      <w:r w:rsidRPr="00D945C8">
        <w:rPr>
          <w:rFonts w:ascii="Corbel" w:eastAsia="Calibri" w:hAnsi="Corbel" w:cs="Times New Roman"/>
          <w:sz w:val="40"/>
          <w:szCs w:val="40"/>
          <w:lang w:eastAsia="en-US"/>
        </w:rPr>
        <w:t>PAGE INTENTIONALLY LEFT BLANK</w:t>
      </w:r>
    </w:p>
    <w:p w14:paraId="425FF1D1" w14:textId="77777777" w:rsidR="00D945C8" w:rsidRPr="00D945C8" w:rsidRDefault="00D945C8" w:rsidP="00D945C8">
      <w:pPr>
        <w:rPr>
          <w:lang w:eastAsia="en-US"/>
        </w:rPr>
        <w:sectPr w:rsidR="00D945C8" w:rsidRPr="00D945C8" w:rsidSect="00C7448A">
          <w:type w:val="oddPage"/>
          <w:pgSz w:w="12240" w:h="15840"/>
          <w:pgMar w:top="1440" w:right="1440" w:bottom="1440" w:left="1440" w:header="720" w:footer="720" w:gutter="0"/>
          <w:cols w:space="720"/>
          <w:docGrid w:linePitch="299"/>
        </w:sectPr>
      </w:pPr>
    </w:p>
    <w:p w14:paraId="7A3B8600" w14:textId="22100A83" w:rsidR="00077CD0" w:rsidRPr="00422B03" w:rsidRDefault="00100B1B" w:rsidP="006350C1">
      <w:pPr>
        <w:pStyle w:val="Heading1"/>
        <w:rPr>
          <w:rFonts w:cs="Calibri"/>
        </w:rPr>
      </w:pPr>
      <w:bookmarkStart w:id="390" w:name="_Toc464323641"/>
      <w:r w:rsidRPr="00422B03">
        <w:rPr>
          <w:rFonts w:cs="Calibri"/>
        </w:rPr>
        <w:t>Appendi</w:t>
      </w:r>
      <w:bookmarkEnd w:id="384"/>
      <w:bookmarkEnd w:id="385"/>
      <w:bookmarkEnd w:id="386"/>
      <w:r w:rsidRPr="00422B03">
        <w:rPr>
          <w:rFonts w:cs="Calibri"/>
        </w:rPr>
        <w:t>ces</w:t>
      </w:r>
      <w:bookmarkEnd w:id="387"/>
      <w:bookmarkEnd w:id="390"/>
    </w:p>
    <w:p w14:paraId="5890AF53" w14:textId="77777777" w:rsidR="00077CD0" w:rsidRPr="00422B03" w:rsidRDefault="00100B1B" w:rsidP="000C206E">
      <w:pPr>
        <w:pStyle w:val="Heading2"/>
        <w:rPr>
          <w:rFonts w:cs="Calibri"/>
        </w:rPr>
      </w:pPr>
      <w:bookmarkStart w:id="391" w:name="_Toc357084193"/>
      <w:bookmarkStart w:id="392" w:name="_Toc464323642"/>
      <w:r w:rsidRPr="00422B03">
        <w:rPr>
          <w:rFonts w:cs="Calibri"/>
        </w:rPr>
        <w:t>Appendix A: Table of Figures</w:t>
      </w:r>
      <w:bookmarkEnd w:id="391"/>
      <w:bookmarkEnd w:id="392"/>
    </w:p>
    <w:p w14:paraId="0FAF345E" w14:textId="7D9B7AEE" w:rsidR="008209A2" w:rsidRDefault="00C7448A">
      <w:pPr>
        <w:pStyle w:val="TableofFigures"/>
        <w:tabs>
          <w:tab w:val="right" w:leader="dot" w:pos="9350"/>
        </w:tabs>
        <w:rPr>
          <w:rFonts w:asciiTheme="minorHAnsi" w:eastAsiaTheme="minorEastAsia" w:hAnsiTheme="minorHAnsi"/>
          <w:noProof/>
          <w:szCs w:val="22"/>
          <w:lang w:eastAsia="en-US"/>
        </w:rPr>
      </w:pPr>
      <w:r>
        <w:rPr>
          <w:rFonts w:cs="Calibri"/>
          <w:highlight w:val="yellow"/>
        </w:rPr>
        <w:fldChar w:fldCharType="begin"/>
      </w:r>
      <w:r>
        <w:rPr>
          <w:rFonts w:cs="Calibri"/>
          <w:highlight w:val="yellow"/>
        </w:rPr>
        <w:instrText xml:space="preserve"> TOC \h \z \c "Figure" </w:instrText>
      </w:r>
      <w:r>
        <w:rPr>
          <w:rFonts w:cs="Calibri"/>
          <w:highlight w:val="yellow"/>
        </w:rPr>
        <w:fldChar w:fldCharType="separate"/>
      </w:r>
      <w:hyperlink w:anchor="_Toc464323643" w:history="1">
        <w:r w:rsidR="008209A2" w:rsidRPr="007C5BB6">
          <w:rPr>
            <w:rStyle w:val="Hyperlink"/>
            <w:noProof/>
          </w:rPr>
          <w:t>Figure 1: Service Area Map</w:t>
        </w:r>
        <w:r w:rsidR="008209A2">
          <w:rPr>
            <w:noProof/>
            <w:webHidden/>
          </w:rPr>
          <w:tab/>
        </w:r>
        <w:r w:rsidR="008209A2">
          <w:rPr>
            <w:noProof/>
            <w:webHidden/>
          </w:rPr>
          <w:fldChar w:fldCharType="begin"/>
        </w:r>
        <w:r w:rsidR="008209A2">
          <w:rPr>
            <w:noProof/>
            <w:webHidden/>
          </w:rPr>
          <w:instrText xml:space="preserve"> PAGEREF _Toc464323643 \h </w:instrText>
        </w:r>
        <w:r w:rsidR="008209A2">
          <w:rPr>
            <w:noProof/>
            <w:webHidden/>
          </w:rPr>
        </w:r>
        <w:r w:rsidR="008209A2">
          <w:rPr>
            <w:noProof/>
            <w:webHidden/>
          </w:rPr>
          <w:fldChar w:fldCharType="separate"/>
        </w:r>
        <w:r w:rsidR="008209A2">
          <w:rPr>
            <w:noProof/>
            <w:webHidden/>
          </w:rPr>
          <w:t>24</w:t>
        </w:r>
        <w:r w:rsidR="008209A2">
          <w:rPr>
            <w:noProof/>
            <w:webHidden/>
          </w:rPr>
          <w:fldChar w:fldCharType="end"/>
        </w:r>
      </w:hyperlink>
    </w:p>
    <w:p w14:paraId="4F78B81D" w14:textId="55FBC992"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644" w:history="1">
        <w:r w:rsidR="008209A2" w:rsidRPr="007C5BB6">
          <w:rPr>
            <w:rStyle w:val="Hyperlink"/>
            <w:noProof/>
          </w:rPr>
          <w:t>Figure 2: Organizational Chart</w:t>
        </w:r>
        <w:r w:rsidR="008209A2">
          <w:rPr>
            <w:noProof/>
            <w:webHidden/>
          </w:rPr>
          <w:tab/>
        </w:r>
        <w:r w:rsidR="008209A2">
          <w:rPr>
            <w:noProof/>
            <w:webHidden/>
          </w:rPr>
          <w:fldChar w:fldCharType="begin"/>
        </w:r>
        <w:r w:rsidR="008209A2">
          <w:rPr>
            <w:noProof/>
            <w:webHidden/>
          </w:rPr>
          <w:instrText xml:space="preserve"> PAGEREF _Toc464323644 \h </w:instrText>
        </w:r>
        <w:r w:rsidR="008209A2">
          <w:rPr>
            <w:noProof/>
            <w:webHidden/>
          </w:rPr>
        </w:r>
        <w:r w:rsidR="008209A2">
          <w:rPr>
            <w:noProof/>
            <w:webHidden/>
          </w:rPr>
          <w:fldChar w:fldCharType="separate"/>
        </w:r>
        <w:r w:rsidR="008209A2">
          <w:rPr>
            <w:noProof/>
            <w:webHidden/>
          </w:rPr>
          <w:t>25</w:t>
        </w:r>
        <w:r w:rsidR="008209A2">
          <w:rPr>
            <w:noProof/>
            <w:webHidden/>
          </w:rPr>
          <w:fldChar w:fldCharType="end"/>
        </w:r>
      </w:hyperlink>
    </w:p>
    <w:p w14:paraId="653C12B0" w14:textId="1613D6E5"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645" w:history="1">
        <w:r w:rsidR="008209A2" w:rsidRPr="007C5BB6">
          <w:rPr>
            <w:rStyle w:val="Hyperlink"/>
            <w:noProof/>
          </w:rPr>
          <w:t>Figure 3: Total Incidents per 1,000 Population, 2015</w:t>
        </w:r>
        <w:r w:rsidR="008209A2">
          <w:rPr>
            <w:noProof/>
            <w:webHidden/>
          </w:rPr>
          <w:tab/>
        </w:r>
        <w:r w:rsidR="008209A2">
          <w:rPr>
            <w:noProof/>
            <w:webHidden/>
          </w:rPr>
          <w:fldChar w:fldCharType="begin"/>
        </w:r>
        <w:r w:rsidR="008209A2">
          <w:rPr>
            <w:noProof/>
            <w:webHidden/>
          </w:rPr>
          <w:instrText xml:space="preserve"> PAGEREF _Toc464323645 \h </w:instrText>
        </w:r>
        <w:r w:rsidR="008209A2">
          <w:rPr>
            <w:noProof/>
            <w:webHidden/>
          </w:rPr>
        </w:r>
        <w:r w:rsidR="008209A2">
          <w:rPr>
            <w:noProof/>
            <w:webHidden/>
          </w:rPr>
          <w:fldChar w:fldCharType="separate"/>
        </w:r>
        <w:r w:rsidR="008209A2">
          <w:rPr>
            <w:noProof/>
            <w:webHidden/>
          </w:rPr>
          <w:t>27</w:t>
        </w:r>
        <w:r w:rsidR="008209A2">
          <w:rPr>
            <w:noProof/>
            <w:webHidden/>
          </w:rPr>
          <w:fldChar w:fldCharType="end"/>
        </w:r>
      </w:hyperlink>
    </w:p>
    <w:p w14:paraId="4CA5E831" w14:textId="7B4BEE1E"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646" w:history="1">
        <w:r w:rsidR="008209A2" w:rsidRPr="007C5BB6">
          <w:rPr>
            <w:rStyle w:val="Hyperlink"/>
            <w:noProof/>
          </w:rPr>
          <w:t>Figure 4: Fires per 1,000 Population, 2015</w:t>
        </w:r>
        <w:r w:rsidR="008209A2">
          <w:rPr>
            <w:noProof/>
            <w:webHidden/>
          </w:rPr>
          <w:tab/>
        </w:r>
        <w:r w:rsidR="008209A2">
          <w:rPr>
            <w:noProof/>
            <w:webHidden/>
          </w:rPr>
          <w:fldChar w:fldCharType="begin"/>
        </w:r>
        <w:r w:rsidR="008209A2">
          <w:rPr>
            <w:noProof/>
            <w:webHidden/>
          </w:rPr>
          <w:instrText xml:space="preserve"> PAGEREF _Toc464323646 \h </w:instrText>
        </w:r>
        <w:r w:rsidR="008209A2">
          <w:rPr>
            <w:noProof/>
            <w:webHidden/>
          </w:rPr>
        </w:r>
        <w:r w:rsidR="008209A2">
          <w:rPr>
            <w:noProof/>
            <w:webHidden/>
          </w:rPr>
          <w:fldChar w:fldCharType="separate"/>
        </w:r>
        <w:r w:rsidR="008209A2">
          <w:rPr>
            <w:noProof/>
            <w:webHidden/>
          </w:rPr>
          <w:t>28</w:t>
        </w:r>
        <w:r w:rsidR="008209A2">
          <w:rPr>
            <w:noProof/>
            <w:webHidden/>
          </w:rPr>
          <w:fldChar w:fldCharType="end"/>
        </w:r>
      </w:hyperlink>
    </w:p>
    <w:p w14:paraId="13C97C1E" w14:textId="3233DAFF"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647" w:history="1">
        <w:r w:rsidR="008209A2" w:rsidRPr="007C5BB6">
          <w:rPr>
            <w:rStyle w:val="Hyperlink"/>
            <w:noProof/>
          </w:rPr>
          <w:t>Figure 5:Fire Loss per Capita, 2015</w:t>
        </w:r>
        <w:r w:rsidR="008209A2">
          <w:rPr>
            <w:noProof/>
            <w:webHidden/>
          </w:rPr>
          <w:tab/>
        </w:r>
        <w:r w:rsidR="008209A2">
          <w:rPr>
            <w:noProof/>
            <w:webHidden/>
          </w:rPr>
          <w:fldChar w:fldCharType="begin"/>
        </w:r>
        <w:r w:rsidR="008209A2">
          <w:rPr>
            <w:noProof/>
            <w:webHidden/>
          </w:rPr>
          <w:instrText xml:space="preserve"> PAGEREF _Toc464323647 \h </w:instrText>
        </w:r>
        <w:r w:rsidR="008209A2">
          <w:rPr>
            <w:noProof/>
            <w:webHidden/>
          </w:rPr>
        </w:r>
        <w:r w:rsidR="008209A2">
          <w:rPr>
            <w:noProof/>
            <w:webHidden/>
          </w:rPr>
          <w:fldChar w:fldCharType="separate"/>
        </w:r>
        <w:r w:rsidR="008209A2">
          <w:rPr>
            <w:noProof/>
            <w:webHidden/>
          </w:rPr>
          <w:t>29</w:t>
        </w:r>
        <w:r w:rsidR="008209A2">
          <w:rPr>
            <w:noProof/>
            <w:webHidden/>
          </w:rPr>
          <w:fldChar w:fldCharType="end"/>
        </w:r>
      </w:hyperlink>
    </w:p>
    <w:p w14:paraId="33AB35FC" w14:textId="0FB4A1D5"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648" w:history="1">
        <w:r w:rsidR="008209A2" w:rsidRPr="007C5BB6">
          <w:rPr>
            <w:rStyle w:val="Hyperlink"/>
            <w:noProof/>
          </w:rPr>
          <w:t>Figure 6: Critical Issues</w:t>
        </w:r>
        <w:r w:rsidR="008209A2">
          <w:rPr>
            <w:noProof/>
            <w:webHidden/>
          </w:rPr>
          <w:tab/>
        </w:r>
        <w:r w:rsidR="008209A2">
          <w:rPr>
            <w:noProof/>
            <w:webHidden/>
          </w:rPr>
          <w:fldChar w:fldCharType="begin"/>
        </w:r>
        <w:r w:rsidR="008209A2">
          <w:rPr>
            <w:noProof/>
            <w:webHidden/>
          </w:rPr>
          <w:instrText xml:space="preserve"> PAGEREF _Toc464323648 \h </w:instrText>
        </w:r>
        <w:r w:rsidR="008209A2">
          <w:rPr>
            <w:noProof/>
            <w:webHidden/>
          </w:rPr>
        </w:r>
        <w:r w:rsidR="008209A2">
          <w:rPr>
            <w:noProof/>
            <w:webHidden/>
          </w:rPr>
          <w:fldChar w:fldCharType="separate"/>
        </w:r>
        <w:r w:rsidR="008209A2">
          <w:rPr>
            <w:noProof/>
            <w:webHidden/>
          </w:rPr>
          <w:t>31</w:t>
        </w:r>
        <w:r w:rsidR="008209A2">
          <w:rPr>
            <w:noProof/>
            <w:webHidden/>
          </w:rPr>
          <w:fldChar w:fldCharType="end"/>
        </w:r>
      </w:hyperlink>
    </w:p>
    <w:p w14:paraId="4A42C908" w14:textId="6E37F07C"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649" w:history="1">
        <w:r w:rsidR="008209A2" w:rsidRPr="007C5BB6">
          <w:rPr>
            <w:rStyle w:val="Hyperlink"/>
            <w:noProof/>
          </w:rPr>
          <w:t>Figure 7: Tri-Cities Employment, Available Labor Force and Unemployment Rate, 2006-2015</w:t>
        </w:r>
        <w:r w:rsidR="008209A2">
          <w:rPr>
            <w:noProof/>
            <w:webHidden/>
          </w:rPr>
          <w:tab/>
        </w:r>
        <w:r w:rsidR="008209A2">
          <w:rPr>
            <w:noProof/>
            <w:webHidden/>
          </w:rPr>
          <w:fldChar w:fldCharType="begin"/>
        </w:r>
        <w:r w:rsidR="008209A2">
          <w:rPr>
            <w:noProof/>
            <w:webHidden/>
          </w:rPr>
          <w:instrText xml:space="preserve"> PAGEREF _Toc464323649 \h </w:instrText>
        </w:r>
        <w:r w:rsidR="008209A2">
          <w:rPr>
            <w:noProof/>
            <w:webHidden/>
          </w:rPr>
        </w:r>
        <w:r w:rsidR="008209A2">
          <w:rPr>
            <w:noProof/>
            <w:webHidden/>
          </w:rPr>
          <w:fldChar w:fldCharType="separate"/>
        </w:r>
        <w:r w:rsidR="008209A2">
          <w:rPr>
            <w:noProof/>
            <w:webHidden/>
          </w:rPr>
          <w:t>34</w:t>
        </w:r>
        <w:r w:rsidR="008209A2">
          <w:rPr>
            <w:noProof/>
            <w:webHidden/>
          </w:rPr>
          <w:fldChar w:fldCharType="end"/>
        </w:r>
      </w:hyperlink>
    </w:p>
    <w:p w14:paraId="7F27127E" w14:textId="09FF2085"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650" w:history="1">
        <w:r w:rsidR="008209A2" w:rsidRPr="007C5BB6">
          <w:rPr>
            <w:rStyle w:val="Hyperlink"/>
            <w:noProof/>
          </w:rPr>
          <w:t>Figure 8: Comparison of State of Washington and Kennewick-Pasco-Richland MSA Unemployment Rates, 2006-2015</w:t>
        </w:r>
        <w:r w:rsidR="008209A2">
          <w:rPr>
            <w:noProof/>
            <w:webHidden/>
          </w:rPr>
          <w:tab/>
        </w:r>
        <w:r w:rsidR="008209A2">
          <w:rPr>
            <w:noProof/>
            <w:webHidden/>
          </w:rPr>
          <w:fldChar w:fldCharType="begin"/>
        </w:r>
        <w:r w:rsidR="008209A2">
          <w:rPr>
            <w:noProof/>
            <w:webHidden/>
          </w:rPr>
          <w:instrText xml:space="preserve"> PAGEREF _Toc464323650 \h </w:instrText>
        </w:r>
        <w:r w:rsidR="008209A2">
          <w:rPr>
            <w:noProof/>
            <w:webHidden/>
          </w:rPr>
        </w:r>
        <w:r w:rsidR="008209A2">
          <w:rPr>
            <w:noProof/>
            <w:webHidden/>
          </w:rPr>
          <w:fldChar w:fldCharType="separate"/>
        </w:r>
        <w:r w:rsidR="008209A2">
          <w:rPr>
            <w:noProof/>
            <w:webHidden/>
          </w:rPr>
          <w:t>35</w:t>
        </w:r>
        <w:r w:rsidR="008209A2">
          <w:rPr>
            <w:noProof/>
            <w:webHidden/>
          </w:rPr>
          <w:fldChar w:fldCharType="end"/>
        </w:r>
      </w:hyperlink>
    </w:p>
    <w:p w14:paraId="18FD5CC5" w14:textId="4ACFDFCA"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651" w:history="1">
        <w:r w:rsidR="008209A2" w:rsidRPr="007C5BB6">
          <w:rPr>
            <w:rStyle w:val="Hyperlink"/>
            <w:noProof/>
          </w:rPr>
          <w:t>Figure 9: Comparison of Per Capita Income (Inflation Adjusted 2013 Dollars) United States and Washington, 2005-2014</w:t>
        </w:r>
        <w:r w:rsidR="008209A2">
          <w:rPr>
            <w:noProof/>
            <w:webHidden/>
          </w:rPr>
          <w:tab/>
        </w:r>
        <w:r w:rsidR="008209A2">
          <w:rPr>
            <w:noProof/>
            <w:webHidden/>
          </w:rPr>
          <w:fldChar w:fldCharType="begin"/>
        </w:r>
        <w:r w:rsidR="008209A2">
          <w:rPr>
            <w:noProof/>
            <w:webHidden/>
          </w:rPr>
          <w:instrText xml:space="preserve"> PAGEREF _Toc464323651 \h </w:instrText>
        </w:r>
        <w:r w:rsidR="008209A2">
          <w:rPr>
            <w:noProof/>
            <w:webHidden/>
          </w:rPr>
        </w:r>
        <w:r w:rsidR="008209A2">
          <w:rPr>
            <w:noProof/>
            <w:webHidden/>
          </w:rPr>
          <w:fldChar w:fldCharType="separate"/>
        </w:r>
        <w:r w:rsidR="008209A2">
          <w:rPr>
            <w:noProof/>
            <w:webHidden/>
          </w:rPr>
          <w:t>36</w:t>
        </w:r>
        <w:r w:rsidR="008209A2">
          <w:rPr>
            <w:noProof/>
            <w:webHidden/>
          </w:rPr>
          <w:fldChar w:fldCharType="end"/>
        </w:r>
      </w:hyperlink>
    </w:p>
    <w:p w14:paraId="4ADCA1BF" w14:textId="3D37D903"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652" w:history="1">
        <w:r w:rsidR="008209A2" w:rsidRPr="007C5BB6">
          <w:rPr>
            <w:rStyle w:val="Hyperlink"/>
            <w:noProof/>
          </w:rPr>
          <w:t>Figure 10: Median Annual Household Income, Washington State and Franklin County, 2005 to 2014</w:t>
        </w:r>
        <w:r w:rsidR="008209A2">
          <w:rPr>
            <w:noProof/>
            <w:webHidden/>
          </w:rPr>
          <w:tab/>
        </w:r>
        <w:r w:rsidR="008209A2">
          <w:rPr>
            <w:noProof/>
            <w:webHidden/>
          </w:rPr>
          <w:fldChar w:fldCharType="begin"/>
        </w:r>
        <w:r w:rsidR="008209A2">
          <w:rPr>
            <w:noProof/>
            <w:webHidden/>
          </w:rPr>
          <w:instrText xml:space="preserve"> PAGEREF _Toc464323652 \h </w:instrText>
        </w:r>
        <w:r w:rsidR="008209A2">
          <w:rPr>
            <w:noProof/>
            <w:webHidden/>
          </w:rPr>
        </w:r>
        <w:r w:rsidR="008209A2">
          <w:rPr>
            <w:noProof/>
            <w:webHidden/>
          </w:rPr>
          <w:fldChar w:fldCharType="separate"/>
        </w:r>
        <w:r w:rsidR="008209A2">
          <w:rPr>
            <w:noProof/>
            <w:webHidden/>
          </w:rPr>
          <w:t>37</w:t>
        </w:r>
        <w:r w:rsidR="008209A2">
          <w:rPr>
            <w:noProof/>
            <w:webHidden/>
          </w:rPr>
          <w:fldChar w:fldCharType="end"/>
        </w:r>
      </w:hyperlink>
    </w:p>
    <w:p w14:paraId="0D35EE5D" w14:textId="5C8B5255"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653" w:history="1">
        <w:r w:rsidR="008209A2" w:rsidRPr="007C5BB6">
          <w:rPr>
            <w:rStyle w:val="Hyperlink"/>
            <w:noProof/>
          </w:rPr>
          <w:t>Figure 11: Median Home Sales Price in Washington State, 2000 to 2014</w:t>
        </w:r>
        <w:r w:rsidR="008209A2">
          <w:rPr>
            <w:noProof/>
            <w:webHidden/>
          </w:rPr>
          <w:tab/>
        </w:r>
        <w:r w:rsidR="008209A2">
          <w:rPr>
            <w:noProof/>
            <w:webHidden/>
          </w:rPr>
          <w:fldChar w:fldCharType="begin"/>
        </w:r>
        <w:r w:rsidR="008209A2">
          <w:rPr>
            <w:noProof/>
            <w:webHidden/>
          </w:rPr>
          <w:instrText xml:space="preserve"> PAGEREF _Toc464323653 \h </w:instrText>
        </w:r>
        <w:r w:rsidR="008209A2">
          <w:rPr>
            <w:noProof/>
            <w:webHidden/>
          </w:rPr>
        </w:r>
        <w:r w:rsidR="008209A2">
          <w:rPr>
            <w:noProof/>
            <w:webHidden/>
          </w:rPr>
          <w:fldChar w:fldCharType="separate"/>
        </w:r>
        <w:r w:rsidR="008209A2">
          <w:rPr>
            <w:noProof/>
            <w:webHidden/>
          </w:rPr>
          <w:t>38</w:t>
        </w:r>
        <w:r w:rsidR="008209A2">
          <w:rPr>
            <w:noProof/>
            <w:webHidden/>
          </w:rPr>
          <w:fldChar w:fldCharType="end"/>
        </w:r>
      </w:hyperlink>
    </w:p>
    <w:p w14:paraId="69060E52" w14:textId="2AF19333"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654" w:history="1">
        <w:r w:rsidR="008209A2" w:rsidRPr="007C5BB6">
          <w:rPr>
            <w:rStyle w:val="Hyperlink"/>
            <w:noProof/>
          </w:rPr>
          <w:t>Figure 12: Median Home Sales Price and Sales Volume (Seasonally Adjusted First Quarter Sales) in Washington State and Franklin County, 2008 to 2016</w:t>
        </w:r>
        <w:r w:rsidR="008209A2">
          <w:rPr>
            <w:noProof/>
            <w:webHidden/>
          </w:rPr>
          <w:tab/>
        </w:r>
        <w:r w:rsidR="008209A2">
          <w:rPr>
            <w:noProof/>
            <w:webHidden/>
          </w:rPr>
          <w:fldChar w:fldCharType="begin"/>
        </w:r>
        <w:r w:rsidR="008209A2">
          <w:rPr>
            <w:noProof/>
            <w:webHidden/>
          </w:rPr>
          <w:instrText xml:space="preserve"> PAGEREF _Toc464323654 \h </w:instrText>
        </w:r>
        <w:r w:rsidR="008209A2">
          <w:rPr>
            <w:noProof/>
            <w:webHidden/>
          </w:rPr>
        </w:r>
        <w:r w:rsidR="008209A2">
          <w:rPr>
            <w:noProof/>
            <w:webHidden/>
          </w:rPr>
          <w:fldChar w:fldCharType="separate"/>
        </w:r>
        <w:r w:rsidR="008209A2">
          <w:rPr>
            <w:noProof/>
            <w:webHidden/>
          </w:rPr>
          <w:t>39</w:t>
        </w:r>
        <w:r w:rsidR="008209A2">
          <w:rPr>
            <w:noProof/>
            <w:webHidden/>
          </w:rPr>
          <w:fldChar w:fldCharType="end"/>
        </w:r>
      </w:hyperlink>
    </w:p>
    <w:p w14:paraId="286043E5" w14:textId="7B930478"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655" w:history="1">
        <w:r w:rsidR="008209A2" w:rsidRPr="007C5BB6">
          <w:rPr>
            <w:rStyle w:val="Hyperlink"/>
            <w:noProof/>
          </w:rPr>
          <w:t>Figure 13: Single Family Residential Permits and Total Value and Commercial/Industrial Permits Issued by Pasco Building Permits &amp; Inspection Services, 2005-2014</w:t>
        </w:r>
        <w:r w:rsidR="008209A2">
          <w:rPr>
            <w:noProof/>
            <w:webHidden/>
          </w:rPr>
          <w:tab/>
        </w:r>
        <w:r w:rsidR="008209A2">
          <w:rPr>
            <w:noProof/>
            <w:webHidden/>
          </w:rPr>
          <w:fldChar w:fldCharType="begin"/>
        </w:r>
        <w:r w:rsidR="008209A2">
          <w:rPr>
            <w:noProof/>
            <w:webHidden/>
          </w:rPr>
          <w:instrText xml:space="preserve"> PAGEREF _Toc464323655 \h </w:instrText>
        </w:r>
        <w:r w:rsidR="008209A2">
          <w:rPr>
            <w:noProof/>
            <w:webHidden/>
          </w:rPr>
        </w:r>
        <w:r w:rsidR="008209A2">
          <w:rPr>
            <w:noProof/>
            <w:webHidden/>
          </w:rPr>
          <w:fldChar w:fldCharType="separate"/>
        </w:r>
        <w:r w:rsidR="008209A2">
          <w:rPr>
            <w:noProof/>
            <w:webHidden/>
          </w:rPr>
          <w:t>40</w:t>
        </w:r>
        <w:r w:rsidR="008209A2">
          <w:rPr>
            <w:noProof/>
            <w:webHidden/>
          </w:rPr>
          <w:fldChar w:fldCharType="end"/>
        </w:r>
      </w:hyperlink>
    </w:p>
    <w:p w14:paraId="10197572" w14:textId="32B24DD9"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656" w:history="1">
        <w:r w:rsidR="008209A2" w:rsidRPr="007C5BB6">
          <w:rPr>
            <w:rStyle w:val="Hyperlink"/>
            <w:noProof/>
          </w:rPr>
          <w:t>Figure 14: State of Washington, Franklin County and City of Pasco Historical Population, 2005-2015</w:t>
        </w:r>
        <w:r w:rsidR="008209A2">
          <w:rPr>
            <w:noProof/>
            <w:webHidden/>
          </w:rPr>
          <w:tab/>
        </w:r>
        <w:r w:rsidR="008209A2">
          <w:rPr>
            <w:noProof/>
            <w:webHidden/>
          </w:rPr>
          <w:fldChar w:fldCharType="begin"/>
        </w:r>
        <w:r w:rsidR="008209A2">
          <w:rPr>
            <w:noProof/>
            <w:webHidden/>
          </w:rPr>
          <w:instrText xml:space="preserve"> PAGEREF _Toc464323656 \h </w:instrText>
        </w:r>
        <w:r w:rsidR="008209A2">
          <w:rPr>
            <w:noProof/>
            <w:webHidden/>
          </w:rPr>
        </w:r>
        <w:r w:rsidR="008209A2">
          <w:rPr>
            <w:noProof/>
            <w:webHidden/>
          </w:rPr>
          <w:fldChar w:fldCharType="separate"/>
        </w:r>
        <w:r w:rsidR="008209A2">
          <w:rPr>
            <w:noProof/>
            <w:webHidden/>
          </w:rPr>
          <w:t>41</w:t>
        </w:r>
        <w:r w:rsidR="008209A2">
          <w:rPr>
            <w:noProof/>
            <w:webHidden/>
          </w:rPr>
          <w:fldChar w:fldCharType="end"/>
        </w:r>
      </w:hyperlink>
    </w:p>
    <w:p w14:paraId="3BBB544E" w14:textId="362D1158"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657" w:history="1">
        <w:r w:rsidR="008209A2" w:rsidRPr="007C5BB6">
          <w:rPr>
            <w:rStyle w:val="Hyperlink"/>
            <w:noProof/>
          </w:rPr>
          <w:t>Figure 15: High, Medium, and Low Population Projections for Franklin County through 2030</w:t>
        </w:r>
        <w:r w:rsidR="008209A2">
          <w:rPr>
            <w:noProof/>
            <w:webHidden/>
          </w:rPr>
          <w:tab/>
        </w:r>
        <w:r w:rsidR="008209A2">
          <w:rPr>
            <w:noProof/>
            <w:webHidden/>
          </w:rPr>
          <w:fldChar w:fldCharType="begin"/>
        </w:r>
        <w:r w:rsidR="008209A2">
          <w:rPr>
            <w:noProof/>
            <w:webHidden/>
          </w:rPr>
          <w:instrText xml:space="preserve"> PAGEREF _Toc464323657 \h </w:instrText>
        </w:r>
        <w:r w:rsidR="008209A2">
          <w:rPr>
            <w:noProof/>
            <w:webHidden/>
          </w:rPr>
        </w:r>
        <w:r w:rsidR="008209A2">
          <w:rPr>
            <w:noProof/>
            <w:webHidden/>
          </w:rPr>
          <w:fldChar w:fldCharType="separate"/>
        </w:r>
        <w:r w:rsidR="008209A2">
          <w:rPr>
            <w:noProof/>
            <w:webHidden/>
          </w:rPr>
          <w:t>42</w:t>
        </w:r>
        <w:r w:rsidR="008209A2">
          <w:rPr>
            <w:noProof/>
            <w:webHidden/>
          </w:rPr>
          <w:fldChar w:fldCharType="end"/>
        </w:r>
      </w:hyperlink>
    </w:p>
    <w:p w14:paraId="1C9E0F87" w14:textId="33CB42F3"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658" w:history="1">
        <w:r w:rsidR="008209A2" w:rsidRPr="007C5BB6">
          <w:rPr>
            <w:rStyle w:val="Hyperlink"/>
            <w:noProof/>
          </w:rPr>
          <w:t>Figure 16: Washington State Selected Historical and Projected Population by Age Group, 2005-2030</w:t>
        </w:r>
        <w:r w:rsidR="008209A2">
          <w:rPr>
            <w:noProof/>
            <w:webHidden/>
          </w:rPr>
          <w:tab/>
        </w:r>
        <w:r w:rsidR="008209A2">
          <w:rPr>
            <w:noProof/>
            <w:webHidden/>
          </w:rPr>
          <w:fldChar w:fldCharType="begin"/>
        </w:r>
        <w:r w:rsidR="008209A2">
          <w:rPr>
            <w:noProof/>
            <w:webHidden/>
          </w:rPr>
          <w:instrText xml:space="preserve"> PAGEREF _Toc464323658 \h </w:instrText>
        </w:r>
        <w:r w:rsidR="008209A2">
          <w:rPr>
            <w:noProof/>
            <w:webHidden/>
          </w:rPr>
        </w:r>
        <w:r w:rsidR="008209A2">
          <w:rPr>
            <w:noProof/>
            <w:webHidden/>
          </w:rPr>
          <w:fldChar w:fldCharType="separate"/>
        </w:r>
        <w:r w:rsidR="008209A2">
          <w:rPr>
            <w:noProof/>
            <w:webHidden/>
          </w:rPr>
          <w:t>42</w:t>
        </w:r>
        <w:r w:rsidR="008209A2">
          <w:rPr>
            <w:noProof/>
            <w:webHidden/>
          </w:rPr>
          <w:fldChar w:fldCharType="end"/>
        </w:r>
      </w:hyperlink>
    </w:p>
    <w:p w14:paraId="76C663B0" w14:textId="08769116"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659" w:history="1">
        <w:r w:rsidR="008209A2" w:rsidRPr="007C5BB6">
          <w:rPr>
            <w:rStyle w:val="Hyperlink"/>
            <w:noProof/>
          </w:rPr>
          <w:t>Figure 17: Inflation Trends: Urban CPI-U West Coast Class B/C Cities, 2000-2015</w:t>
        </w:r>
        <w:r w:rsidR="008209A2">
          <w:rPr>
            <w:noProof/>
            <w:webHidden/>
          </w:rPr>
          <w:tab/>
        </w:r>
        <w:r w:rsidR="008209A2">
          <w:rPr>
            <w:noProof/>
            <w:webHidden/>
          </w:rPr>
          <w:fldChar w:fldCharType="begin"/>
        </w:r>
        <w:r w:rsidR="008209A2">
          <w:rPr>
            <w:noProof/>
            <w:webHidden/>
          </w:rPr>
          <w:instrText xml:space="preserve"> PAGEREF _Toc464323659 \h </w:instrText>
        </w:r>
        <w:r w:rsidR="008209A2">
          <w:rPr>
            <w:noProof/>
            <w:webHidden/>
          </w:rPr>
        </w:r>
        <w:r w:rsidR="008209A2">
          <w:rPr>
            <w:noProof/>
            <w:webHidden/>
          </w:rPr>
          <w:fldChar w:fldCharType="separate"/>
        </w:r>
        <w:r w:rsidR="008209A2">
          <w:rPr>
            <w:noProof/>
            <w:webHidden/>
          </w:rPr>
          <w:t>43</w:t>
        </w:r>
        <w:r w:rsidR="008209A2">
          <w:rPr>
            <w:noProof/>
            <w:webHidden/>
          </w:rPr>
          <w:fldChar w:fldCharType="end"/>
        </w:r>
      </w:hyperlink>
    </w:p>
    <w:p w14:paraId="33EB593D" w14:textId="59D913E6"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660" w:history="1">
        <w:r w:rsidR="008209A2" w:rsidRPr="007C5BB6">
          <w:rPr>
            <w:rStyle w:val="Hyperlink"/>
            <w:noProof/>
          </w:rPr>
          <w:t>Figure 18: Franklin County and City of Pasco Taxable Retail Sales Trends, 2005-2014</w:t>
        </w:r>
        <w:r w:rsidR="008209A2">
          <w:rPr>
            <w:noProof/>
            <w:webHidden/>
          </w:rPr>
          <w:tab/>
        </w:r>
        <w:r w:rsidR="008209A2">
          <w:rPr>
            <w:noProof/>
            <w:webHidden/>
          </w:rPr>
          <w:fldChar w:fldCharType="begin"/>
        </w:r>
        <w:r w:rsidR="008209A2">
          <w:rPr>
            <w:noProof/>
            <w:webHidden/>
          </w:rPr>
          <w:instrText xml:space="preserve"> PAGEREF _Toc464323660 \h </w:instrText>
        </w:r>
        <w:r w:rsidR="008209A2">
          <w:rPr>
            <w:noProof/>
            <w:webHidden/>
          </w:rPr>
        </w:r>
        <w:r w:rsidR="008209A2">
          <w:rPr>
            <w:noProof/>
            <w:webHidden/>
          </w:rPr>
          <w:fldChar w:fldCharType="separate"/>
        </w:r>
        <w:r w:rsidR="008209A2">
          <w:rPr>
            <w:noProof/>
            <w:webHidden/>
          </w:rPr>
          <w:t>44</w:t>
        </w:r>
        <w:r w:rsidR="008209A2">
          <w:rPr>
            <w:noProof/>
            <w:webHidden/>
          </w:rPr>
          <w:fldChar w:fldCharType="end"/>
        </w:r>
      </w:hyperlink>
    </w:p>
    <w:p w14:paraId="66CB4E34" w14:textId="1E209325"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661" w:history="1">
        <w:r w:rsidR="008209A2" w:rsidRPr="007C5BB6">
          <w:rPr>
            <w:rStyle w:val="Hyperlink"/>
            <w:noProof/>
          </w:rPr>
          <w:t>Figure 19: Pasco Local Sales and Use Tax Distribution by Major Function, 2005-2015</w:t>
        </w:r>
        <w:r w:rsidR="008209A2">
          <w:rPr>
            <w:noProof/>
            <w:webHidden/>
          </w:rPr>
          <w:tab/>
        </w:r>
        <w:r w:rsidR="008209A2">
          <w:rPr>
            <w:noProof/>
            <w:webHidden/>
          </w:rPr>
          <w:fldChar w:fldCharType="begin"/>
        </w:r>
        <w:r w:rsidR="008209A2">
          <w:rPr>
            <w:noProof/>
            <w:webHidden/>
          </w:rPr>
          <w:instrText xml:space="preserve"> PAGEREF _Toc464323661 \h </w:instrText>
        </w:r>
        <w:r w:rsidR="008209A2">
          <w:rPr>
            <w:noProof/>
            <w:webHidden/>
          </w:rPr>
        </w:r>
        <w:r w:rsidR="008209A2">
          <w:rPr>
            <w:noProof/>
            <w:webHidden/>
          </w:rPr>
          <w:fldChar w:fldCharType="separate"/>
        </w:r>
        <w:r w:rsidR="008209A2">
          <w:rPr>
            <w:noProof/>
            <w:webHidden/>
          </w:rPr>
          <w:t>45</w:t>
        </w:r>
        <w:r w:rsidR="008209A2">
          <w:rPr>
            <w:noProof/>
            <w:webHidden/>
          </w:rPr>
          <w:fldChar w:fldCharType="end"/>
        </w:r>
      </w:hyperlink>
    </w:p>
    <w:p w14:paraId="208400F3" w14:textId="76115C4D"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662" w:history="1">
        <w:r w:rsidR="008209A2" w:rsidRPr="007C5BB6">
          <w:rPr>
            <w:rStyle w:val="Hyperlink"/>
            <w:noProof/>
          </w:rPr>
          <w:t>Figure 20: City of Pasco Residential, Commercial, and Other Property Values, 2005-2014</w:t>
        </w:r>
        <w:r w:rsidR="008209A2">
          <w:rPr>
            <w:noProof/>
            <w:webHidden/>
          </w:rPr>
          <w:tab/>
        </w:r>
        <w:r w:rsidR="008209A2">
          <w:rPr>
            <w:noProof/>
            <w:webHidden/>
          </w:rPr>
          <w:fldChar w:fldCharType="begin"/>
        </w:r>
        <w:r w:rsidR="008209A2">
          <w:rPr>
            <w:noProof/>
            <w:webHidden/>
          </w:rPr>
          <w:instrText xml:space="preserve"> PAGEREF _Toc464323662 \h </w:instrText>
        </w:r>
        <w:r w:rsidR="008209A2">
          <w:rPr>
            <w:noProof/>
            <w:webHidden/>
          </w:rPr>
        </w:r>
        <w:r w:rsidR="008209A2">
          <w:rPr>
            <w:noProof/>
            <w:webHidden/>
          </w:rPr>
          <w:fldChar w:fldCharType="separate"/>
        </w:r>
        <w:r w:rsidR="008209A2">
          <w:rPr>
            <w:noProof/>
            <w:webHidden/>
          </w:rPr>
          <w:t>46</w:t>
        </w:r>
        <w:r w:rsidR="008209A2">
          <w:rPr>
            <w:noProof/>
            <w:webHidden/>
          </w:rPr>
          <w:fldChar w:fldCharType="end"/>
        </w:r>
      </w:hyperlink>
    </w:p>
    <w:p w14:paraId="03253EE0" w14:textId="68732115"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663" w:history="1">
        <w:r w:rsidR="008209A2" w:rsidRPr="007C5BB6">
          <w:rPr>
            <w:rStyle w:val="Hyperlink"/>
            <w:noProof/>
          </w:rPr>
          <w:t>Figure 21: City of Pasco Debt Service and Operating Millage Rates vs. Total Property Value, 2005-2014</w:t>
        </w:r>
        <w:r w:rsidR="008209A2">
          <w:rPr>
            <w:noProof/>
            <w:webHidden/>
          </w:rPr>
          <w:tab/>
        </w:r>
        <w:r w:rsidR="008209A2">
          <w:rPr>
            <w:noProof/>
            <w:webHidden/>
          </w:rPr>
          <w:fldChar w:fldCharType="begin"/>
        </w:r>
        <w:r w:rsidR="008209A2">
          <w:rPr>
            <w:noProof/>
            <w:webHidden/>
          </w:rPr>
          <w:instrText xml:space="preserve"> PAGEREF _Toc464323663 \h </w:instrText>
        </w:r>
        <w:r w:rsidR="008209A2">
          <w:rPr>
            <w:noProof/>
            <w:webHidden/>
          </w:rPr>
        </w:r>
        <w:r w:rsidR="008209A2">
          <w:rPr>
            <w:noProof/>
            <w:webHidden/>
          </w:rPr>
          <w:fldChar w:fldCharType="separate"/>
        </w:r>
        <w:r w:rsidR="008209A2">
          <w:rPr>
            <w:noProof/>
            <w:webHidden/>
          </w:rPr>
          <w:t>47</w:t>
        </w:r>
        <w:r w:rsidR="008209A2">
          <w:rPr>
            <w:noProof/>
            <w:webHidden/>
          </w:rPr>
          <w:fldChar w:fldCharType="end"/>
        </w:r>
      </w:hyperlink>
    </w:p>
    <w:p w14:paraId="46E9CD9F" w14:textId="4F773C49"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664" w:history="1">
        <w:r w:rsidR="008209A2" w:rsidRPr="007C5BB6">
          <w:rPr>
            <w:rStyle w:val="Hyperlink"/>
            <w:noProof/>
          </w:rPr>
          <w:t>Figure 22: City of Pasco Sales and Property Tax Revenue Trends, 2005-2014</w:t>
        </w:r>
        <w:r w:rsidR="008209A2">
          <w:rPr>
            <w:noProof/>
            <w:webHidden/>
          </w:rPr>
          <w:tab/>
        </w:r>
        <w:r w:rsidR="008209A2">
          <w:rPr>
            <w:noProof/>
            <w:webHidden/>
          </w:rPr>
          <w:fldChar w:fldCharType="begin"/>
        </w:r>
        <w:r w:rsidR="008209A2">
          <w:rPr>
            <w:noProof/>
            <w:webHidden/>
          </w:rPr>
          <w:instrText xml:space="preserve"> PAGEREF _Toc464323664 \h </w:instrText>
        </w:r>
        <w:r w:rsidR="008209A2">
          <w:rPr>
            <w:noProof/>
            <w:webHidden/>
          </w:rPr>
        </w:r>
        <w:r w:rsidR="008209A2">
          <w:rPr>
            <w:noProof/>
            <w:webHidden/>
          </w:rPr>
          <w:fldChar w:fldCharType="separate"/>
        </w:r>
        <w:r w:rsidR="008209A2">
          <w:rPr>
            <w:noProof/>
            <w:webHidden/>
          </w:rPr>
          <w:t>48</w:t>
        </w:r>
        <w:r w:rsidR="008209A2">
          <w:rPr>
            <w:noProof/>
            <w:webHidden/>
          </w:rPr>
          <w:fldChar w:fldCharType="end"/>
        </w:r>
      </w:hyperlink>
    </w:p>
    <w:p w14:paraId="12823A16" w14:textId="4A1AD63E"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665" w:history="1">
        <w:r w:rsidR="008209A2" w:rsidRPr="007C5BB6">
          <w:rPr>
            <w:rStyle w:val="Hyperlink"/>
            <w:noProof/>
          </w:rPr>
          <w:t>Figure 23: Pasco Fire Department Financial Resources (Fire and Ambulance), FY 2011 – FY 2016</w:t>
        </w:r>
        <w:r w:rsidR="008209A2">
          <w:rPr>
            <w:noProof/>
            <w:webHidden/>
          </w:rPr>
          <w:tab/>
        </w:r>
        <w:r w:rsidR="008209A2">
          <w:rPr>
            <w:noProof/>
            <w:webHidden/>
          </w:rPr>
          <w:fldChar w:fldCharType="begin"/>
        </w:r>
        <w:r w:rsidR="008209A2">
          <w:rPr>
            <w:noProof/>
            <w:webHidden/>
          </w:rPr>
          <w:instrText xml:space="preserve"> PAGEREF _Toc464323665 \h </w:instrText>
        </w:r>
        <w:r w:rsidR="008209A2">
          <w:rPr>
            <w:noProof/>
            <w:webHidden/>
          </w:rPr>
        </w:r>
        <w:r w:rsidR="008209A2">
          <w:rPr>
            <w:noProof/>
            <w:webHidden/>
          </w:rPr>
          <w:fldChar w:fldCharType="separate"/>
        </w:r>
        <w:r w:rsidR="008209A2">
          <w:rPr>
            <w:noProof/>
            <w:webHidden/>
          </w:rPr>
          <w:t>50</w:t>
        </w:r>
        <w:r w:rsidR="008209A2">
          <w:rPr>
            <w:noProof/>
            <w:webHidden/>
          </w:rPr>
          <w:fldChar w:fldCharType="end"/>
        </w:r>
      </w:hyperlink>
    </w:p>
    <w:p w14:paraId="28FB28FF" w14:textId="0B343DBC"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666" w:history="1">
        <w:r w:rsidR="008209A2" w:rsidRPr="007C5BB6">
          <w:rPr>
            <w:rStyle w:val="Hyperlink"/>
            <w:noProof/>
          </w:rPr>
          <w:t>Figure 24: Fire and Ambulance Recurring Revenues, FY 2011 - FY 2016</w:t>
        </w:r>
        <w:r w:rsidR="008209A2">
          <w:rPr>
            <w:noProof/>
            <w:webHidden/>
          </w:rPr>
          <w:tab/>
        </w:r>
        <w:r w:rsidR="008209A2">
          <w:rPr>
            <w:noProof/>
            <w:webHidden/>
          </w:rPr>
          <w:fldChar w:fldCharType="begin"/>
        </w:r>
        <w:r w:rsidR="008209A2">
          <w:rPr>
            <w:noProof/>
            <w:webHidden/>
          </w:rPr>
          <w:instrText xml:space="preserve"> PAGEREF _Toc464323666 \h </w:instrText>
        </w:r>
        <w:r w:rsidR="008209A2">
          <w:rPr>
            <w:noProof/>
            <w:webHidden/>
          </w:rPr>
        </w:r>
        <w:r w:rsidR="008209A2">
          <w:rPr>
            <w:noProof/>
            <w:webHidden/>
          </w:rPr>
          <w:fldChar w:fldCharType="separate"/>
        </w:r>
        <w:r w:rsidR="008209A2">
          <w:rPr>
            <w:noProof/>
            <w:webHidden/>
          </w:rPr>
          <w:t>50</w:t>
        </w:r>
        <w:r w:rsidR="008209A2">
          <w:rPr>
            <w:noProof/>
            <w:webHidden/>
          </w:rPr>
          <w:fldChar w:fldCharType="end"/>
        </w:r>
      </w:hyperlink>
    </w:p>
    <w:p w14:paraId="466091A8" w14:textId="3B98D983"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667" w:history="1">
        <w:r w:rsidR="008209A2" w:rsidRPr="007C5BB6">
          <w:rPr>
            <w:rStyle w:val="Hyperlink"/>
            <w:noProof/>
          </w:rPr>
          <w:t>Figure 25: Fire Recurring Revenues, FY 2011 - FY 2016</w:t>
        </w:r>
        <w:r w:rsidR="008209A2">
          <w:rPr>
            <w:noProof/>
            <w:webHidden/>
          </w:rPr>
          <w:tab/>
        </w:r>
        <w:r w:rsidR="008209A2">
          <w:rPr>
            <w:noProof/>
            <w:webHidden/>
          </w:rPr>
          <w:fldChar w:fldCharType="begin"/>
        </w:r>
        <w:r w:rsidR="008209A2">
          <w:rPr>
            <w:noProof/>
            <w:webHidden/>
          </w:rPr>
          <w:instrText xml:space="preserve"> PAGEREF _Toc464323667 \h </w:instrText>
        </w:r>
        <w:r w:rsidR="008209A2">
          <w:rPr>
            <w:noProof/>
            <w:webHidden/>
          </w:rPr>
        </w:r>
        <w:r w:rsidR="008209A2">
          <w:rPr>
            <w:noProof/>
            <w:webHidden/>
          </w:rPr>
          <w:fldChar w:fldCharType="separate"/>
        </w:r>
        <w:r w:rsidR="008209A2">
          <w:rPr>
            <w:noProof/>
            <w:webHidden/>
          </w:rPr>
          <w:t>51</w:t>
        </w:r>
        <w:r w:rsidR="008209A2">
          <w:rPr>
            <w:noProof/>
            <w:webHidden/>
          </w:rPr>
          <w:fldChar w:fldCharType="end"/>
        </w:r>
      </w:hyperlink>
    </w:p>
    <w:p w14:paraId="01C0BDC4" w14:textId="3F35D840"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668" w:history="1">
        <w:r w:rsidR="008209A2" w:rsidRPr="007C5BB6">
          <w:rPr>
            <w:rStyle w:val="Hyperlink"/>
            <w:noProof/>
          </w:rPr>
          <w:t>Figure 26: Ambulance Recurring Revenues, FY 2011 - FY 2016</w:t>
        </w:r>
        <w:r w:rsidR="008209A2">
          <w:rPr>
            <w:noProof/>
            <w:webHidden/>
          </w:rPr>
          <w:tab/>
        </w:r>
        <w:r w:rsidR="008209A2">
          <w:rPr>
            <w:noProof/>
            <w:webHidden/>
          </w:rPr>
          <w:fldChar w:fldCharType="begin"/>
        </w:r>
        <w:r w:rsidR="008209A2">
          <w:rPr>
            <w:noProof/>
            <w:webHidden/>
          </w:rPr>
          <w:instrText xml:space="preserve"> PAGEREF _Toc464323668 \h </w:instrText>
        </w:r>
        <w:r w:rsidR="008209A2">
          <w:rPr>
            <w:noProof/>
            <w:webHidden/>
          </w:rPr>
        </w:r>
        <w:r w:rsidR="008209A2">
          <w:rPr>
            <w:noProof/>
            <w:webHidden/>
          </w:rPr>
          <w:fldChar w:fldCharType="separate"/>
        </w:r>
        <w:r w:rsidR="008209A2">
          <w:rPr>
            <w:noProof/>
            <w:webHidden/>
          </w:rPr>
          <w:t>52</w:t>
        </w:r>
        <w:r w:rsidR="008209A2">
          <w:rPr>
            <w:noProof/>
            <w:webHidden/>
          </w:rPr>
          <w:fldChar w:fldCharType="end"/>
        </w:r>
      </w:hyperlink>
    </w:p>
    <w:p w14:paraId="5A3CB29C" w14:textId="26274DE3"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669" w:history="1">
        <w:r w:rsidR="008209A2" w:rsidRPr="007C5BB6">
          <w:rPr>
            <w:rStyle w:val="Hyperlink"/>
            <w:noProof/>
          </w:rPr>
          <w:t>Figure 27: Ambulance Recurring Revenues, GF Subsidy, and Beginning Fund Balance, FY 2011 - FY 2016</w:t>
        </w:r>
        <w:r w:rsidR="008209A2">
          <w:rPr>
            <w:noProof/>
            <w:webHidden/>
          </w:rPr>
          <w:tab/>
        </w:r>
        <w:r w:rsidR="008209A2">
          <w:rPr>
            <w:noProof/>
            <w:webHidden/>
          </w:rPr>
          <w:fldChar w:fldCharType="begin"/>
        </w:r>
        <w:r w:rsidR="008209A2">
          <w:rPr>
            <w:noProof/>
            <w:webHidden/>
          </w:rPr>
          <w:instrText xml:space="preserve"> PAGEREF _Toc464323669 \h </w:instrText>
        </w:r>
        <w:r w:rsidR="008209A2">
          <w:rPr>
            <w:noProof/>
            <w:webHidden/>
          </w:rPr>
        </w:r>
        <w:r w:rsidR="008209A2">
          <w:rPr>
            <w:noProof/>
            <w:webHidden/>
          </w:rPr>
          <w:fldChar w:fldCharType="separate"/>
        </w:r>
        <w:r w:rsidR="008209A2">
          <w:rPr>
            <w:noProof/>
            <w:webHidden/>
          </w:rPr>
          <w:t>53</w:t>
        </w:r>
        <w:r w:rsidR="008209A2">
          <w:rPr>
            <w:noProof/>
            <w:webHidden/>
          </w:rPr>
          <w:fldChar w:fldCharType="end"/>
        </w:r>
      </w:hyperlink>
    </w:p>
    <w:p w14:paraId="659D0388" w14:textId="5DCF6572"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670" w:history="1">
        <w:r w:rsidR="008209A2" w:rsidRPr="007C5BB6">
          <w:rPr>
            <w:rStyle w:val="Hyperlink"/>
            <w:noProof/>
          </w:rPr>
          <w:t>Figure 28: Pasco Fire Department Expenditures (Fire and Ambulance), FY 2011 – FY 2016 – Tabular Format</w:t>
        </w:r>
        <w:r w:rsidR="008209A2">
          <w:rPr>
            <w:noProof/>
            <w:webHidden/>
          </w:rPr>
          <w:tab/>
        </w:r>
        <w:r w:rsidR="008209A2">
          <w:rPr>
            <w:noProof/>
            <w:webHidden/>
          </w:rPr>
          <w:fldChar w:fldCharType="begin"/>
        </w:r>
        <w:r w:rsidR="008209A2">
          <w:rPr>
            <w:noProof/>
            <w:webHidden/>
          </w:rPr>
          <w:instrText xml:space="preserve"> PAGEREF _Toc464323670 \h </w:instrText>
        </w:r>
        <w:r w:rsidR="008209A2">
          <w:rPr>
            <w:noProof/>
            <w:webHidden/>
          </w:rPr>
        </w:r>
        <w:r w:rsidR="008209A2">
          <w:rPr>
            <w:noProof/>
            <w:webHidden/>
          </w:rPr>
          <w:fldChar w:fldCharType="separate"/>
        </w:r>
        <w:r w:rsidR="008209A2">
          <w:rPr>
            <w:noProof/>
            <w:webHidden/>
          </w:rPr>
          <w:t>54</w:t>
        </w:r>
        <w:r w:rsidR="008209A2">
          <w:rPr>
            <w:noProof/>
            <w:webHidden/>
          </w:rPr>
          <w:fldChar w:fldCharType="end"/>
        </w:r>
      </w:hyperlink>
    </w:p>
    <w:p w14:paraId="539D68B9" w14:textId="09C29571"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671" w:history="1">
        <w:r w:rsidR="008209A2" w:rsidRPr="007C5BB6">
          <w:rPr>
            <w:rStyle w:val="Hyperlink"/>
            <w:noProof/>
          </w:rPr>
          <w:t>Figure 29: Expenditures (Fire and Ambulance), FY 2011 - FY 2016 – Graphic Format</w:t>
        </w:r>
        <w:r w:rsidR="008209A2">
          <w:rPr>
            <w:noProof/>
            <w:webHidden/>
          </w:rPr>
          <w:tab/>
        </w:r>
        <w:r w:rsidR="008209A2">
          <w:rPr>
            <w:noProof/>
            <w:webHidden/>
          </w:rPr>
          <w:fldChar w:fldCharType="begin"/>
        </w:r>
        <w:r w:rsidR="008209A2">
          <w:rPr>
            <w:noProof/>
            <w:webHidden/>
          </w:rPr>
          <w:instrText xml:space="preserve"> PAGEREF _Toc464323671 \h </w:instrText>
        </w:r>
        <w:r w:rsidR="008209A2">
          <w:rPr>
            <w:noProof/>
            <w:webHidden/>
          </w:rPr>
        </w:r>
        <w:r w:rsidR="008209A2">
          <w:rPr>
            <w:noProof/>
            <w:webHidden/>
          </w:rPr>
          <w:fldChar w:fldCharType="separate"/>
        </w:r>
        <w:r w:rsidR="008209A2">
          <w:rPr>
            <w:noProof/>
            <w:webHidden/>
          </w:rPr>
          <w:t>55</w:t>
        </w:r>
        <w:r w:rsidR="008209A2">
          <w:rPr>
            <w:noProof/>
            <w:webHidden/>
          </w:rPr>
          <w:fldChar w:fldCharType="end"/>
        </w:r>
      </w:hyperlink>
    </w:p>
    <w:p w14:paraId="58C765C2" w14:textId="527E95AB"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672" w:history="1">
        <w:r w:rsidR="008209A2" w:rsidRPr="007C5BB6">
          <w:rPr>
            <w:rStyle w:val="Hyperlink"/>
            <w:noProof/>
          </w:rPr>
          <w:t>Figure 30: Fire and Ambulance Expenses as a Percentage of Total Department Expenses, FY 2011 - FY 2016</w:t>
        </w:r>
        <w:r w:rsidR="008209A2">
          <w:rPr>
            <w:noProof/>
            <w:webHidden/>
          </w:rPr>
          <w:tab/>
        </w:r>
        <w:r w:rsidR="008209A2">
          <w:rPr>
            <w:noProof/>
            <w:webHidden/>
          </w:rPr>
          <w:fldChar w:fldCharType="begin"/>
        </w:r>
        <w:r w:rsidR="008209A2">
          <w:rPr>
            <w:noProof/>
            <w:webHidden/>
          </w:rPr>
          <w:instrText xml:space="preserve"> PAGEREF _Toc464323672 \h </w:instrText>
        </w:r>
        <w:r w:rsidR="008209A2">
          <w:rPr>
            <w:noProof/>
            <w:webHidden/>
          </w:rPr>
        </w:r>
        <w:r w:rsidR="008209A2">
          <w:rPr>
            <w:noProof/>
            <w:webHidden/>
          </w:rPr>
          <w:fldChar w:fldCharType="separate"/>
        </w:r>
        <w:r w:rsidR="008209A2">
          <w:rPr>
            <w:noProof/>
            <w:webHidden/>
          </w:rPr>
          <w:t>55</w:t>
        </w:r>
        <w:r w:rsidR="008209A2">
          <w:rPr>
            <w:noProof/>
            <w:webHidden/>
          </w:rPr>
          <w:fldChar w:fldCharType="end"/>
        </w:r>
      </w:hyperlink>
    </w:p>
    <w:p w14:paraId="7497BA89" w14:textId="092B8BB6"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673" w:history="1">
        <w:r w:rsidR="008209A2" w:rsidRPr="007C5BB6">
          <w:rPr>
            <w:rStyle w:val="Hyperlink"/>
            <w:noProof/>
          </w:rPr>
          <w:t>Figure 31: Combined Fire and Ambulance Wages and Benefits, FY 2011 - 2016</w:t>
        </w:r>
        <w:r w:rsidR="008209A2">
          <w:rPr>
            <w:noProof/>
            <w:webHidden/>
          </w:rPr>
          <w:tab/>
        </w:r>
        <w:r w:rsidR="008209A2">
          <w:rPr>
            <w:noProof/>
            <w:webHidden/>
          </w:rPr>
          <w:fldChar w:fldCharType="begin"/>
        </w:r>
        <w:r w:rsidR="008209A2">
          <w:rPr>
            <w:noProof/>
            <w:webHidden/>
          </w:rPr>
          <w:instrText xml:space="preserve"> PAGEREF _Toc464323673 \h </w:instrText>
        </w:r>
        <w:r w:rsidR="008209A2">
          <w:rPr>
            <w:noProof/>
            <w:webHidden/>
          </w:rPr>
        </w:r>
        <w:r w:rsidR="008209A2">
          <w:rPr>
            <w:noProof/>
            <w:webHidden/>
          </w:rPr>
          <w:fldChar w:fldCharType="separate"/>
        </w:r>
        <w:r w:rsidR="008209A2">
          <w:rPr>
            <w:noProof/>
            <w:webHidden/>
          </w:rPr>
          <w:t>56</w:t>
        </w:r>
        <w:r w:rsidR="008209A2">
          <w:rPr>
            <w:noProof/>
            <w:webHidden/>
          </w:rPr>
          <w:fldChar w:fldCharType="end"/>
        </w:r>
      </w:hyperlink>
    </w:p>
    <w:p w14:paraId="7BDC0BA8" w14:textId="4EC0DF64"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674" w:history="1">
        <w:r w:rsidR="008209A2" w:rsidRPr="007C5BB6">
          <w:rPr>
            <w:rStyle w:val="Hyperlink"/>
            <w:noProof/>
          </w:rPr>
          <w:t>Figure 32: Fire Department Staff County by Position and Budget, FY 2011 - 2016</w:t>
        </w:r>
        <w:r w:rsidR="008209A2">
          <w:rPr>
            <w:noProof/>
            <w:webHidden/>
          </w:rPr>
          <w:tab/>
        </w:r>
        <w:r w:rsidR="008209A2">
          <w:rPr>
            <w:noProof/>
            <w:webHidden/>
          </w:rPr>
          <w:fldChar w:fldCharType="begin"/>
        </w:r>
        <w:r w:rsidR="008209A2">
          <w:rPr>
            <w:noProof/>
            <w:webHidden/>
          </w:rPr>
          <w:instrText xml:space="preserve"> PAGEREF _Toc464323674 \h </w:instrText>
        </w:r>
        <w:r w:rsidR="008209A2">
          <w:rPr>
            <w:noProof/>
            <w:webHidden/>
          </w:rPr>
        </w:r>
        <w:r w:rsidR="008209A2">
          <w:rPr>
            <w:noProof/>
            <w:webHidden/>
          </w:rPr>
          <w:fldChar w:fldCharType="separate"/>
        </w:r>
        <w:r w:rsidR="008209A2">
          <w:rPr>
            <w:noProof/>
            <w:webHidden/>
          </w:rPr>
          <w:t>57</w:t>
        </w:r>
        <w:r w:rsidR="008209A2">
          <w:rPr>
            <w:noProof/>
            <w:webHidden/>
          </w:rPr>
          <w:fldChar w:fldCharType="end"/>
        </w:r>
      </w:hyperlink>
    </w:p>
    <w:p w14:paraId="43B82FD5" w14:textId="7AAFE4CC"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675" w:history="1">
        <w:r w:rsidR="008209A2" w:rsidRPr="007C5BB6">
          <w:rPr>
            <w:rStyle w:val="Hyperlink"/>
            <w:noProof/>
          </w:rPr>
          <w:t>Figure 33: Fire and Ambulance Budget FTEs and Wages, FY 2011 - 2016</w:t>
        </w:r>
        <w:r w:rsidR="008209A2">
          <w:rPr>
            <w:noProof/>
            <w:webHidden/>
          </w:rPr>
          <w:tab/>
        </w:r>
        <w:r w:rsidR="008209A2">
          <w:rPr>
            <w:noProof/>
            <w:webHidden/>
          </w:rPr>
          <w:fldChar w:fldCharType="begin"/>
        </w:r>
        <w:r w:rsidR="008209A2">
          <w:rPr>
            <w:noProof/>
            <w:webHidden/>
          </w:rPr>
          <w:instrText xml:space="preserve"> PAGEREF _Toc464323675 \h </w:instrText>
        </w:r>
        <w:r w:rsidR="008209A2">
          <w:rPr>
            <w:noProof/>
            <w:webHidden/>
          </w:rPr>
        </w:r>
        <w:r w:rsidR="008209A2">
          <w:rPr>
            <w:noProof/>
            <w:webHidden/>
          </w:rPr>
          <w:fldChar w:fldCharType="separate"/>
        </w:r>
        <w:r w:rsidR="008209A2">
          <w:rPr>
            <w:noProof/>
            <w:webHidden/>
          </w:rPr>
          <w:t>58</w:t>
        </w:r>
        <w:r w:rsidR="008209A2">
          <w:rPr>
            <w:noProof/>
            <w:webHidden/>
          </w:rPr>
          <w:fldChar w:fldCharType="end"/>
        </w:r>
      </w:hyperlink>
    </w:p>
    <w:p w14:paraId="0C0FC557" w14:textId="1ABAABB7"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676" w:history="1">
        <w:r w:rsidR="008209A2" w:rsidRPr="007C5BB6">
          <w:rPr>
            <w:rStyle w:val="Hyperlink"/>
            <w:noProof/>
          </w:rPr>
          <w:t>Figure 34: Staff Changes by Category, FY 2011 - 2016</w:t>
        </w:r>
        <w:r w:rsidR="008209A2">
          <w:rPr>
            <w:noProof/>
            <w:webHidden/>
          </w:rPr>
          <w:tab/>
        </w:r>
        <w:r w:rsidR="008209A2">
          <w:rPr>
            <w:noProof/>
            <w:webHidden/>
          </w:rPr>
          <w:fldChar w:fldCharType="begin"/>
        </w:r>
        <w:r w:rsidR="008209A2">
          <w:rPr>
            <w:noProof/>
            <w:webHidden/>
          </w:rPr>
          <w:instrText xml:space="preserve"> PAGEREF _Toc464323676 \h </w:instrText>
        </w:r>
        <w:r w:rsidR="008209A2">
          <w:rPr>
            <w:noProof/>
            <w:webHidden/>
          </w:rPr>
        </w:r>
        <w:r w:rsidR="008209A2">
          <w:rPr>
            <w:noProof/>
            <w:webHidden/>
          </w:rPr>
          <w:fldChar w:fldCharType="separate"/>
        </w:r>
        <w:r w:rsidR="008209A2">
          <w:rPr>
            <w:noProof/>
            <w:webHidden/>
          </w:rPr>
          <w:t>59</w:t>
        </w:r>
        <w:r w:rsidR="008209A2">
          <w:rPr>
            <w:noProof/>
            <w:webHidden/>
          </w:rPr>
          <w:fldChar w:fldCharType="end"/>
        </w:r>
      </w:hyperlink>
    </w:p>
    <w:p w14:paraId="54124E9B" w14:textId="48B13B81"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677" w:history="1">
        <w:r w:rsidR="008209A2" w:rsidRPr="007C5BB6">
          <w:rPr>
            <w:rStyle w:val="Hyperlink"/>
            <w:noProof/>
          </w:rPr>
          <w:t>Figure 35: Fire and Ambulance Regular Wages and Overtime, FY 2011 – FY 2016</w:t>
        </w:r>
        <w:r w:rsidR="008209A2">
          <w:rPr>
            <w:noProof/>
            <w:webHidden/>
          </w:rPr>
          <w:tab/>
        </w:r>
        <w:r w:rsidR="008209A2">
          <w:rPr>
            <w:noProof/>
            <w:webHidden/>
          </w:rPr>
          <w:fldChar w:fldCharType="begin"/>
        </w:r>
        <w:r w:rsidR="008209A2">
          <w:rPr>
            <w:noProof/>
            <w:webHidden/>
          </w:rPr>
          <w:instrText xml:space="preserve"> PAGEREF _Toc464323677 \h </w:instrText>
        </w:r>
        <w:r w:rsidR="008209A2">
          <w:rPr>
            <w:noProof/>
            <w:webHidden/>
          </w:rPr>
        </w:r>
        <w:r w:rsidR="008209A2">
          <w:rPr>
            <w:noProof/>
            <w:webHidden/>
          </w:rPr>
          <w:fldChar w:fldCharType="separate"/>
        </w:r>
        <w:r w:rsidR="008209A2">
          <w:rPr>
            <w:noProof/>
            <w:webHidden/>
          </w:rPr>
          <w:t>60</w:t>
        </w:r>
        <w:r w:rsidR="008209A2">
          <w:rPr>
            <w:noProof/>
            <w:webHidden/>
          </w:rPr>
          <w:fldChar w:fldCharType="end"/>
        </w:r>
      </w:hyperlink>
    </w:p>
    <w:p w14:paraId="5D5E6C65" w14:textId="7FB0BF73"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678" w:history="1">
        <w:r w:rsidR="008209A2" w:rsidRPr="007C5BB6">
          <w:rPr>
            <w:rStyle w:val="Hyperlink"/>
            <w:noProof/>
          </w:rPr>
          <w:t>Figure 36: Fire and Ambulance Operating Expenses, FY 2011 – FY 2016</w:t>
        </w:r>
        <w:r w:rsidR="008209A2">
          <w:rPr>
            <w:noProof/>
            <w:webHidden/>
          </w:rPr>
          <w:tab/>
        </w:r>
        <w:r w:rsidR="008209A2">
          <w:rPr>
            <w:noProof/>
            <w:webHidden/>
          </w:rPr>
          <w:fldChar w:fldCharType="begin"/>
        </w:r>
        <w:r w:rsidR="008209A2">
          <w:rPr>
            <w:noProof/>
            <w:webHidden/>
          </w:rPr>
          <w:instrText xml:space="preserve"> PAGEREF _Toc464323678 \h </w:instrText>
        </w:r>
        <w:r w:rsidR="008209A2">
          <w:rPr>
            <w:noProof/>
            <w:webHidden/>
          </w:rPr>
        </w:r>
        <w:r w:rsidR="008209A2">
          <w:rPr>
            <w:noProof/>
            <w:webHidden/>
          </w:rPr>
          <w:fldChar w:fldCharType="separate"/>
        </w:r>
        <w:r w:rsidR="008209A2">
          <w:rPr>
            <w:noProof/>
            <w:webHidden/>
          </w:rPr>
          <w:t>61</w:t>
        </w:r>
        <w:r w:rsidR="008209A2">
          <w:rPr>
            <w:noProof/>
            <w:webHidden/>
          </w:rPr>
          <w:fldChar w:fldCharType="end"/>
        </w:r>
      </w:hyperlink>
    </w:p>
    <w:p w14:paraId="0A71419A" w14:textId="4A54D004"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679" w:history="1">
        <w:r w:rsidR="008209A2" w:rsidRPr="007C5BB6">
          <w:rPr>
            <w:rStyle w:val="Hyperlink"/>
            <w:noProof/>
          </w:rPr>
          <w:t>Figure 37: Fire and Ambulance Capital Expenses, FY 2011 – FY 2016</w:t>
        </w:r>
        <w:r w:rsidR="008209A2">
          <w:rPr>
            <w:noProof/>
            <w:webHidden/>
          </w:rPr>
          <w:tab/>
        </w:r>
        <w:r w:rsidR="008209A2">
          <w:rPr>
            <w:noProof/>
            <w:webHidden/>
          </w:rPr>
          <w:fldChar w:fldCharType="begin"/>
        </w:r>
        <w:r w:rsidR="008209A2">
          <w:rPr>
            <w:noProof/>
            <w:webHidden/>
          </w:rPr>
          <w:instrText xml:space="preserve"> PAGEREF _Toc464323679 \h </w:instrText>
        </w:r>
        <w:r w:rsidR="008209A2">
          <w:rPr>
            <w:noProof/>
            <w:webHidden/>
          </w:rPr>
        </w:r>
        <w:r w:rsidR="008209A2">
          <w:rPr>
            <w:noProof/>
            <w:webHidden/>
          </w:rPr>
          <w:fldChar w:fldCharType="separate"/>
        </w:r>
        <w:r w:rsidR="008209A2">
          <w:rPr>
            <w:noProof/>
            <w:webHidden/>
          </w:rPr>
          <w:t>62</w:t>
        </w:r>
        <w:r w:rsidR="008209A2">
          <w:rPr>
            <w:noProof/>
            <w:webHidden/>
          </w:rPr>
          <w:fldChar w:fldCharType="end"/>
        </w:r>
      </w:hyperlink>
    </w:p>
    <w:p w14:paraId="35EE5B6E" w14:textId="38173BE3"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680" w:history="1">
        <w:r w:rsidR="008209A2" w:rsidRPr="007C5BB6">
          <w:rPr>
            <w:rStyle w:val="Hyperlink"/>
            <w:noProof/>
          </w:rPr>
          <w:t>Figure 38: Fire and Ambulance Non-Apparatus Capital Expenses, FY 2011 – FY 2016</w:t>
        </w:r>
        <w:r w:rsidR="008209A2">
          <w:rPr>
            <w:noProof/>
            <w:webHidden/>
          </w:rPr>
          <w:tab/>
        </w:r>
        <w:r w:rsidR="008209A2">
          <w:rPr>
            <w:noProof/>
            <w:webHidden/>
          </w:rPr>
          <w:fldChar w:fldCharType="begin"/>
        </w:r>
        <w:r w:rsidR="008209A2">
          <w:rPr>
            <w:noProof/>
            <w:webHidden/>
          </w:rPr>
          <w:instrText xml:space="preserve"> PAGEREF _Toc464323680 \h </w:instrText>
        </w:r>
        <w:r w:rsidR="008209A2">
          <w:rPr>
            <w:noProof/>
            <w:webHidden/>
          </w:rPr>
        </w:r>
        <w:r w:rsidR="008209A2">
          <w:rPr>
            <w:noProof/>
            <w:webHidden/>
          </w:rPr>
          <w:fldChar w:fldCharType="separate"/>
        </w:r>
        <w:r w:rsidR="008209A2">
          <w:rPr>
            <w:noProof/>
            <w:webHidden/>
          </w:rPr>
          <w:t>63</w:t>
        </w:r>
        <w:r w:rsidR="008209A2">
          <w:rPr>
            <w:noProof/>
            <w:webHidden/>
          </w:rPr>
          <w:fldChar w:fldCharType="end"/>
        </w:r>
      </w:hyperlink>
    </w:p>
    <w:p w14:paraId="1436646E" w14:textId="46DC2E0E"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681" w:history="1">
        <w:r w:rsidR="008209A2" w:rsidRPr="007C5BB6">
          <w:rPr>
            <w:rStyle w:val="Hyperlink"/>
            <w:noProof/>
          </w:rPr>
          <w:t>Figure 39: Fire Recurring Revenue, Expenditure, and Net Surplus/(Deficit) Trends, FY 2011 – FY 2016</w:t>
        </w:r>
        <w:r w:rsidR="008209A2">
          <w:rPr>
            <w:noProof/>
            <w:webHidden/>
          </w:rPr>
          <w:tab/>
        </w:r>
        <w:r w:rsidR="008209A2">
          <w:rPr>
            <w:noProof/>
            <w:webHidden/>
          </w:rPr>
          <w:fldChar w:fldCharType="begin"/>
        </w:r>
        <w:r w:rsidR="008209A2">
          <w:rPr>
            <w:noProof/>
            <w:webHidden/>
          </w:rPr>
          <w:instrText xml:space="preserve"> PAGEREF _Toc464323681 \h </w:instrText>
        </w:r>
        <w:r w:rsidR="008209A2">
          <w:rPr>
            <w:noProof/>
            <w:webHidden/>
          </w:rPr>
        </w:r>
        <w:r w:rsidR="008209A2">
          <w:rPr>
            <w:noProof/>
            <w:webHidden/>
          </w:rPr>
          <w:fldChar w:fldCharType="separate"/>
        </w:r>
        <w:r w:rsidR="008209A2">
          <w:rPr>
            <w:noProof/>
            <w:webHidden/>
          </w:rPr>
          <w:t>64</w:t>
        </w:r>
        <w:r w:rsidR="008209A2">
          <w:rPr>
            <w:noProof/>
            <w:webHidden/>
          </w:rPr>
          <w:fldChar w:fldCharType="end"/>
        </w:r>
      </w:hyperlink>
    </w:p>
    <w:p w14:paraId="05B77ECC" w14:textId="029CD100"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682" w:history="1">
        <w:r w:rsidR="008209A2" w:rsidRPr="007C5BB6">
          <w:rPr>
            <w:rStyle w:val="Hyperlink"/>
            <w:noProof/>
          </w:rPr>
          <w:t>Figure 40: Ambulance Recurring Revenue, Expenditure and Net Surplus/(Deficit) Trends, FY 2011 – FY 2016</w:t>
        </w:r>
        <w:r w:rsidR="008209A2">
          <w:rPr>
            <w:noProof/>
            <w:webHidden/>
          </w:rPr>
          <w:tab/>
        </w:r>
        <w:r w:rsidR="008209A2">
          <w:rPr>
            <w:noProof/>
            <w:webHidden/>
          </w:rPr>
          <w:fldChar w:fldCharType="begin"/>
        </w:r>
        <w:r w:rsidR="008209A2">
          <w:rPr>
            <w:noProof/>
            <w:webHidden/>
          </w:rPr>
          <w:instrText xml:space="preserve"> PAGEREF _Toc464323682 \h </w:instrText>
        </w:r>
        <w:r w:rsidR="008209A2">
          <w:rPr>
            <w:noProof/>
            <w:webHidden/>
          </w:rPr>
        </w:r>
        <w:r w:rsidR="008209A2">
          <w:rPr>
            <w:noProof/>
            <w:webHidden/>
          </w:rPr>
          <w:fldChar w:fldCharType="separate"/>
        </w:r>
        <w:r w:rsidR="008209A2">
          <w:rPr>
            <w:noProof/>
            <w:webHidden/>
          </w:rPr>
          <w:t>65</w:t>
        </w:r>
        <w:r w:rsidR="008209A2">
          <w:rPr>
            <w:noProof/>
            <w:webHidden/>
          </w:rPr>
          <w:fldChar w:fldCharType="end"/>
        </w:r>
      </w:hyperlink>
    </w:p>
    <w:p w14:paraId="6B87F960" w14:textId="770870F2"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683" w:history="1">
        <w:r w:rsidR="008209A2" w:rsidRPr="007C5BB6">
          <w:rPr>
            <w:rStyle w:val="Hyperlink"/>
            <w:noProof/>
          </w:rPr>
          <w:t>Figure 41: Ambulance Operating Surplus/(Deficit), Fund Balance, and GF Transfer (In) Trends, FY 2011 – FY 2016</w:t>
        </w:r>
        <w:r w:rsidR="008209A2">
          <w:rPr>
            <w:noProof/>
            <w:webHidden/>
          </w:rPr>
          <w:tab/>
        </w:r>
        <w:r w:rsidR="008209A2">
          <w:rPr>
            <w:noProof/>
            <w:webHidden/>
          </w:rPr>
          <w:fldChar w:fldCharType="begin"/>
        </w:r>
        <w:r w:rsidR="008209A2">
          <w:rPr>
            <w:noProof/>
            <w:webHidden/>
          </w:rPr>
          <w:instrText xml:space="preserve"> PAGEREF _Toc464323683 \h </w:instrText>
        </w:r>
        <w:r w:rsidR="008209A2">
          <w:rPr>
            <w:noProof/>
            <w:webHidden/>
          </w:rPr>
        </w:r>
        <w:r w:rsidR="008209A2">
          <w:rPr>
            <w:noProof/>
            <w:webHidden/>
          </w:rPr>
          <w:fldChar w:fldCharType="separate"/>
        </w:r>
        <w:r w:rsidR="008209A2">
          <w:rPr>
            <w:noProof/>
            <w:webHidden/>
          </w:rPr>
          <w:t>66</w:t>
        </w:r>
        <w:r w:rsidR="008209A2">
          <w:rPr>
            <w:noProof/>
            <w:webHidden/>
          </w:rPr>
          <w:fldChar w:fldCharType="end"/>
        </w:r>
      </w:hyperlink>
    </w:p>
    <w:p w14:paraId="5A76CA97" w14:textId="4C949AC5"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684" w:history="1">
        <w:r w:rsidR="008209A2" w:rsidRPr="007C5BB6">
          <w:rPr>
            <w:rStyle w:val="Hyperlink"/>
            <w:noProof/>
          </w:rPr>
          <w:t>Figure 42: Emergency Response Staffing per Shift</w:t>
        </w:r>
        <w:r w:rsidR="008209A2">
          <w:rPr>
            <w:noProof/>
            <w:webHidden/>
          </w:rPr>
          <w:tab/>
        </w:r>
        <w:r w:rsidR="008209A2">
          <w:rPr>
            <w:noProof/>
            <w:webHidden/>
          </w:rPr>
          <w:fldChar w:fldCharType="begin"/>
        </w:r>
        <w:r w:rsidR="008209A2">
          <w:rPr>
            <w:noProof/>
            <w:webHidden/>
          </w:rPr>
          <w:instrText xml:space="preserve"> PAGEREF _Toc464323684 \h </w:instrText>
        </w:r>
        <w:r w:rsidR="008209A2">
          <w:rPr>
            <w:noProof/>
            <w:webHidden/>
          </w:rPr>
        </w:r>
        <w:r w:rsidR="008209A2">
          <w:rPr>
            <w:noProof/>
            <w:webHidden/>
          </w:rPr>
          <w:fldChar w:fldCharType="separate"/>
        </w:r>
        <w:r w:rsidR="008209A2">
          <w:rPr>
            <w:noProof/>
            <w:webHidden/>
          </w:rPr>
          <w:t>68</w:t>
        </w:r>
        <w:r w:rsidR="008209A2">
          <w:rPr>
            <w:noProof/>
            <w:webHidden/>
          </w:rPr>
          <w:fldChar w:fldCharType="end"/>
        </w:r>
      </w:hyperlink>
    </w:p>
    <w:p w14:paraId="1A46E04B" w14:textId="05A72B2C"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685" w:history="1">
        <w:r w:rsidR="008209A2" w:rsidRPr="007C5BB6">
          <w:rPr>
            <w:rStyle w:val="Hyperlink"/>
            <w:noProof/>
          </w:rPr>
          <w:t>Figure 43: Staffing Comparison, 2015</w:t>
        </w:r>
        <w:r w:rsidR="008209A2">
          <w:rPr>
            <w:noProof/>
            <w:webHidden/>
          </w:rPr>
          <w:tab/>
        </w:r>
        <w:r w:rsidR="008209A2">
          <w:rPr>
            <w:noProof/>
            <w:webHidden/>
          </w:rPr>
          <w:fldChar w:fldCharType="begin"/>
        </w:r>
        <w:r w:rsidR="008209A2">
          <w:rPr>
            <w:noProof/>
            <w:webHidden/>
          </w:rPr>
          <w:instrText xml:space="preserve"> PAGEREF _Toc464323685 \h </w:instrText>
        </w:r>
        <w:r w:rsidR="008209A2">
          <w:rPr>
            <w:noProof/>
            <w:webHidden/>
          </w:rPr>
        </w:r>
        <w:r w:rsidR="008209A2">
          <w:rPr>
            <w:noProof/>
            <w:webHidden/>
          </w:rPr>
          <w:fldChar w:fldCharType="separate"/>
        </w:r>
        <w:r w:rsidR="008209A2">
          <w:rPr>
            <w:noProof/>
            <w:webHidden/>
          </w:rPr>
          <w:t>70</w:t>
        </w:r>
        <w:r w:rsidR="008209A2">
          <w:rPr>
            <w:noProof/>
            <w:webHidden/>
          </w:rPr>
          <w:fldChar w:fldCharType="end"/>
        </w:r>
      </w:hyperlink>
    </w:p>
    <w:p w14:paraId="2C176421" w14:textId="253C8BC8"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686" w:history="1">
        <w:r w:rsidR="008209A2" w:rsidRPr="007C5BB6">
          <w:rPr>
            <w:rStyle w:val="Hyperlink"/>
            <w:noProof/>
          </w:rPr>
          <w:t>Figure 44: Tri-Cities Airport Passenger Enplanements, 2006 – 2015</w:t>
        </w:r>
        <w:r w:rsidR="008209A2">
          <w:rPr>
            <w:noProof/>
            <w:webHidden/>
          </w:rPr>
          <w:tab/>
        </w:r>
        <w:r w:rsidR="008209A2">
          <w:rPr>
            <w:noProof/>
            <w:webHidden/>
          </w:rPr>
          <w:fldChar w:fldCharType="begin"/>
        </w:r>
        <w:r w:rsidR="008209A2">
          <w:rPr>
            <w:noProof/>
            <w:webHidden/>
          </w:rPr>
          <w:instrText xml:space="preserve"> PAGEREF _Toc464323686 \h </w:instrText>
        </w:r>
        <w:r w:rsidR="008209A2">
          <w:rPr>
            <w:noProof/>
            <w:webHidden/>
          </w:rPr>
        </w:r>
        <w:r w:rsidR="008209A2">
          <w:rPr>
            <w:noProof/>
            <w:webHidden/>
          </w:rPr>
          <w:fldChar w:fldCharType="separate"/>
        </w:r>
        <w:r w:rsidR="008209A2">
          <w:rPr>
            <w:noProof/>
            <w:webHidden/>
          </w:rPr>
          <w:t>84</w:t>
        </w:r>
        <w:r w:rsidR="008209A2">
          <w:rPr>
            <w:noProof/>
            <w:webHidden/>
          </w:rPr>
          <w:fldChar w:fldCharType="end"/>
        </w:r>
      </w:hyperlink>
    </w:p>
    <w:p w14:paraId="18691963" w14:textId="3ECB091E"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687" w:history="1">
        <w:r w:rsidR="008209A2" w:rsidRPr="007C5BB6">
          <w:rPr>
            <w:rStyle w:val="Hyperlink"/>
            <w:noProof/>
          </w:rPr>
          <w:t>Figure 45: Master Training Schedule, January 2015</w:t>
        </w:r>
        <w:r w:rsidR="008209A2">
          <w:rPr>
            <w:noProof/>
            <w:webHidden/>
          </w:rPr>
          <w:tab/>
        </w:r>
        <w:r w:rsidR="008209A2">
          <w:rPr>
            <w:noProof/>
            <w:webHidden/>
          </w:rPr>
          <w:fldChar w:fldCharType="begin"/>
        </w:r>
        <w:r w:rsidR="008209A2">
          <w:rPr>
            <w:noProof/>
            <w:webHidden/>
          </w:rPr>
          <w:instrText xml:space="preserve"> PAGEREF _Toc464323687 \h </w:instrText>
        </w:r>
        <w:r w:rsidR="008209A2">
          <w:rPr>
            <w:noProof/>
            <w:webHidden/>
          </w:rPr>
        </w:r>
        <w:r w:rsidR="008209A2">
          <w:rPr>
            <w:noProof/>
            <w:webHidden/>
          </w:rPr>
          <w:fldChar w:fldCharType="separate"/>
        </w:r>
        <w:r w:rsidR="008209A2">
          <w:rPr>
            <w:noProof/>
            <w:webHidden/>
          </w:rPr>
          <w:t>90</w:t>
        </w:r>
        <w:r w:rsidR="008209A2">
          <w:rPr>
            <w:noProof/>
            <w:webHidden/>
          </w:rPr>
          <w:fldChar w:fldCharType="end"/>
        </w:r>
      </w:hyperlink>
    </w:p>
    <w:p w14:paraId="12FFA4D0" w14:textId="5F3AA2E6"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688" w:history="1">
        <w:r w:rsidR="008209A2" w:rsidRPr="007C5BB6">
          <w:rPr>
            <w:rStyle w:val="Hyperlink"/>
            <w:noProof/>
          </w:rPr>
          <w:t>Figure 46: Annual Building Permits Issued, 2001 – 2015</w:t>
        </w:r>
        <w:r w:rsidR="008209A2">
          <w:rPr>
            <w:noProof/>
            <w:webHidden/>
          </w:rPr>
          <w:tab/>
        </w:r>
        <w:r w:rsidR="008209A2">
          <w:rPr>
            <w:noProof/>
            <w:webHidden/>
          </w:rPr>
          <w:fldChar w:fldCharType="begin"/>
        </w:r>
        <w:r w:rsidR="008209A2">
          <w:rPr>
            <w:noProof/>
            <w:webHidden/>
          </w:rPr>
          <w:instrText xml:space="preserve"> PAGEREF _Toc464323688 \h </w:instrText>
        </w:r>
        <w:r w:rsidR="008209A2">
          <w:rPr>
            <w:noProof/>
            <w:webHidden/>
          </w:rPr>
        </w:r>
        <w:r w:rsidR="008209A2">
          <w:rPr>
            <w:noProof/>
            <w:webHidden/>
          </w:rPr>
          <w:fldChar w:fldCharType="separate"/>
        </w:r>
        <w:r w:rsidR="008209A2">
          <w:rPr>
            <w:noProof/>
            <w:webHidden/>
          </w:rPr>
          <w:t>93</w:t>
        </w:r>
        <w:r w:rsidR="008209A2">
          <w:rPr>
            <w:noProof/>
            <w:webHidden/>
          </w:rPr>
          <w:fldChar w:fldCharType="end"/>
        </w:r>
      </w:hyperlink>
    </w:p>
    <w:p w14:paraId="74627BBA" w14:textId="3D715C2F"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689" w:history="1">
        <w:r w:rsidR="008209A2" w:rsidRPr="007C5BB6">
          <w:rPr>
            <w:rStyle w:val="Hyperlink"/>
            <w:noProof/>
          </w:rPr>
          <w:t>Figure 47: PFD Pre-Incident Plan Template</w:t>
        </w:r>
        <w:r w:rsidR="008209A2">
          <w:rPr>
            <w:noProof/>
            <w:webHidden/>
          </w:rPr>
          <w:tab/>
        </w:r>
        <w:r w:rsidR="008209A2">
          <w:rPr>
            <w:noProof/>
            <w:webHidden/>
          </w:rPr>
          <w:fldChar w:fldCharType="begin"/>
        </w:r>
        <w:r w:rsidR="008209A2">
          <w:rPr>
            <w:noProof/>
            <w:webHidden/>
          </w:rPr>
          <w:instrText xml:space="preserve"> PAGEREF _Toc464323689 \h </w:instrText>
        </w:r>
        <w:r w:rsidR="008209A2">
          <w:rPr>
            <w:noProof/>
            <w:webHidden/>
          </w:rPr>
        </w:r>
        <w:r w:rsidR="008209A2">
          <w:rPr>
            <w:noProof/>
            <w:webHidden/>
          </w:rPr>
          <w:fldChar w:fldCharType="separate"/>
        </w:r>
        <w:r w:rsidR="008209A2">
          <w:rPr>
            <w:noProof/>
            <w:webHidden/>
          </w:rPr>
          <w:t>100</w:t>
        </w:r>
        <w:r w:rsidR="008209A2">
          <w:rPr>
            <w:noProof/>
            <w:webHidden/>
          </w:rPr>
          <w:fldChar w:fldCharType="end"/>
        </w:r>
      </w:hyperlink>
    </w:p>
    <w:p w14:paraId="0131894F" w14:textId="74D17B8A"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690" w:history="1">
        <w:r w:rsidR="008209A2" w:rsidRPr="007C5BB6">
          <w:rPr>
            <w:rStyle w:val="Hyperlink"/>
            <w:noProof/>
          </w:rPr>
          <w:t>Figure 48: Risk/Probability Matrix</w:t>
        </w:r>
        <w:r w:rsidR="008209A2">
          <w:rPr>
            <w:noProof/>
            <w:webHidden/>
          </w:rPr>
          <w:tab/>
        </w:r>
        <w:r w:rsidR="008209A2">
          <w:rPr>
            <w:noProof/>
            <w:webHidden/>
          </w:rPr>
          <w:fldChar w:fldCharType="begin"/>
        </w:r>
        <w:r w:rsidR="008209A2">
          <w:rPr>
            <w:noProof/>
            <w:webHidden/>
          </w:rPr>
          <w:instrText xml:space="preserve"> PAGEREF _Toc464323690 \h </w:instrText>
        </w:r>
        <w:r w:rsidR="008209A2">
          <w:rPr>
            <w:noProof/>
            <w:webHidden/>
          </w:rPr>
        </w:r>
        <w:r w:rsidR="008209A2">
          <w:rPr>
            <w:noProof/>
            <w:webHidden/>
          </w:rPr>
          <w:fldChar w:fldCharType="separate"/>
        </w:r>
        <w:r w:rsidR="008209A2">
          <w:rPr>
            <w:noProof/>
            <w:webHidden/>
          </w:rPr>
          <w:t>102</w:t>
        </w:r>
        <w:r w:rsidR="008209A2">
          <w:rPr>
            <w:noProof/>
            <w:webHidden/>
          </w:rPr>
          <w:fldChar w:fldCharType="end"/>
        </w:r>
      </w:hyperlink>
    </w:p>
    <w:p w14:paraId="646D3D31" w14:textId="4AA0C918"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691" w:history="1">
        <w:r w:rsidR="008209A2" w:rsidRPr="007C5BB6">
          <w:rPr>
            <w:rStyle w:val="Hyperlink"/>
            <w:noProof/>
          </w:rPr>
          <w:t>Figure 49: Station 81</w:t>
        </w:r>
        <w:r w:rsidR="008209A2">
          <w:rPr>
            <w:noProof/>
            <w:webHidden/>
          </w:rPr>
          <w:tab/>
        </w:r>
        <w:r w:rsidR="008209A2">
          <w:rPr>
            <w:noProof/>
            <w:webHidden/>
          </w:rPr>
          <w:fldChar w:fldCharType="begin"/>
        </w:r>
        <w:r w:rsidR="008209A2">
          <w:rPr>
            <w:noProof/>
            <w:webHidden/>
          </w:rPr>
          <w:instrText xml:space="preserve"> PAGEREF _Toc464323691 \h </w:instrText>
        </w:r>
        <w:r w:rsidR="008209A2">
          <w:rPr>
            <w:noProof/>
            <w:webHidden/>
          </w:rPr>
        </w:r>
        <w:r w:rsidR="008209A2">
          <w:rPr>
            <w:noProof/>
            <w:webHidden/>
          </w:rPr>
          <w:fldChar w:fldCharType="separate"/>
        </w:r>
        <w:r w:rsidR="008209A2">
          <w:rPr>
            <w:noProof/>
            <w:webHidden/>
          </w:rPr>
          <w:t>106</w:t>
        </w:r>
        <w:r w:rsidR="008209A2">
          <w:rPr>
            <w:noProof/>
            <w:webHidden/>
          </w:rPr>
          <w:fldChar w:fldCharType="end"/>
        </w:r>
      </w:hyperlink>
    </w:p>
    <w:p w14:paraId="4DD1620F" w14:textId="1C8F6B78"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692" w:history="1">
        <w:r w:rsidR="008209A2" w:rsidRPr="007C5BB6">
          <w:rPr>
            <w:rStyle w:val="Hyperlink"/>
            <w:noProof/>
          </w:rPr>
          <w:t>Figure 50: Station 82</w:t>
        </w:r>
        <w:r w:rsidR="008209A2">
          <w:rPr>
            <w:noProof/>
            <w:webHidden/>
          </w:rPr>
          <w:tab/>
        </w:r>
        <w:r w:rsidR="008209A2">
          <w:rPr>
            <w:noProof/>
            <w:webHidden/>
          </w:rPr>
          <w:fldChar w:fldCharType="begin"/>
        </w:r>
        <w:r w:rsidR="008209A2">
          <w:rPr>
            <w:noProof/>
            <w:webHidden/>
          </w:rPr>
          <w:instrText xml:space="preserve"> PAGEREF _Toc464323692 \h </w:instrText>
        </w:r>
        <w:r w:rsidR="008209A2">
          <w:rPr>
            <w:noProof/>
            <w:webHidden/>
          </w:rPr>
        </w:r>
        <w:r w:rsidR="008209A2">
          <w:rPr>
            <w:noProof/>
            <w:webHidden/>
          </w:rPr>
          <w:fldChar w:fldCharType="separate"/>
        </w:r>
        <w:r w:rsidR="008209A2">
          <w:rPr>
            <w:noProof/>
            <w:webHidden/>
          </w:rPr>
          <w:t>107</w:t>
        </w:r>
        <w:r w:rsidR="008209A2">
          <w:rPr>
            <w:noProof/>
            <w:webHidden/>
          </w:rPr>
          <w:fldChar w:fldCharType="end"/>
        </w:r>
      </w:hyperlink>
    </w:p>
    <w:p w14:paraId="74ABB5E8" w14:textId="3CEDF7A4"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693" w:history="1">
        <w:r w:rsidR="008209A2" w:rsidRPr="007C5BB6">
          <w:rPr>
            <w:rStyle w:val="Hyperlink"/>
            <w:noProof/>
          </w:rPr>
          <w:t>Figure 51: Station 83</w:t>
        </w:r>
        <w:r w:rsidR="008209A2">
          <w:rPr>
            <w:noProof/>
            <w:webHidden/>
          </w:rPr>
          <w:tab/>
        </w:r>
        <w:r w:rsidR="008209A2">
          <w:rPr>
            <w:noProof/>
            <w:webHidden/>
          </w:rPr>
          <w:fldChar w:fldCharType="begin"/>
        </w:r>
        <w:r w:rsidR="008209A2">
          <w:rPr>
            <w:noProof/>
            <w:webHidden/>
          </w:rPr>
          <w:instrText xml:space="preserve"> PAGEREF _Toc464323693 \h </w:instrText>
        </w:r>
        <w:r w:rsidR="008209A2">
          <w:rPr>
            <w:noProof/>
            <w:webHidden/>
          </w:rPr>
        </w:r>
        <w:r w:rsidR="008209A2">
          <w:rPr>
            <w:noProof/>
            <w:webHidden/>
          </w:rPr>
          <w:fldChar w:fldCharType="separate"/>
        </w:r>
        <w:r w:rsidR="008209A2">
          <w:rPr>
            <w:noProof/>
            <w:webHidden/>
          </w:rPr>
          <w:t>108</w:t>
        </w:r>
        <w:r w:rsidR="008209A2">
          <w:rPr>
            <w:noProof/>
            <w:webHidden/>
          </w:rPr>
          <w:fldChar w:fldCharType="end"/>
        </w:r>
      </w:hyperlink>
    </w:p>
    <w:p w14:paraId="7A6E8B06" w14:textId="06911A13"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694" w:history="1">
        <w:r w:rsidR="008209A2" w:rsidRPr="007C5BB6">
          <w:rPr>
            <w:rStyle w:val="Hyperlink"/>
            <w:noProof/>
          </w:rPr>
          <w:t>Figure 52: Vehicle Storage (Station 83 Annex)</w:t>
        </w:r>
        <w:r w:rsidR="008209A2">
          <w:rPr>
            <w:noProof/>
            <w:webHidden/>
          </w:rPr>
          <w:tab/>
        </w:r>
        <w:r w:rsidR="008209A2">
          <w:rPr>
            <w:noProof/>
            <w:webHidden/>
          </w:rPr>
          <w:fldChar w:fldCharType="begin"/>
        </w:r>
        <w:r w:rsidR="008209A2">
          <w:rPr>
            <w:noProof/>
            <w:webHidden/>
          </w:rPr>
          <w:instrText xml:space="preserve"> PAGEREF _Toc464323694 \h </w:instrText>
        </w:r>
        <w:r w:rsidR="008209A2">
          <w:rPr>
            <w:noProof/>
            <w:webHidden/>
          </w:rPr>
        </w:r>
        <w:r w:rsidR="008209A2">
          <w:rPr>
            <w:noProof/>
            <w:webHidden/>
          </w:rPr>
          <w:fldChar w:fldCharType="separate"/>
        </w:r>
        <w:r w:rsidR="008209A2">
          <w:rPr>
            <w:noProof/>
            <w:webHidden/>
          </w:rPr>
          <w:t>109</w:t>
        </w:r>
        <w:r w:rsidR="008209A2">
          <w:rPr>
            <w:noProof/>
            <w:webHidden/>
          </w:rPr>
          <w:fldChar w:fldCharType="end"/>
        </w:r>
      </w:hyperlink>
    </w:p>
    <w:p w14:paraId="7DD86E38" w14:textId="043ED258"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695" w:history="1">
        <w:r w:rsidR="008209A2" w:rsidRPr="007C5BB6">
          <w:rPr>
            <w:rStyle w:val="Hyperlink"/>
            <w:noProof/>
          </w:rPr>
          <w:t>Figure 53: Station 84</w:t>
        </w:r>
        <w:r w:rsidR="008209A2">
          <w:rPr>
            <w:noProof/>
            <w:webHidden/>
          </w:rPr>
          <w:tab/>
        </w:r>
        <w:r w:rsidR="008209A2">
          <w:rPr>
            <w:noProof/>
            <w:webHidden/>
          </w:rPr>
          <w:fldChar w:fldCharType="begin"/>
        </w:r>
        <w:r w:rsidR="008209A2">
          <w:rPr>
            <w:noProof/>
            <w:webHidden/>
          </w:rPr>
          <w:instrText xml:space="preserve"> PAGEREF _Toc464323695 \h </w:instrText>
        </w:r>
        <w:r w:rsidR="008209A2">
          <w:rPr>
            <w:noProof/>
            <w:webHidden/>
          </w:rPr>
        </w:r>
        <w:r w:rsidR="008209A2">
          <w:rPr>
            <w:noProof/>
            <w:webHidden/>
          </w:rPr>
          <w:fldChar w:fldCharType="separate"/>
        </w:r>
        <w:r w:rsidR="008209A2">
          <w:rPr>
            <w:noProof/>
            <w:webHidden/>
          </w:rPr>
          <w:t>110</w:t>
        </w:r>
        <w:r w:rsidR="008209A2">
          <w:rPr>
            <w:noProof/>
            <w:webHidden/>
          </w:rPr>
          <w:fldChar w:fldCharType="end"/>
        </w:r>
      </w:hyperlink>
    </w:p>
    <w:p w14:paraId="73096316" w14:textId="4ECC1EC9"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696" w:history="1">
        <w:r w:rsidR="008209A2" w:rsidRPr="007C5BB6">
          <w:rPr>
            <w:rStyle w:val="Hyperlink"/>
            <w:noProof/>
          </w:rPr>
          <w:t>Figure 54: Apparatus Inventory and Condition</w:t>
        </w:r>
        <w:r w:rsidR="008209A2">
          <w:rPr>
            <w:noProof/>
            <w:webHidden/>
          </w:rPr>
          <w:tab/>
        </w:r>
        <w:r w:rsidR="008209A2">
          <w:rPr>
            <w:noProof/>
            <w:webHidden/>
          </w:rPr>
          <w:fldChar w:fldCharType="begin"/>
        </w:r>
        <w:r w:rsidR="008209A2">
          <w:rPr>
            <w:noProof/>
            <w:webHidden/>
          </w:rPr>
          <w:instrText xml:space="preserve"> PAGEREF _Toc464323696 \h </w:instrText>
        </w:r>
        <w:r w:rsidR="008209A2">
          <w:rPr>
            <w:noProof/>
            <w:webHidden/>
          </w:rPr>
        </w:r>
        <w:r w:rsidR="008209A2">
          <w:rPr>
            <w:noProof/>
            <w:webHidden/>
          </w:rPr>
          <w:fldChar w:fldCharType="separate"/>
        </w:r>
        <w:r w:rsidR="008209A2">
          <w:rPr>
            <w:noProof/>
            <w:webHidden/>
          </w:rPr>
          <w:t>112</w:t>
        </w:r>
        <w:r w:rsidR="008209A2">
          <w:rPr>
            <w:noProof/>
            <w:webHidden/>
          </w:rPr>
          <w:fldChar w:fldCharType="end"/>
        </w:r>
      </w:hyperlink>
    </w:p>
    <w:p w14:paraId="4A2B2FDD" w14:textId="5BD58B79"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697" w:history="1">
        <w:r w:rsidR="008209A2" w:rsidRPr="007C5BB6">
          <w:rPr>
            <w:rStyle w:val="Hyperlink"/>
            <w:noProof/>
          </w:rPr>
          <w:t>Figure 55: Service Demand, 2011 - 2015</w:t>
        </w:r>
        <w:r w:rsidR="008209A2">
          <w:rPr>
            <w:noProof/>
            <w:webHidden/>
          </w:rPr>
          <w:tab/>
        </w:r>
        <w:r w:rsidR="008209A2">
          <w:rPr>
            <w:noProof/>
            <w:webHidden/>
          </w:rPr>
          <w:fldChar w:fldCharType="begin"/>
        </w:r>
        <w:r w:rsidR="008209A2">
          <w:rPr>
            <w:noProof/>
            <w:webHidden/>
          </w:rPr>
          <w:instrText xml:space="preserve"> PAGEREF _Toc464323697 \h </w:instrText>
        </w:r>
        <w:r w:rsidR="008209A2">
          <w:rPr>
            <w:noProof/>
            <w:webHidden/>
          </w:rPr>
        </w:r>
        <w:r w:rsidR="008209A2">
          <w:rPr>
            <w:noProof/>
            <w:webHidden/>
          </w:rPr>
          <w:fldChar w:fldCharType="separate"/>
        </w:r>
        <w:r w:rsidR="008209A2">
          <w:rPr>
            <w:noProof/>
            <w:webHidden/>
          </w:rPr>
          <w:t>113</w:t>
        </w:r>
        <w:r w:rsidR="008209A2">
          <w:rPr>
            <w:noProof/>
            <w:webHidden/>
          </w:rPr>
          <w:fldChar w:fldCharType="end"/>
        </w:r>
      </w:hyperlink>
    </w:p>
    <w:p w14:paraId="75D80846" w14:textId="2087F4C1"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698" w:history="1">
        <w:r w:rsidR="008209A2" w:rsidRPr="007C5BB6">
          <w:rPr>
            <w:rStyle w:val="Hyperlink"/>
            <w:noProof/>
          </w:rPr>
          <w:t>Figure 56: Incident Type, 2014-2015 Incidents</w:t>
        </w:r>
        <w:r w:rsidR="008209A2">
          <w:rPr>
            <w:noProof/>
            <w:webHidden/>
          </w:rPr>
          <w:tab/>
        </w:r>
        <w:r w:rsidR="008209A2">
          <w:rPr>
            <w:noProof/>
            <w:webHidden/>
          </w:rPr>
          <w:fldChar w:fldCharType="begin"/>
        </w:r>
        <w:r w:rsidR="008209A2">
          <w:rPr>
            <w:noProof/>
            <w:webHidden/>
          </w:rPr>
          <w:instrText xml:space="preserve"> PAGEREF _Toc464323698 \h </w:instrText>
        </w:r>
        <w:r w:rsidR="008209A2">
          <w:rPr>
            <w:noProof/>
            <w:webHidden/>
          </w:rPr>
        </w:r>
        <w:r w:rsidR="008209A2">
          <w:rPr>
            <w:noProof/>
            <w:webHidden/>
          </w:rPr>
          <w:fldChar w:fldCharType="separate"/>
        </w:r>
        <w:r w:rsidR="008209A2">
          <w:rPr>
            <w:noProof/>
            <w:webHidden/>
          </w:rPr>
          <w:t>114</w:t>
        </w:r>
        <w:r w:rsidR="008209A2">
          <w:rPr>
            <w:noProof/>
            <w:webHidden/>
          </w:rPr>
          <w:fldChar w:fldCharType="end"/>
        </w:r>
      </w:hyperlink>
    </w:p>
    <w:p w14:paraId="7BC26135" w14:textId="596B2349"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699" w:history="1">
        <w:r w:rsidR="008209A2" w:rsidRPr="007C5BB6">
          <w:rPr>
            <w:rStyle w:val="Hyperlink"/>
            <w:noProof/>
          </w:rPr>
          <w:t>Figure 57: Service Demand by Month of the Year, 2014-2015</w:t>
        </w:r>
        <w:r w:rsidR="008209A2">
          <w:rPr>
            <w:noProof/>
            <w:webHidden/>
          </w:rPr>
          <w:tab/>
        </w:r>
        <w:r w:rsidR="008209A2">
          <w:rPr>
            <w:noProof/>
            <w:webHidden/>
          </w:rPr>
          <w:fldChar w:fldCharType="begin"/>
        </w:r>
        <w:r w:rsidR="008209A2">
          <w:rPr>
            <w:noProof/>
            <w:webHidden/>
          </w:rPr>
          <w:instrText xml:space="preserve"> PAGEREF _Toc464323699 \h </w:instrText>
        </w:r>
        <w:r w:rsidR="008209A2">
          <w:rPr>
            <w:noProof/>
            <w:webHidden/>
          </w:rPr>
        </w:r>
        <w:r w:rsidR="008209A2">
          <w:rPr>
            <w:noProof/>
            <w:webHidden/>
          </w:rPr>
          <w:fldChar w:fldCharType="separate"/>
        </w:r>
        <w:r w:rsidR="008209A2">
          <w:rPr>
            <w:noProof/>
            <w:webHidden/>
          </w:rPr>
          <w:t>115</w:t>
        </w:r>
        <w:r w:rsidR="008209A2">
          <w:rPr>
            <w:noProof/>
            <w:webHidden/>
          </w:rPr>
          <w:fldChar w:fldCharType="end"/>
        </w:r>
      </w:hyperlink>
    </w:p>
    <w:p w14:paraId="6B183127" w14:textId="473B3C48"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700" w:history="1">
        <w:r w:rsidR="008209A2" w:rsidRPr="007C5BB6">
          <w:rPr>
            <w:rStyle w:val="Hyperlink"/>
            <w:noProof/>
          </w:rPr>
          <w:t>Figure 58: Service Demand by Day of the Week, 2014-2015</w:t>
        </w:r>
        <w:r w:rsidR="008209A2">
          <w:rPr>
            <w:noProof/>
            <w:webHidden/>
          </w:rPr>
          <w:tab/>
        </w:r>
        <w:r w:rsidR="008209A2">
          <w:rPr>
            <w:noProof/>
            <w:webHidden/>
          </w:rPr>
          <w:fldChar w:fldCharType="begin"/>
        </w:r>
        <w:r w:rsidR="008209A2">
          <w:rPr>
            <w:noProof/>
            <w:webHidden/>
          </w:rPr>
          <w:instrText xml:space="preserve"> PAGEREF _Toc464323700 \h </w:instrText>
        </w:r>
        <w:r w:rsidR="008209A2">
          <w:rPr>
            <w:noProof/>
            <w:webHidden/>
          </w:rPr>
        </w:r>
        <w:r w:rsidR="008209A2">
          <w:rPr>
            <w:noProof/>
            <w:webHidden/>
          </w:rPr>
          <w:fldChar w:fldCharType="separate"/>
        </w:r>
        <w:r w:rsidR="008209A2">
          <w:rPr>
            <w:noProof/>
            <w:webHidden/>
          </w:rPr>
          <w:t>115</w:t>
        </w:r>
        <w:r w:rsidR="008209A2">
          <w:rPr>
            <w:noProof/>
            <w:webHidden/>
          </w:rPr>
          <w:fldChar w:fldCharType="end"/>
        </w:r>
      </w:hyperlink>
    </w:p>
    <w:p w14:paraId="1A228B99" w14:textId="691362EC"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701" w:history="1">
        <w:r w:rsidR="008209A2" w:rsidRPr="007C5BB6">
          <w:rPr>
            <w:rStyle w:val="Hyperlink"/>
            <w:noProof/>
          </w:rPr>
          <w:t>Figure 59: Service Demand by Hour of the Day, 2014-2015</w:t>
        </w:r>
        <w:r w:rsidR="008209A2">
          <w:rPr>
            <w:noProof/>
            <w:webHidden/>
          </w:rPr>
          <w:tab/>
        </w:r>
        <w:r w:rsidR="008209A2">
          <w:rPr>
            <w:noProof/>
            <w:webHidden/>
          </w:rPr>
          <w:fldChar w:fldCharType="begin"/>
        </w:r>
        <w:r w:rsidR="008209A2">
          <w:rPr>
            <w:noProof/>
            <w:webHidden/>
          </w:rPr>
          <w:instrText xml:space="preserve"> PAGEREF _Toc464323701 \h </w:instrText>
        </w:r>
        <w:r w:rsidR="008209A2">
          <w:rPr>
            <w:noProof/>
            <w:webHidden/>
          </w:rPr>
        </w:r>
        <w:r w:rsidR="008209A2">
          <w:rPr>
            <w:noProof/>
            <w:webHidden/>
          </w:rPr>
          <w:fldChar w:fldCharType="separate"/>
        </w:r>
        <w:r w:rsidR="008209A2">
          <w:rPr>
            <w:noProof/>
            <w:webHidden/>
          </w:rPr>
          <w:t>116</w:t>
        </w:r>
        <w:r w:rsidR="008209A2">
          <w:rPr>
            <w:noProof/>
            <w:webHidden/>
          </w:rPr>
          <w:fldChar w:fldCharType="end"/>
        </w:r>
      </w:hyperlink>
    </w:p>
    <w:p w14:paraId="3A522BBF" w14:textId="21F327FF"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702" w:history="1">
        <w:r w:rsidR="008209A2" w:rsidRPr="007C5BB6">
          <w:rPr>
            <w:rStyle w:val="Hyperlink"/>
            <w:noProof/>
          </w:rPr>
          <w:t>Figure 60: Geographic Service Demand –All Incident Types, 2014-2015</w:t>
        </w:r>
        <w:r w:rsidR="008209A2">
          <w:rPr>
            <w:noProof/>
            <w:webHidden/>
          </w:rPr>
          <w:tab/>
        </w:r>
        <w:r w:rsidR="008209A2">
          <w:rPr>
            <w:noProof/>
            <w:webHidden/>
          </w:rPr>
          <w:fldChar w:fldCharType="begin"/>
        </w:r>
        <w:r w:rsidR="008209A2">
          <w:rPr>
            <w:noProof/>
            <w:webHidden/>
          </w:rPr>
          <w:instrText xml:space="preserve"> PAGEREF _Toc464323702 \h </w:instrText>
        </w:r>
        <w:r w:rsidR="008209A2">
          <w:rPr>
            <w:noProof/>
            <w:webHidden/>
          </w:rPr>
        </w:r>
        <w:r w:rsidR="008209A2">
          <w:rPr>
            <w:noProof/>
            <w:webHidden/>
          </w:rPr>
          <w:fldChar w:fldCharType="separate"/>
        </w:r>
        <w:r w:rsidR="008209A2">
          <w:rPr>
            <w:noProof/>
            <w:webHidden/>
          </w:rPr>
          <w:t>117</w:t>
        </w:r>
        <w:r w:rsidR="008209A2">
          <w:rPr>
            <w:noProof/>
            <w:webHidden/>
          </w:rPr>
          <w:fldChar w:fldCharType="end"/>
        </w:r>
      </w:hyperlink>
    </w:p>
    <w:p w14:paraId="7D651CF1" w14:textId="5AEBBE35"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703" w:history="1">
        <w:r w:rsidR="008209A2" w:rsidRPr="007C5BB6">
          <w:rPr>
            <w:rStyle w:val="Hyperlink"/>
            <w:noProof/>
          </w:rPr>
          <w:t>Figure 61: Geographic Service Demand –All Fires Incidents, 2014-2015</w:t>
        </w:r>
        <w:r w:rsidR="008209A2">
          <w:rPr>
            <w:noProof/>
            <w:webHidden/>
          </w:rPr>
          <w:tab/>
        </w:r>
        <w:r w:rsidR="008209A2">
          <w:rPr>
            <w:noProof/>
            <w:webHidden/>
          </w:rPr>
          <w:fldChar w:fldCharType="begin"/>
        </w:r>
        <w:r w:rsidR="008209A2">
          <w:rPr>
            <w:noProof/>
            <w:webHidden/>
          </w:rPr>
          <w:instrText xml:space="preserve"> PAGEREF _Toc464323703 \h </w:instrText>
        </w:r>
        <w:r w:rsidR="008209A2">
          <w:rPr>
            <w:noProof/>
            <w:webHidden/>
          </w:rPr>
        </w:r>
        <w:r w:rsidR="008209A2">
          <w:rPr>
            <w:noProof/>
            <w:webHidden/>
          </w:rPr>
          <w:fldChar w:fldCharType="separate"/>
        </w:r>
        <w:r w:rsidR="008209A2">
          <w:rPr>
            <w:noProof/>
            <w:webHidden/>
          </w:rPr>
          <w:t>118</w:t>
        </w:r>
        <w:r w:rsidR="008209A2">
          <w:rPr>
            <w:noProof/>
            <w:webHidden/>
          </w:rPr>
          <w:fldChar w:fldCharType="end"/>
        </w:r>
      </w:hyperlink>
    </w:p>
    <w:p w14:paraId="2B145299" w14:textId="5EF17EEB"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704" w:history="1">
        <w:r w:rsidR="008209A2" w:rsidRPr="007C5BB6">
          <w:rPr>
            <w:rStyle w:val="Hyperlink"/>
            <w:noProof/>
          </w:rPr>
          <w:t>Figure 62: Study Area</w:t>
        </w:r>
        <w:r w:rsidR="008209A2">
          <w:rPr>
            <w:noProof/>
            <w:webHidden/>
          </w:rPr>
          <w:tab/>
        </w:r>
        <w:r w:rsidR="008209A2">
          <w:rPr>
            <w:noProof/>
            <w:webHidden/>
          </w:rPr>
          <w:fldChar w:fldCharType="begin"/>
        </w:r>
        <w:r w:rsidR="008209A2">
          <w:rPr>
            <w:noProof/>
            <w:webHidden/>
          </w:rPr>
          <w:instrText xml:space="preserve"> PAGEREF _Toc464323704 \h </w:instrText>
        </w:r>
        <w:r w:rsidR="008209A2">
          <w:rPr>
            <w:noProof/>
            <w:webHidden/>
          </w:rPr>
        </w:r>
        <w:r w:rsidR="008209A2">
          <w:rPr>
            <w:noProof/>
            <w:webHidden/>
          </w:rPr>
          <w:fldChar w:fldCharType="separate"/>
        </w:r>
        <w:r w:rsidR="008209A2">
          <w:rPr>
            <w:noProof/>
            <w:webHidden/>
          </w:rPr>
          <w:t>119</w:t>
        </w:r>
        <w:r w:rsidR="008209A2">
          <w:rPr>
            <w:noProof/>
            <w:webHidden/>
          </w:rPr>
          <w:fldChar w:fldCharType="end"/>
        </w:r>
      </w:hyperlink>
    </w:p>
    <w:p w14:paraId="45B17399" w14:textId="2434D8BA"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705" w:history="1">
        <w:r w:rsidR="008209A2" w:rsidRPr="007C5BB6">
          <w:rPr>
            <w:rStyle w:val="Hyperlink"/>
            <w:noProof/>
          </w:rPr>
          <w:t>Figure 63: Population Density, Office of Financial Management (OFM) 2015 Population Estimate</w:t>
        </w:r>
        <w:r w:rsidR="008209A2">
          <w:rPr>
            <w:noProof/>
            <w:webHidden/>
          </w:rPr>
          <w:tab/>
        </w:r>
        <w:r w:rsidR="008209A2">
          <w:rPr>
            <w:noProof/>
            <w:webHidden/>
          </w:rPr>
          <w:fldChar w:fldCharType="begin"/>
        </w:r>
        <w:r w:rsidR="008209A2">
          <w:rPr>
            <w:noProof/>
            <w:webHidden/>
          </w:rPr>
          <w:instrText xml:space="preserve"> PAGEREF _Toc464323705 \h </w:instrText>
        </w:r>
        <w:r w:rsidR="008209A2">
          <w:rPr>
            <w:noProof/>
            <w:webHidden/>
          </w:rPr>
        </w:r>
        <w:r w:rsidR="008209A2">
          <w:rPr>
            <w:noProof/>
            <w:webHidden/>
          </w:rPr>
          <w:fldChar w:fldCharType="separate"/>
        </w:r>
        <w:r w:rsidR="008209A2">
          <w:rPr>
            <w:noProof/>
            <w:webHidden/>
          </w:rPr>
          <w:t>120</w:t>
        </w:r>
        <w:r w:rsidR="008209A2">
          <w:rPr>
            <w:noProof/>
            <w:webHidden/>
          </w:rPr>
          <w:fldChar w:fldCharType="end"/>
        </w:r>
      </w:hyperlink>
    </w:p>
    <w:p w14:paraId="43ACA161" w14:textId="625FDF32"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706" w:history="1">
        <w:r w:rsidR="008209A2" w:rsidRPr="007C5BB6">
          <w:rPr>
            <w:rStyle w:val="Hyperlink"/>
            <w:noProof/>
          </w:rPr>
          <w:t>Figure 64: Station Distribution, WSRB Criteria</w:t>
        </w:r>
        <w:r w:rsidR="008209A2">
          <w:rPr>
            <w:noProof/>
            <w:webHidden/>
          </w:rPr>
          <w:tab/>
        </w:r>
        <w:r w:rsidR="008209A2">
          <w:rPr>
            <w:noProof/>
            <w:webHidden/>
          </w:rPr>
          <w:fldChar w:fldCharType="begin"/>
        </w:r>
        <w:r w:rsidR="008209A2">
          <w:rPr>
            <w:noProof/>
            <w:webHidden/>
          </w:rPr>
          <w:instrText xml:space="preserve"> PAGEREF _Toc464323706 \h </w:instrText>
        </w:r>
        <w:r w:rsidR="008209A2">
          <w:rPr>
            <w:noProof/>
            <w:webHidden/>
          </w:rPr>
        </w:r>
        <w:r w:rsidR="008209A2">
          <w:rPr>
            <w:noProof/>
            <w:webHidden/>
          </w:rPr>
          <w:fldChar w:fldCharType="separate"/>
        </w:r>
        <w:r w:rsidR="008209A2">
          <w:rPr>
            <w:noProof/>
            <w:webHidden/>
          </w:rPr>
          <w:t>121</w:t>
        </w:r>
        <w:r w:rsidR="008209A2">
          <w:rPr>
            <w:noProof/>
            <w:webHidden/>
          </w:rPr>
          <w:fldChar w:fldCharType="end"/>
        </w:r>
      </w:hyperlink>
    </w:p>
    <w:p w14:paraId="50B7D630" w14:textId="598B3797"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707" w:history="1">
        <w:r w:rsidR="008209A2" w:rsidRPr="007C5BB6">
          <w:rPr>
            <w:rStyle w:val="Hyperlink"/>
            <w:noProof/>
          </w:rPr>
          <w:t>Figure 65: Aerial Apparatus Distribution, WSRB Criteria</w:t>
        </w:r>
        <w:r w:rsidR="008209A2">
          <w:rPr>
            <w:noProof/>
            <w:webHidden/>
          </w:rPr>
          <w:tab/>
        </w:r>
        <w:r w:rsidR="008209A2">
          <w:rPr>
            <w:noProof/>
            <w:webHidden/>
          </w:rPr>
          <w:fldChar w:fldCharType="begin"/>
        </w:r>
        <w:r w:rsidR="008209A2">
          <w:rPr>
            <w:noProof/>
            <w:webHidden/>
          </w:rPr>
          <w:instrText xml:space="preserve"> PAGEREF _Toc464323707 \h </w:instrText>
        </w:r>
        <w:r w:rsidR="008209A2">
          <w:rPr>
            <w:noProof/>
            <w:webHidden/>
          </w:rPr>
        </w:r>
        <w:r w:rsidR="008209A2">
          <w:rPr>
            <w:noProof/>
            <w:webHidden/>
          </w:rPr>
          <w:fldChar w:fldCharType="separate"/>
        </w:r>
        <w:r w:rsidR="008209A2">
          <w:rPr>
            <w:noProof/>
            <w:webHidden/>
          </w:rPr>
          <w:t>122</w:t>
        </w:r>
        <w:r w:rsidR="008209A2">
          <w:rPr>
            <w:noProof/>
            <w:webHidden/>
          </w:rPr>
          <w:fldChar w:fldCharType="end"/>
        </w:r>
      </w:hyperlink>
    </w:p>
    <w:p w14:paraId="37A0C202" w14:textId="11D7F44C"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708" w:history="1">
        <w:r w:rsidR="008209A2" w:rsidRPr="007C5BB6">
          <w:rPr>
            <w:rStyle w:val="Hyperlink"/>
            <w:noProof/>
          </w:rPr>
          <w:t>Figure 66: Travel Time Model, NFPA Criteria</w:t>
        </w:r>
        <w:r w:rsidR="008209A2">
          <w:rPr>
            <w:noProof/>
            <w:webHidden/>
          </w:rPr>
          <w:tab/>
        </w:r>
        <w:r w:rsidR="008209A2">
          <w:rPr>
            <w:noProof/>
            <w:webHidden/>
          </w:rPr>
          <w:fldChar w:fldCharType="begin"/>
        </w:r>
        <w:r w:rsidR="008209A2">
          <w:rPr>
            <w:noProof/>
            <w:webHidden/>
          </w:rPr>
          <w:instrText xml:space="preserve"> PAGEREF _Toc464323708 \h </w:instrText>
        </w:r>
        <w:r w:rsidR="008209A2">
          <w:rPr>
            <w:noProof/>
            <w:webHidden/>
          </w:rPr>
        </w:r>
        <w:r w:rsidR="008209A2">
          <w:rPr>
            <w:noProof/>
            <w:webHidden/>
          </w:rPr>
          <w:fldChar w:fldCharType="separate"/>
        </w:r>
        <w:r w:rsidR="008209A2">
          <w:rPr>
            <w:noProof/>
            <w:webHidden/>
          </w:rPr>
          <w:t>123</w:t>
        </w:r>
        <w:r w:rsidR="008209A2">
          <w:rPr>
            <w:noProof/>
            <w:webHidden/>
          </w:rPr>
          <w:fldChar w:fldCharType="end"/>
        </w:r>
      </w:hyperlink>
    </w:p>
    <w:p w14:paraId="2D3FA703" w14:textId="3874CAA0"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709" w:history="1">
        <w:r w:rsidR="008209A2" w:rsidRPr="007C5BB6">
          <w:rPr>
            <w:rStyle w:val="Hyperlink"/>
            <w:noProof/>
          </w:rPr>
          <w:t>Figure 67: Potential Travel Time Model, PFD Response/Travel Time Model</w:t>
        </w:r>
        <w:r w:rsidR="008209A2">
          <w:rPr>
            <w:noProof/>
            <w:webHidden/>
          </w:rPr>
          <w:tab/>
        </w:r>
        <w:r w:rsidR="008209A2">
          <w:rPr>
            <w:noProof/>
            <w:webHidden/>
          </w:rPr>
          <w:fldChar w:fldCharType="begin"/>
        </w:r>
        <w:r w:rsidR="008209A2">
          <w:rPr>
            <w:noProof/>
            <w:webHidden/>
          </w:rPr>
          <w:instrText xml:space="preserve"> PAGEREF _Toc464323709 \h </w:instrText>
        </w:r>
        <w:r w:rsidR="008209A2">
          <w:rPr>
            <w:noProof/>
            <w:webHidden/>
          </w:rPr>
        </w:r>
        <w:r w:rsidR="008209A2">
          <w:rPr>
            <w:noProof/>
            <w:webHidden/>
          </w:rPr>
          <w:fldChar w:fldCharType="separate"/>
        </w:r>
        <w:r w:rsidR="008209A2">
          <w:rPr>
            <w:noProof/>
            <w:webHidden/>
          </w:rPr>
          <w:t>124</w:t>
        </w:r>
        <w:r w:rsidR="008209A2">
          <w:rPr>
            <w:noProof/>
            <w:webHidden/>
          </w:rPr>
          <w:fldChar w:fldCharType="end"/>
        </w:r>
      </w:hyperlink>
    </w:p>
    <w:p w14:paraId="7DF6E139" w14:textId="32C1DF34"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710" w:history="1">
        <w:r w:rsidR="008209A2" w:rsidRPr="007C5BB6">
          <w:rPr>
            <w:rStyle w:val="Hyperlink"/>
            <w:noProof/>
          </w:rPr>
          <w:t>Figure 68: 2014-2015 Service Demand and Six Minutes Travel Time Model</w:t>
        </w:r>
        <w:r w:rsidR="008209A2">
          <w:rPr>
            <w:noProof/>
            <w:webHidden/>
          </w:rPr>
          <w:tab/>
        </w:r>
        <w:r w:rsidR="008209A2">
          <w:rPr>
            <w:noProof/>
            <w:webHidden/>
          </w:rPr>
          <w:fldChar w:fldCharType="begin"/>
        </w:r>
        <w:r w:rsidR="008209A2">
          <w:rPr>
            <w:noProof/>
            <w:webHidden/>
          </w:rPr>
          <w:instrText xml:space="preserve"> PAGEREF _Toc464323710 \h </w:instrText>
        </w:r>
        <w:r w:rsidR="008209A2">
          <w:rPr>
            <w:noProof/>
            <w:webHidden/>
          </w:rPr>
        </w:r>
        <w:r w:rsidR="008209A2">
          <w:rPr>
            <w:noProof/>
            <w:webHidden/>
          </w:rPr>
          <w:fldChar w:fldCharType="separate"/>
        </w:r>
        <w:r w:rsidR="008209A2">
          <w:rPr>
            <w:noProof/>
            <w:webHidden/>
          </w:rPr>
          <w:t>125</w:t>
        </w:r>
        <w:r w:rsidR="008209A2">
          <w:rPr>
            <w:noProof/>
            <w:webHidden/>
          </w:rPr>
          <w:fldChar w:fldCharType="end"/>
        </w:r>
      </w:hyperlink>
    </w:p>
    <w:p w14:paraId="032B3E53" w14:textId="67B4941D"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711" w:history="1">
        <w:r w:rsidR="008209A2" w:rsidRPr="007C5BB6">
          <w:rPr>
            <w:rStyle w:val="Hyperlink"/>
            <w:noProof/>
          </w:rPr>
          <w:t>Figure 69: Actual Travel Time Performance by Fire Management Zone, 2015</w:t>
        </w:r>
        <w:r w:rsidR="008209A2">
          <w:rPr>
            <w:noProof/>
            <w:webHidden/>
          </w:rPr>
          <w:tab/>
        </w:r>
        <w:r w:rsidR="008209A2">
          <w:rPr>
            <w:noProof/>
            <w:webHidden/>
          </w:rPr>
          <w:fldChar w:fldCharType="begin"/>
        </w:r>
        <w:r w:rsidR="008209A2">
          <w:rPr>
            <w:noProof/>
            <w:webHidden/>
          </w:rPr>
          <w:instrText xml:space="preserve"> PAGEREF _Toc464323711 \h </w:instrText>
        </w:r>
        <w:r w:rsidR="008209A2">
          <w:rPr>
            <w:noProof/>
            <w:webHidden/>
          </w:rPr>
        </w:r>
        <w:r w:rsidR="008209A2">
          <w:rPr>
            <w:noProof/>
            <w:webHidden/>
          </w:rPr>
          <w:fldChar w:fldCharType="separate"/>
        </w:r>
        <w:r w:rsidR="008209A2">
          <w:rPr>
            <w:noProof/>
            <w:webHidden/>
          </w:rPr>
          <w:t>126</w:t>
        </w:r>
        <w:r w:rsidR="008209A2">
          <w:rPr>
            <w:noProof/>
            <w:webHidden/>
          </w:rPr>
          <w:fldChar w:fldCharType="end"/>
        </w:r>
      </w:hyperlink>
    </w:p>
    <w:p w14:paraId="2D0297F2" w14:textId="76476D8B"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712" w:history="1">
        <w:r w:rsidR="008209A2" w:rsidRPr="007C5BB6">
          <w:rPr>
            <w:rStyle w:val="Hyperlink"/>
            <w:noProof/>
          </w:rPr>
          <w:t>Figure 70: Station Concentration, Staffed Stations</w:t>
        </w:r>
        <w:r w:rsidR="008209A2">
          <w:rPr>
            <w:noProof/>
            <w:webHidden/>
          </w:rPr>
          <w:tab/>
        </w:r>
        <w:r w:rsidR="008209A2">
          <w:rPr>
            <w:noProof/>
            <w:webHidden/>
          </w:rPr>
          <w:fldChar w:fldCharType="begin"/>
        </w:r>
        <w:r w:rsidR="008209A2">
          <w:rPr>
            <w:noProof/>
            <w:webHidden/>
          </w:rPr>
          <w:instrText xml:space="preserve"> PAGEREF _Toc464323712 \h </w:instrText>
        </w:r>
        <w:r w:rsidR="008209A2">
          <w:rPr>
            <w:noProof/>
            <w:webHidden/>
          </w:rPr>
        </w:r>
        <w:r w:rsidR="008209A2">
          <w:rPr>
            <w:noProof/>
            <w:webHidden/>
          </w:rPr>
          <w:fldChar w:fldCharType="separate"/>
        </w:r>
        <w:r w:rsidR="008209A2">
          <w:rPr>
            <w:noProof/>
            <w:webHidden/>
          </w:rPr>
          <w:t>127</w:t>
        </w:r>
        <w:r w:rsidR="008209A2">
          <w:rPr>
            <w:noProof/>
            <w:webHidden/>
          </w:rPr>
          <w:fldChar w:fldCharType="end"/>
        </w:r>
      </w:hyperlink>
    </w:p>
    <w:p w14:paraId="578BF5AF" w14:textId="4782987E"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713" w:history="1">
        <w:r w:rsidR="008209A2" w:rsidRPr="007C5BB6">
          <w:rPr>
            <w:rStyle w:val="Hyperlink"/>
            <w:noProof/>
          </w:rPr>
          <w:t>Figure 71: Full First Alarm, 12 Minutes Travel Time (PFD Travel Time Goal)</w:t>
        </w:r>
        <w:r w:rsidR="008209A2">
          <w:rPr>
            <w:noProof/>
            <w:webHidden/>
          </w:rPr>
          <w:tab/>
        </w:r>
        <w:r w:rsidR="008209A2">
          <w:rPr>
            <w:noProof/>
            <w:webHidden/>
          </w:rPr>
          <w:fldChar w:fldCharType="begin"/>
        </w:r>
        <w:r w:rsidR="008209A2">
          <w:rPr>
            <w:noProof/>
            <w:webHidden/>
          </w:rPr>
          <w:instrText xml:space="preserve"> PAGEREF _Toc464323713 \h </w:instrText>
        </w:r>
        <w:r w:rsidR="008209A2">
          <w:rPr>
            <w:noProof/>
            <w:webHidden/>
          </w:rPr>
        </w:r>
        <w:r w:rsidR="008209A2">
          <w:rPr>
            <w:noProof/>
            <w:webHidden/>
          </w:rPr>
          <w:fldChar w:fldCharType="separate"/>
        </w:r>
        <w:r w:rsidR="008209A2">
          <w:rPr>
            <w:noProof/>
            <w:webHidden/>
          </w:rPr>
          <w:t>128</w:t>
        </w:r>
        <w:r w:rsidR="008209A2">
          <w:rPr>
            <w:noProof/>
            <w:webHidden/>
          </w:rPr>
          <w:fldChar w:fldCharType="end"/>
        </w:r>
      </w:hyperlink>
    </w:p>
    <w:p w14:paraId="2F5D1218" w14:textId="4F9B6D61"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714" w:history="1">
        <w:r w:rsidR="008209A2" w:rsidRPr="007C5BB6">
          <w:rPr>
            <w:rStyle w:val="Hyperlink"/>
            <w:noProof/>
          </w:rPr>
          <w:t>Figure 72: 2014 Unit Hour Utilization (UHU)</w:t>
        </w:r>
        <w:r w:rsidR="008209A2">
          <w:rPr>
            <w:noProof/>
            <w:webHidden/>
          </w:rPr>
          <w:tab/>
        </w:r>
        <w:r w:rsidR="008209A2">
          <w:rPr>
            <w:noProof/>
            <w:webHidden/>
          </w:rPr>
          <w:fldChar w:fldCharType="begin"/>
        </w:r>
        <w:r w:rsidR="008209A2">
          <w:rPr>
            <w:noProof/>
            <w:webHidden/>
          </w:rPr>
          <w:instrText xml:space="preserve"> PAGEREF _Toc464323714 \h </w:instrText>
        </w:r>
        <w:r w:rsidR="008209A2">
          <w:rPr>
            <w:noProof/>
            <w:webHidden/>
          </w:rPr>
        </w:r>
        <w:r w:rsidR="008209A2">
          <w:rPr>
            <w:noProof/>
            <w:webHidden/>
          </w:rPr>
          <w:fldChar w:fldCharType="separate"/>
        </w:r>
        <w:r w:rsidR="008209A2">
          <w:rPr>
            <w:noProof/>
            <w:webHidden/>
          </w:rPr>
          <w:t>129</w:t>
        </w:r>
        <w:r w:rsidR="008209A2">
          <w:rPr>
            <w:noProof/>
            <w:webHidden/>
          </w:rPr>
          <w:fldChar w:fldCharType="end"/>
        </w:r>
      </w:hyperlink>
    </w:p>
    <w:p w14:paraId="208BDC31" w14:textId="3DD8B25B"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715" w:history="1">
        <w:r w:rsidR="008209A2" w:rsidRPr="007C5BB6">
          <w:rPr>
            <w:rStyle w:val="Hyperlink"/>
            <w:noProof/>
          </w:rPr>
          <w:t>Figure 73: 2015 Unit Hour Utilization (UHU)</w:t>
        </w:r>
        <w:r w:rsidR="008209A2">
          <w:rPr>
            <w:noProof/>
            <w:webHidden/>
          </w:rPr>
          <w:tab/>
        </w:r>
        <w:r w:rsidR="008209A2">
          <w:rPr>
            <w:noProof/>
            <w:webHidden/>
          </w:rPr>
          <w:fldChar w:fldCharType="begin"/>
        </w:r>
        <w:r w:rsidR="008209A2">
          <w:rPr>
            <w:noProof/>
            <w:webHidden/>
          </w:rPr>
          <w:instrText xml:space="preserve"> PAGEREF _Toc464323715 \h </w:instrText>
        </w:r>
        <w:r w:rsidR="008209A2">
          <w:rPr>
            <w:noProof/>
            <w:webHidden/>
          </w:rPr>
        </w:r>
        <w:r w:rsidR="008209A2">
          <w:rPr>
            <w:noProof/>
            <w:webHidden/>
          </w:rPr>
          <w:fldChar w:fldCharType="separate"/>
        </w:r>
        <w:r w:rsidR="008209A2">
          <w:rPr>
            <w:noProof/>
            <w:webHidden/>
          </w:rPr>
          <w:t>129</w:t>
        </w:r>
        <w:r w:rsidR="008209A2">
          <w:rPr>
            <w:noProof/>
            <w:webHidden/>
          </w:rPr>
          <w:fldChar w:fldCharType="end"/>
        </w:r>
      </w:hyperlink>
    </w:p>
    <w:p w14:paraId="308B037E" w14:textId="7B1C1C96"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716" w:history="1">
        <w:r w:rsidR="008209A2" w:rsidRPr="007C5BB6">
          <w:rPr>
            <w:rStyle w:val="Hyperlink"/>
            <w:noProof/>
          </w:rPr>
          <w:t>Figure 74: Concurrent Incidents, 2014-2015</w:t>
        </w:r>
        <w:r w:rsidR="008209A2">
          <w:rPr>
            <w:noProof/>
            <w:webHidden/>
          </w:rPr>
          <w:tab/>
        </w:r>
        <w:r w:rsidR="008209A2">
          <w:rPr>
            <w:noProof/>
            <w:webHidden/>
          </w:rPr>
          <w:fldChar w:fldCharType="begin"/>
        </w:r>
        <w:r w:rsidR="008209A2">
          <w:rPr>
            <w:noProof/>
            <w:webHidden/>
          </w:rPr>
          <w:instrText xml:space="preserve"> PAGEREF _Toc464323716 \h </w:instrText>
        </w:r>
        <w:r w:rsidR="008209A2">
          <w:rPr>
            <w:noProof/>
            <w:webHidden/>
          </w:rPr>
        </w:r>
        <w:r w:rsidR="008209A2">
          <w:rPr>
            <w:noProof/>
            <w:webHidden/>
          </w:rPr>
          <w:fldChar w:fldCharType="separate"/>
        </w:r>
        <w:r w:rsidR="008209A2">
          <w:rPr>
            <w:noProof/>
            <w:webHidden/>
          </w:rPr>
          <w:t>131</w:t>
        </w:r>
        <w:r w:rsidR="008209A2">
          <w:rPr>
            <w:noProof/>
            <w:webHidden/>
          </w:rPr>
          <w:fldChar w:fldCharType="end"/>
        </w:r>
      </w:hyperlink>
    </w:p>
    <w:p w14:paraId="6011BB62" w14:textId="43F8D929"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717" w:history="1">
        <w:r w:rsidR="008209A2" w:rsidRPr="007C5BB6">
          <w:rPr>
            <w:rStyle w:val="Hyperlink"/>
            <w:noProof/>
          </w:rPr>
          <w:t>Figure 75: Concurrent Incidents by Station Area, 2014-2015</w:t>
        </w:r>
        <w:r w:rsidR="008209A2">
          <w:rPr>
            <w:noProof/>
            <w:webHidden/>
          </w:rPr>
          <w:tab/>
        </w:r>
        <w:r w:rsidR="008209A2">
          <w:rPr>
            <w:noProof/>
            <w:webHidden/>
          </w:rPr>
          <w:fldChar w:fldCharType="begin"/>
        </w:r>
        <w:r w:rsidR="008209A2">
          <w:rPr>
            <w:noProof/>
            <w:webHidden/>
          </w:rPr>
          <w:instrText xml:space="preserve"> PAGEREF _Toc464323717 \h </w:instrText>
        </w:r>
        <w:r w:rsidR="008209A2">
          <w:rPr>
            <w:noProof/>
            <w:webHidden/>
          </w:rPr>
        </w:r>
        <w:r w:rsidR="008209A2">
          <w:rPr>
            <w:noProof/>
            <w:webHidden/>
          </w:rPr>
          <w:fldChar w:fldCharType="separate"/>
        </w:r>
        <w:r w:rsidR="008209A2">
          <w:rPr>
            <w:noProof/>
            <w:webHidden/>
          </w:rPr>
          <w:t>131</w:t>
        </w:r>
        <w:r w:rsidR="008209A2">
          <w:rPr>
            <w:noProof/>
            <w:webHidden/>
          </w:rPr>
          <w:fldChar w:fldCharType="end"/>
        </w:r>
      </w:hyperlink>
    </w:p>
    <w:p w14:paraId="234E8ACD" w14:textId="453ACC69"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718" w:history="1">
        <w:r w:rsidR="008209A2" w:rsidRPr="007C5BB6">
          <w:rPr>
            <w:rStyle w:val="Hyperlink"/>
            <w:noProof/>
          </w:rPr>
          <w:t>Figure 76: Response Performance Goals and Performance, 2015</w:t>
        </w:r>
        <w:r w:rsidR="008209A2">
          <w:rPr>
            <w:noProof/>
            <w:webHidden/>
          </w:rPr>
          <w:tab/>
        </w:r>
        <w:r w:rsidR="008209A2">
          <w:rPr>
            <w:noProof/>
            <w:webHidden/>
          </w:rPr>
          <w:fldChar w:fldCharType="begin"/>
        </w:r>
        <w:r w:rsidR="008209A2">
          <w:rPr>
            <w:noProof/>
            <w:webHidden/>
          </w:rPr>
          <w:instrText xml:space="preserve"> PAGEREF _Toc464323718 \h </w:instrText>
        </w:r>
        <w:r w:rsidR="008209A2">
          <w:rPr>
            <w:noProof/>
            <w:webHidden/>
          </w:rPr>
        </w:r>
        <w:r w:rsidR="008209A2">
          <w:rPr>
            <w:noProof/>
            <w:webHidden/>
          </w:rPr>
          <w:fldChar w:fldCharType="separate"/>
        </w:r>
        <w:r w:rsidR="008209A2">
          <w:rPr>
            <w:noProof/>
            <w:webHidden/>
          </w:rPr>
          <w:t>132</w:t>
        </w:r>
        <w:r w:rsidR="008209A2">
          <w:rPr>
            <w:noProof/>
            <w:webHidden/>
          </w:rPr>
          <w:fldChar w:fldCharType="end"/>
        </w:r>
      </w:hyperlink>
    </w:p>
    <w:p w14:paraId="172F990A" w14:textId="61FB4A6F"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719" w:history="1">
        <w:r w:rsidR="008209A2" w:rsidRPr="007C5BB6">
          <w:rPr>
            <w:rStyle w:val="Hyperlink"/>
            <w:noProof/>
          </w:rPr>
          <w:t>Figure 77: NFPA 1710 Response Performance Recommendations</w:t>
        </w:r>
        <w:r w:rsidR="008209A2">
          <w:rPr>
            <w:noProof/>
            <w:webHidden/>
          </w:rPr>
          <w:tab/>
        </w:r>
        <w:r w:rsidR="008209A2">
          <w:rPr>
            <w:noProof/>
            <w:webHidden/>
          </w:rPr>
          <w:fldChar w:fldCharType="begin"/>
        </w:r>
        <w:r w:rsidR="008209A2">
          <w:rPr>
            <w:noProof/>
            <w:webHidden/>
          </w:rPr>
          <w:instrText xml:space="preserve"> PAGEREF _Toc464323719 \h </w:instrText>
        </w:r>
        <w:r w:rsidR="008209A2">
          <w:rPr>
            <w:noProof/>
            <w:webHidden/>
          </w:rPr>
        </w:r>
        <w:r w:rsidR="008209A2">
          <w:rPr>
            <w:noProof/>
            <w:webHidden/>
          </w:rPr>
          <w:fldChar w:fldCharType="separate"/>
        </w:r>
        <w:r w:rsidR="008209A2">
          <w:rPr>
            <w:noProof/>
            <w:webHidden/>
          </w:rPr>
          <w:t>133</w:t>
        </w:r>
        <w:r w:rsidR="008209A2">
          <w:rPr>
            <w:noProof/>
            <w:webHidden/>
          </w:rPr>
          <w:fldChar w:fldCharType="end"/>
        </w:r>
      </w:hyperlink>
    </w:p>
    <w:p w14:paraId="180EE1D0" w14:textId="3451AAD2"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720" w:history="1">
        <w:r w:rsidR="008209A2" w:rsidRPr="007C5BB6">
          <w:rPr>
            <w:rStyle w:val="Hyperlink"/>
            <w:noProof/>
          </w:rPr>
          <w:t>Figure 78: PFD Overall Response Performance, 2014-2015</w:t>
        </w:r>
        <w:r w:rsidR="008209A2">
          <w:rPr>
            <w:noProof/>
            <w:webHidden/>
          </w:rPr>
          <w:tab/>
        </w:r>
        <w:r w:rsidR="008209A2">
          <w:rPr>
            <w:noProof/>
            <w:webHidden/>
          </w:rPr>
          <w:fldChar w:fldCharType="begin"/>
        </w:r>
        <w:r w:rsidR="008209A2">
          <w:rPr>
            <w:noProof/>
            <w:webHidden/>
          </w:rPr>
          <w:instrText xml:space="preserve"> PAGEREF _Toc464323720 \h </w:instrText>
        </w:r>
        <w:r w:rsidR="008209A2">
          <w:rPr>
            <w:noProof/>
            <w:webHidden/>
          </w:rPr>
        </w:r>
        <w:r w:rsidR="008209A2">
          <w:rPr>
            <w:noProof/>
            <w:webHidden/>
          </w:rPr>
          <w:fldChar w:fldCharType="separate"/>
        </w:r>
        <w:r w:rsidR="008209A2">
          <w:rPr>
            <w:noProof/>
            <w:webHidden/>
          </w:rPr>
          <w:t>135</w:t>
        </w:r>
        <w:r w:rsidR="008209A2">
          <w:rPr>
            <w:noProof/>
            <w:webHidden/>
          </w:rPr>
          <w:fldChar w:fldCharType="end"/>
        </w:r>
      </w:hyperlink>
    </w:p>
    <w:p w14:paraId="0DF99F7D" w14:textId="3243BA9E"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721" w:history="1">
        <w:r w:rsidR="008209A2" w:rsidRPr="007C5BB6">
          <w:rPr>
            <w:rStyle w:val="Hyperlink"/>
            <w:noProof/>
          </w:rPr>
          <w:t>Figure 79: Mutual and Automatic Aid, 2015</w:t>
        </w:r>
        <w:r w:rsidR="008209A2">
          <w:rPr>
            <w:noProof/>
            <w:webHidden/>
          </w:rPr>
          <w:tab/>
        </w:r>
        <w:r w:rsidR="008209A2">
          <w:rPr>
            <w:noProof/>
            <w:webHidden/>
          </w:rPr>
          <w:fldChar w:fldCharType="begin"/>
        </w:r>
        <w:r w:rsidR="008209A2">
          <w:rPr>
            <w:noProof/>
            <w:webHidden/>
          </w:rPr>
          <w:instrText xml:space="preserve"> PAGEREF _Toc464323721 \h </w:instrText>
        </w:r>
        <w:r w:rsidR="008209A2">
          <w:rPr>
            <w:noProof/>
            <w:webHidden/>
          </w:rPr>
        </w:r>
        <w:r w:rsidR="008209A2">
          <w:rPr>
            <w:noProof/>
            <w:webHidden/>
          </w:rPr>
          <w:fldChar w:fldCharType="separate"/>
        </w:r>
        <w:r w:rsidR="008209A2">
          <w:rPr>
            <w:noProof/>
            <w:webHidden/>
          </w:rPr>
          <w:t>136</w:t>
        </w:r>
        <w:r w:rsidR="008209A2">
          <w:rPr>
            <w:noProof/>
            <w:webHidden/>
          </w:rPr>
          <w:fldChar w:fldCharType="end"/>
        </w:r>
      </w:hyperlink>
    </w:p>
    <w:p w14:paraId="3C68375B" w14:textId="225F09D3"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722" w:history="1">
        <w:r w:rsidR="008209A2" w:rsidRPr="007C5BB6">
          <w:rPr>
            <w:rStyle w:val="Hyperlink"/>
            <w:noProof/>
          </w:rPr>
          <w:t>Figure 80: City of Pasco Population History, U.S. Census and Washington OFM Data, 1980-2016</w:t>
        </w:r>
        <w:r w:rsidR="008209A2">
          <w:rPr>
            <w:noProof/>
            <w:webHidden/>
          </w:rPr>
          <w:tab/>
        </w:r>
        <w:r w:rsidR="008209A2">
          <w:rPr>
            <w:noProof/>
            <w:webHidden/>
          </w:rPr>
          <w:fldChar w:fldCharType="begin"/>
        </w:r>
        <w:r w:rsidR="008209A2">
          <w:rPr>
            <w:noProof/>
            <w:webHidden/>
          </w:rPr>
          <w:instrText xml:space="preserve"> PAGEREF _Toc464323722 \h </w:instrText>
        </w:r>
        <w:r w:rsidR="008209A2">
          <w:rPr>
            <w:noProof/>
            <w:webHidden/>
          </w:rPr>
        </w:r>
        <w:r w:rsidR="008209A2">
          <w:rPr>
            <w:noProof/>
            <w:webHidden/>
          </w:rPr>
          <w:fldChar w:fldCharType="separate"/>
        </w:r>
        <w:r w:rsidR="008209A2">
          <w:rPr>
            <w:noProof/>
            <w:webHidden/>
          </w:rPr>
          <w:t>139</w:t>
        </w:r>
        <w:r w:rsidR="008209A2">
          <w:rPr>
            <w:noProof/>
            <w:webHidden/>
          </w:rPr>
          <w:fldChar w:fldCharType="end"/>
        </w:r>
      </w:hyperlink>
    </w:p>
    <w:p w14:paraId="052079B3" w14:textId="16075AA6"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723" w:history="1">
        <w:r w:rsidR="008209A2" w:rsidRPr="007C5BB6">
          <w:rPr>
            <w:rStyle w:val="Hyperlink"/>
            <w:noProof/>
          </w:rPr>
          <w:t>Figure 81: Tri-Cities Annual Population Change, 2010-2016 OFM Estimates</w:t>
        </w:r>
        <w:r w:rsidR="008209A2">
          <w:rPr>
            <w:noProof/>
            <w:webHidden/>
          </w:rPr>
          <w:tab/>
        </w:r>
        <w:r w:rsidR="008209A2">
          <w:rPr>
            <w:noProof/>
            <w:webHidden/>
          </w:rPr>
          <w:fldChar w:fldCharType="begin"/>
        </w:r>
        <w:r w:rsidR="008209A2">
          <w:rPr>
            <w:noProof/>
            <w:webHidden/>
          </w:rPr>
          <w:instrText xml:space="preserve"> PAGEREF _Toc464323723 \h </w:instrText>
        </w:r>
        <w:r w:rsidR="008209A2">
          <w:rPr>
            <w:noProof/>
            <w:webHidden/>
          </w:rPr>
        </w:r>
        <w:r w:rsidR="008209A2">
          <w:rPr>
            <w:noProof/>
            <w:webHidden/>
          </w:rPr>
          <w:fldChar w:fldCharType="separate"/>
        </w:r>
        <w:r w:rsidR="008209A2">
          <w:rPr>
            <w:noProof/>
            <w:webHidden/>
          </w:rPr>
          <w:t>140</w:t>
        </w:r>
        <w:r w:rsidR="008209A2">
          <w:rPr>
            <w:noProof/>
            <w:webHidden/>
          </w:rPr>
          <w:fldChar w:fldCharType="end"/>
        </w:r>
      </w:hyperlink>
    </w:p>
    <w:p w14:paraId="49E9811F" w14:textId="4339DBEB"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724" w:history="1">
        <w:r w:rsidR="008209A2" w:rsidRPr="007C5BB6">
          <w:rPr>
            <w:rStyle w:val="Hyperlink"/>
            <w:noProof/>
          </w:rPr>
          <w:t>Figure 82: Franklin County and City of Pasco Population Projection</w:t>
        </w:r>
        <w:r w:rsidR="008209A2">
          <w:rPr>
            <w:noProof/>
            <w:webHidden/>
          </w:rPr>
          <w:tab/>
        </w:r>
        <w:r w:rsidR="008209A2">
          <w:rPr>
            <w:noProof/>
            <w:webHidden/>
          </w:rPr>
          <w:fldChar w:fldCharType="begin"/>
        </w:r>
        <w:r w:rsidR="008209A2">
          <w:rPr>
            <w:noProof/>
            <w:webHidden/>
          </w:rPr>
          <w:instrText xml:space="preserve"> PAGEREF _Toc464323724 \h </w:instrText>
        </w:r>
        <w:r w:rsidR="008209A2">
          <w:rPr>
            <w:noProof/>
            <w:webHidden/>
          </w:rPr>
        </w:r>
        <w:r w:rsidR="008209A2">
          <w:rPr>
            <w:noProof/>
            <w:webHidden/>
          </w:rPr>
          <w:fldChar w:fldCharType="separate"/>
        </w:r>
        <w:r w:rsidR="008209A2">
          <w:rPr>
            <w:noProof/>
            <w:webHidden/>
          </w:rPr>
          <w:t>141</w:t>
        </w:r>
        <w:r w:rsidR="008209A2">
          <w:rPr>
            <w:noProof/>
            <w:webHidden/>
          </w:rPr>
          <w:fldChar w:fldCharType="end"/>
        </w:r>
      </w:hyperlink>
    </w:p>
    <w:p w14:paraId="1E0B6BD7" w14:textId="26588C7D"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725" w:history="1">
        <w:r w:rsidR="008209A2" w:rsidRPr="007C5BB6">
          <w:rPr>
            <w:rStyle w:val="Hyperlink"/>
            <w:noProof/>
          </w:rPr>
          <w:t>Figure 83: Projected Service Demand, 2015 through 2040</w:t>
        </w:r>
        <w:r w:rsidR="008209A2">
          <w:rPr>
            <w:noProof/>
            <w:webHidden/>
          </w:rPr>
          <w:tab/>
        </w:r>
        <w:r w:rsidR="008209A2">
          <w:rPr>
            <w:noProof/>
            <w:webHidden/>
          </w:rPr>
          <w:fldChar w:fldCharType="begin"/>
        </w:r>
        <w:r w:rsidR="008209A2">
          <w:rPr>
            <w:noProof/>
            <w:webHidden/>
          </w:rPr>
          <w:instrText xml:space="preserve"> PAGEREF _Toc464323725 \h </w:instrText>
        </w:r>
        <w:r w:rsidR="008209A2">
          <w:rPr>
            <w:noProof/>
            <w:webHidden/>
          </w:rPr>
        </w:r>
        <w:r w:rsidR="008209A2">
          <w:rPr>
            <w:noProof/>
            <w:webHidden/>
          </w:rPr>
          <w:fldChar w:fldCharType="separate"/>
        </w:r>
        <w:r w:rsidR="008209A2">
          <w:rPr>
            <w:noProof/>
            <w:webHidden/>
          </w:rPr>
          <w:t>142</w:t>
        </w:r>
        <w:r w:rsidR="008209A2">
          <w:rPr>
            <w:noProof/>
            <w:webHidden/>
          </w:rPr>
          <w:fldChar w:fldCharType="end"/>
        </w:r>
      </w:hyperlink>
    </w:p>
    <w:p w14:paraId="3734C7F6" w14:textId="7851FD19"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726" w:history="1">
        <w:r w:rsidR="008209A2" w:rsidRPr="007C5BB6">
          <w:rPr>
            <w:rStyle w:val="Hyperlink"/>
            <w:noProof/>
          </w:rPr>
          <w:t>Figure 84: Population Density, OFM 2015 Traffic Analysis Zone Data</w:t>
        </w:r>
        <w:r w:rsidR="008209A2">
          <w:rPr>
            <w:noProof/>
            <w:webHidden/>
          </w:rPr>
          <w:tab/>
        </w:r>
        <w:r w:rsidR="008209A2">
          <w:rPr>
            <w:noProof/>
            <w:webHidden/>
          </w:rPr>
          <w:fldChar w:fldCharType="begin"/>
        </w:r>
        <w:r w:rsidR="008209A2">
          <w:rPr>
            <w:noProof/>
            <w:webHidden/>
          </w:rPr>
          <w:instrText xml:space="preserve"> PAGEREF _Toc464323726 \h </w:instrText>
        </w:r>
        <w:r w:rsidR="008209A2">
          <w:rPr>
            <w:noProof/>
            <w:webHidden/>
          </w:rPr>
        </w:r>
        <w:r w:rsidR="008209A2">
          <w:rPr>
            <w:noProof/>
            <w:webHidden/>
          </w:rPr>
          <w:fldChar w:fldCharType="separate"/>
        </w:r>
        <w:r w:rsidR="008209A2">
          <w:rPr>
            <w:noProof/>
            <w:webHidden/>
          </w:rPr>
          <w:t>143</w:t>
        </w:r>
        <w:r w:rsidR="008209A2">
          <w:rPr>
            <w:noProof/>
            <w:webHidden/>
          </w:rPr>
          <w:fldChar w:fldCharType="end"/>
        </w:r>
      </w:hyperlink>
    </w:p>
    <w:p w14:paraId="7EE7EC53" w14:textId="3E234FF2"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727" w:history="1">
        <w:r w:rsidR="008209A2" w:rsidRPr="007C5BB6">
          <w:rPr>
            <w:rStyle w:val="Hyperlink"/>
            <w:noProof/>
          </w:rPr>
          <w:t>Figure 85: Study Area Population by Age, 2014 U.S. Census American Community Survey (ACS)</w:t>
        </w:r>
        <w:r w:rsidR="008209A2">
          <w:rPr>
            <w:noProof/>
            <w:webHidden/>
          </w:rPr>
          <w:tab/>
        </w:r>
        <w:r w:rsidR="008209A2">
          <w:rPr>
            <w:noProof/>
            <w:webHidden/>
          </w:rPr>
          <w:fldChar w:fldCharType="begin"/>
        </w:r>
        <w:r w:rsidR="008209A2">
          <w:rPr>
            <w:noProof/>
            <w:webHidden/>
          </w:rPr>
          <w:instrText xml:space="preserve"> PAGEREF _Toc464323727 \h </w:instrText>
        </w:r>
        <w:r w:rsidR="008209A2">
          <w:rPr>
            <w:noProof/>
            <w:webHidden/>
          </w:rPr>
        </w:r>
        <w:r w:rsidR="008209A2">
          <w:rPr>
            <w:noProof/>
            <w:webHidden/>
          </w:rPr>
          <w:fldChar w:fldCharType="separate"/>
        </w:r>
        <w:r w:rsidR="008209A2">
          <w:rPr>
            <w:noProof/>
            <w:webHidden/>
          </w:rPr>
          <w:t>144</w:t>
        </w:r>
        <w:r w:rsidR="008209A2">
          <w:rPr>
            <w:noProof/>
            <w:webHidden/>
          </w:rPr>
          <w:fldChar w:fldCharType="end"/>
        </w:r>
      </w:hyperlink>
    </w:p>
    <w:p w14:paraId="226222B1" w14:textId="22B61535"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728" w:history="1">
        <w:r w:rsidR="008209A2" w:rsidRPr="007C5BB6">
          <w:rPr>
            <w:rStyle w:val="Hyperlink"/>
            <w:noProof/>
          </w:rPr>
          <w:t>Figure 86: PFD Study Area Demographics, 2014 2014 US Census American Community Survey (ACS)</w:t>
        </w:r>
        <w:r w:rsidR="008209A2">
          <w:rPr>
            <w:noProof/>
            <w:webHidden/>
          </w:rPr>
          <w:tab/>
        </w:r>
        <w:r w:rsidR="008209A2">
          <w:rPr>
            <w:noProof/>
            <w:webHidden/>
          </w:rPr>
          <w:fldChar w:fldCharType="begin"/>
        </w:r>
        <w:r w:rsidR="008209A2">
          <w:rPr>
            <w:noProof/>
            <w:webHidden/>
          </w:rPr>
          <w:instrText xml:space="preserve"> PAGEREF _Toc464323728 \h </w:instrText>
        </w:r>
        <w:r w:rsidR="008209A2">
          <w:rPr>
            <w:noProof/>
            <w:webHidden/>
          </w:rPr>
        </w:r>
        <w:r w:rsidR="008209A2">
          <w:rPr>
            <w:noProof/>
            <w:webHidden/>
          </w:rPr>
          <w:fldChar w:fldCharType="separate"/>
        </w:r>
        <w:r w:rsidR="008209A2">
          <w:rPr>
            <w:noProof/>
            <w:webHidden/>
          </w:rPr>
          <w:t>144</w:t>
        </w:r>
        <w:r w:rsidR="008209A2">
          <w:rPr>
            <w:noProof/>
            <w:webHidden/>
          </w:rPr>
          <w:fldChar w:fldCharType="end"/>
        </w:r>
      </w:hyperlink>
    </w:p>
    <w:p w14:paraId="29D9A191" w14:textId="4ECBAF32"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729" w:history="1">
        <w:r w:rsidR="008209A2" w:rsidRPr="007C5BB6">
          <w:rPr>
            <w:rStyle w:val="Hyperlink"/>
            <w:noProof/>
          </w:rPr>
          <w:t>Figure 87: PFD Study Area Community Risk and Land Use</w:t>
        </w:r>
        <w:r w:rsidR="008209A2">
          <w:rPr>
            <w:noProof/>
            <w:webHidden/>
          </w:rPr>
          <w:tab/>
        </w:r>
        <w:r w:rsidR="008209A2">
          <w:rPr>
            <w:noProof/>
            <w:webHidden/>
          </w:rPr>
          <w:fldChar w:fldCharType="begin"/>
        </w:r>
        <w:r w:rsidR="008209A2">
          <w:rPr>
            <w:noProof/>
            <w:webHidden/>
          </w:rPr>
          <w:instrText xml:space="preserve"> PAGEREF _Toc464323729 \h </w:instrText>
        </w:r>
        <w:r w:rsidR="008209A2">
          <w:rPr>
            <w:noProof/>
            <w:webHidden/>
          </w:rPr>
        </w:r>
        <w:r w:rsidR="008209A2">
          <w:rPr>
            <w:noProof/>
            <w:webHidden/>
          </w:rPr>
          <w:fldChar w:fldCharType="separate"/>
        </w:r>
        <w:r w:rsidR="008209A2">
          <w:rPr>
            <w:noProof/>
            <w:webHidden/>
          </w:rPr>
          <w:t>145</w:t>
        </w:r>
        <w:r w:rsidR="008209A2">
          <w:rPr>
            <w:noProof/>
            <w:webHidden/>
          </w:rPr>
          <w:fldChar w:fldCharType="end"/>
        </w:r>
      </w:hyperlink>
    </w:p>
    <w:p w14:paraId="1D17F32C" w14:textId="531D82F2"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730" w:history="1">
        <w:r w:rsidR="008209A2" w:rsidRPr="007C5BB6">
          <w:rPr>
            <w:rStyle w:val="Hyperlink"/>
            <w:noProof/>
          </w:rPr>
          <w:t>Figure 88: PFD Study Area Transportation Network</w:t>
        </w:r>
        <w:r w:rsidR="008209A2">
          <w:rPr>
            <w:noProof/>
            <w:webHidden/>
          </w:rPr>
          <w:tab/>
        </w:r>
        <w:r w:rsidR="008209A2">
          <w:rPr>
            <w:noProof/>
            <w:webHidden/>
          </w:rPr>
          <w:fldChar w:fldCharType="begin"/>
        </w:r>
        <w:r w:rsidR="008209A2">
          <w:rPr>
            <w:noProof/>
            <w:webHidden/>
          </w:rPr>
          <w:instrText xml:space="preserve"> PAGEREF _Toc464323730 \h </w:instrText>
        </w:r>
        <w:r w:rsidR="008209A2">
          <w:rPr>
            <w:noProof/>
            <w:webHidden/>
          </w:rPr>
        </w:r>
        <w:r w:rsidR="008209A2">
          <w:rPr>
            <w:noProof/>
            <w:webHidden/>
          </w:rPr>
          <w:fldChar w:fldCharType="separate"/>
        </w:r>
        <w:r w:rsidR="008209A2">
          <w:rPr>
            <w:noProof/>
            <w:webHidden/>
          </w:rPr>
          <w:t>147</w:t>
        </w:r>
        <w:r w:rsidR="008209A2">
          <w:rPr>
            <w:noProof/>
            <w:webHidden/>
          </w:rPr>
          <w:fldChar w:fldCharType="end"/>
        </w:r>
      </w:hyperlink>
    </w:p>
    <w:p w14:paraId="3AD89B01" w14:textId="4EF2DFCE"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731" w:history="1">
        <w:r w:rsidR="008209A2" w:rsidRPr="007C5BB6">
          <w:rPr>
            <w:rStyle w:val="Hyperlink"/>
            <w:noProof/>
          </w:rPr>
          <w:t>Figure 89: Sample Critical Task Staffing, Fire Risk</w:t>
        </w:r>
        <w:r w:rsidR="008209A2">
          <w:rPr>
            <w:noProof/>
            <w:webHidden/>
          </w:rPr>
          <w:tab/>
        </w:r>
        <w:r w:rsidR="008209A2">
          <w:rPr>
            <w:noProof/>
            <w:webHidden/>
          </w:rPr>
          <w:fldChar w:fldCharType="begin"/>
        </w:r>
        <w:r w:rsidR="008209A2">
          <w:rPr>
            <w:noProof/>
            <w:webHidden/>
          </w:rPr>
          <w:instrText xml:space="preserve"> PAGEREF _Toc464323731 \h </w:instrText>
        </w:r>
        <w:r w:rsidR="008209A2">
          <w:rPr>
            <w:noProof/>
            <w:webHidden/>
          </w:rPr>
        </w:r>
        <w:r w:rsidR="008209A2">
          <w:rPr>
            <w:noProof/>
            <w:webHidden/>
          </w:rPr>
          <w:fldChar w:fldCharType="separate"/>
        </w:r>
        <w:r w:rsidR="008209A2">
          <w:rPr>
            <w:noProof/>
            <w:webHidden/>
          </w:rPr>
          <w:t>152</w:t>
        </w:r>
        <w:r w:rsidR="008209A2">
          <w:rPr>
            <w:noProof/>
            <w:webHidden/>
          </w:rPr>
          <w:fldChar w:fldCharType="end"/>
        </w:r>
      </w:hyperlink>
    </w:p>
    <w:p w14:paraId="22BF3BCC" w14:textId="00A00617"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732" w:history="1">
        <w:r w:rsidR="008209A2" w:rsidRPr="007C5BB6">
          <w:rPr>
            <w:rStyle w:val="Hyperlink"/>
            <w:noProof/>
          </w:rPr>
          <w:t>Figure 90: Non-Structure Fire Critical Tasking</w:t>
        </w:r>
        <w:r w:rsidR="008209A2">
          <w:rPr>
            <w:noProof/>
            <w:webHidden/>
          </w:rPr>
          <w:tab/>
        </w:r>
        <w:r w:rsidR="008209A2">
          <w:rPr>
            <w:noProof/>
            <w:webHidden/>
          </w:rPr>
          <w:fldChar w:fldCharType="begin"/>
        </w:r>
        <w:r w:rsidR="008209A2">
          <w:rPr>
            <w:noProof/>
            <w:webHidden/>
          </w:rPr>
          <w:instrText xml:space="preserve"> PAGEREF _Toc464323732 \h </w:instrText>
        </w:r>
        <w:r w:rsidR="008209A2">
          <w:rPr>
            <w:noProof/>
            <w:webHidden/>
          </w:rPr>
        </w:r>
        <w:r w:rsidR="008209A2">
          <w:rPr>
            <w:noProof/>
            <w:webHidden/>
          </w:rPr>
          <w:fldChar w:fldCharType="separate"/>
        </w:r>
        <w:r w:rsidR="008209A2">
          <w:rPr>
            <w:noProof/>
            <w:webHidden/>
          </w:rPr>
          <w:t>153</w:t>
        </w:r>
        <w:r w:rsidR="008209A2">
          <w:rPr>
            <w:noProof/>
            <w:webHidden/>
          </w:rPr>
          <w:fldChar w:fldCharType="end"/>
        </w:r>
      </w:hyperlink>
    </w:p>
    <w:p w14:paraId="1D65D10F" w14:textId="3A691C70"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733" w:history="1">
        <w:r w:rsidR="008209A2" w:rsidRPr="007C5BB6">
          <w:rPr>
            <w:rStyle w:val="Hyperlink"/>
            <w:noProof/>
          </w:rPr>
          <w:t>Figure 91: Hazardous Materials Incident Critical Tasking</w:t>
        </w:r>
        <w:r w:rsidR="008209A2">
          <w:rPr>
            <w:noProof/>
            <w:webHidden/>
          </w:rPr>
          <w:tab/>
        </w:r>
        <w:r w:rsidR="008209A2">
          <w:rPr>
            <w:noProof/>
            <w:webHidden/>
          </w:rPr>
          <w:fldChar w:fldCharType="begin"/>
        </w:r>
        <w:r w:rsidR="008209A2">
          <w:rPr>
            <w:noProof/>
            <w:webHidden/>
          </w:rPr>
          <w:instrText xml:space="preserve"> PAGEREF _Toc464323733 \h </w:instrText>
        </w:r>
        <w:r w:rsidR="008209A2">
          <w:rPr>
            <w:noProof/>
            <w:webHidden/>
          </w:rPr>
        </w:r>
        <w:r w:rsidR="008209A2">
          <w:rPr>
            <w:noProof/>
            <w:webHidden/>
          </w:rPr>
          <w:fldChar w:fldCharType="separate"/>
        </w:r>
        <w:r w:rsidR="008209A2">
          <w:rPr>
            <w:noProof/>
            <w:webHidden/>
          </w:rPr>
          <w:t>153</w:t>
        </w:r>
        <w:r w:rsidR="008209A2">
          <w:rPr>
            <w:noProof/>
            <w:webHidden/>
          </w:rPr>
          <w:fldChar w:fldCharType="end"/>
        </w:r>
      </w:hyperlink>
    </w:p>
    <w:p w14:paraId="6611FF05" w14:textId="13D478E5"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734" w:history="1">
        <w:r w:rsidR="008209A2" w:rsidRPr="007C5BB6">
          <w:rPr>
            <w:rStyle w:val="Hyperlink"/>
            <w:noProof/>
          </w:rPr>
          <w:t>Figure 92: Motor Vehicle Collision with Entrapment Critical Tasking</w:t>
        </w:r>
        <w:r w:rsidR="008209A2">
          <w:rPr>
            <w:noProof/>
            <w:webHidden/>
          </w:rPr>
          <w:tab/>
        </w:r>
        <w:r w:rsidR="008209A2">
          <w:rPr>
            <w:noProof/>
            <w:webHidden/>
          </w:rPr>
          <w:fldChar w:fldCharType="begin"/>
        </w:r>
        <w:r w:rsidR="008209A2">
          <w:rPr>
            <w:noProof/>
            <w:webHidden/>
          </w:rPr>
          <w:instrText xml:space="preserve"> PAGEREF _Toc464323734 \h </w:instrText>
        </w:r>
        <w:r w:rsidR="008209A2">
          <w:rPr>
            <w:noProof/>
            <w:webHidden/>
          </w:rPr>
        </w:r>
        <w:r w:rsidR="008209A2">
          <w:rPr>
            <w:noProof/>
            <w:webHidden/>
          </w:rPr>
          <w:fldChar w:fldCharType="separate"/>
        </w:r>
        <w:r w:rsidR="008209A2">
          <w:rPr>
            <w:noProof/>
            <w:webHidden/>
          </w:rPr>
          <w:t>153</w:t>
        </w:r>
        <w:r w:rsidR="008209A2">
          <w:rPr>
            <w:noProof/>
            <w:webHidden/>
          </w:rPr>
          <w:fldChar w:fldCharType="end"/>
        </w:r>
      </w:hyperlink>
    </w:p>
    <w:p w14:paraId="5B714319" w14:textId="2560C709"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735" w:history="1">
        <w:r w:rsidR="008209A2" w:rsidRPr="007C5BB6">
          <w:rPr>
            <w:rStyle w:val="Hyperlink"/>
            <w:noProof/>
          </w:rPr>
          <w:t>Figure 93: Emergency Medical Incident Critical Tasking (BLS)</w:t>
        </w:r>
        <w:r w:rsidR="008209A2">
          <w:rPr>
            <w:noProof/>
            <w:webHidden/>
          </w:rPr>
          <w:tab/>
        </w:r>
        <w:r w:rsidR="008209A2">
          <w:rPr>
            <w:noProof/>
            <w:webHidden/>
          </w:rPr>
          <w:fldChar w:fldCharType="begin"/>
        </w:r>
        <w:r w:rsidR="008209A2">
          <w:rPr>
            <w:noProof/>
            <w:webHidden/>
          </w:rPr>
          <w:instrText xml:space="preserve"> PAGEREF _Toc464323735 \h </w:instrText>
        </w:r>
        <w:r w:rsidR="008209A2">
          <w:rPr>
            <w:noProof/>
            <w:webHidden/>
          </w:rPr>
        </w:r>
        <w:r w:rsidR="008209A2">
          <w:rPr>
            <w:noProof/>
            <w:webHidden/>
          </w:rPr>
          <w:fldChar w:fldCharType="separate"/>
        </w:r>
        <w:r w:rsidR="008209A2">
          <w:rPr>
            <w:noProof/>
            <w:webHidden/>
          </w:rPr>
          <w:t>153</w:t>
        </w:r>
        <w:r w:rsidR="008209A2">
          <w:rPr>
            <w:noProof/>
            <w:webHidden/>
          </w:rPr>
          <w:fldChar w:fldCharType="end"/>
        </w:r>
      </w:hyperlink>
    </w:p>
    <w:p w14:paraId="2327FF95" w14:textId="0258AF74"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736" w:history="1">
        <w:r w:rsidR="008209A2" w:rsidRPr="007C5BB6">
          <w:rPr>
            <w:rStyle w:val="Hyperlink"/>
            <w:noProof/>
          </w:rPr>
          <w:t>Figure 94: Emergency Medical Incident Critical Tasking (ALS)</w:t>
        </w:r>
        <w:r w:rsidR="008209A2">
          <w:rPr>
            <w:noProof/>
            <w:webHidden/>
          </w:rPr>
          <w:tab/>
        </w:r>
        <w:r w:rsidR="008209A2">
          <w:rPr>
            <w:noProof/>
            <w:webHidden/>
          </w:rPr>
          <w:fldChar w:fldCharType="begin"/>
        </w:r>
        <w:r w:rsidR="008209A2">
          <w:rPr>
            <w:noProof/>
            <w:webHidden/>
          </w:rPr>
          <w:instrText xml:space="preserve"> PAGEREF _Toc464323736 \h </w:instrText>
        </w:r>
        <w:r w:rsidR="008209A2">
          <w:rPr>
            <w:noProof/>
            <w:webHidden/>
          </w:rPr>
        </w:r>
        <w:r w:rsidR="008209A2">
          <w:rPr>
            <w:noProof/>
            <w:webHidden/>
          </w:rPr>
          <w:fldChar w:fldCharType="separate"/>
        </w:r>
        <w:r w:rsidR="008209A2">
          <w:rPr>
            <w:noProof/>
            <w:webHidden/>
          </w:rPr>
          <w:t>154</w:t>
        </w:r>
        <w:r w:rsidR="008209A2">
          <w:rPr>
            <w:noProof/>
            <w:webHidden/>
          </w:rPr>
          <w:fldChar w:fldCharType="end"/>
        </w:r>
      </w:hyperlink>
    </w:p>
    <w:p w14:paraId="5084C760" w14:textId="107FC275"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737" w:history="1">
        <w:r w:rsidR="008209A2" w:rsidRPr="007C5BB6">
          <w:rPr>
            <w:rStyle w:val="Hyperlink"/>
            <w:noProof/>
          </w:rPr>
          <w:t>Figure 95: Current Staffed Station Deployment</w:t>
        </w:r>
        <w:r w:rsidR="008209A2">
          <w:rPr>
            <w:noProof/>
            <w:webHidden/>
          </w:rPr>
          <w:tab/>
        </w:r>
        <w:r w:rsidR="008209A2">
          <w:rPr>
            <w:noProof/>
            <w:webHidden/>
          </w:rPr>
          <w:fldChar w:fldCharType="begin"/>
        </w:r>
        <w:r w:rsidR="008209A2">
          <w:rPr>
            <w:noProof/>
            <w:webHidden/>
          </w:rPr>
          <w:instrText xml:space="preserve"> PAGEREF _Toc464323737 \h </w:instrText>
        </w:r>
        <w:r w:rsidR="008209A2">
          <w:rPr>
            <w:noProof/>
            <w:webHidden/>
          </w:rPr>
        </w:r>
        <w:r w:rsidR="008209A2">
          <w:rPr>
            <w:noProof/>
            <w:webHidden/>
          </w:rPr>
          <w:fldChar w:fldCharType="separate"/>
        </w:r>
        <w:r w:rsidR="008209A2">
          <w:rPr>
            <w:noProof/>
            <w:webHidden/>
          </w:rPr>
          <w:t>165</w:t>
        </w:r>
        <w:r w:rsidR="008209A2">
          <w:rPr>
            <w:noProof/>
            <w:webHidden/>
          </w:rPr>
          <w:fldChar w:fldCharType="end"/>
        </w:r>
      </w:hyperlink>
    </w:p>
    <w:p w14:paraId="10E19C53" w14:textId="65B3D9A0"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738" w:history="1">
        <w:r w:rsidR="008209A2" w:rsidRPr="007C5BB6">
          <w:rPr>
            <w:rStyle w:val="Hyperlink"/>
            <w:noProof/>
          </w:rPr>
          <w:t>Figure 96: Proposed Four Staffed Station Deployment &amp; Reconfiguration</w:t>
        </w:r>
        <w:r w:rsidR="008209A2">
          <w:rPr>
            <w:noProof/>
            <w:webHidden/>
          </w:rPr>
          <w:tab/>
        </w:r>
        <w:r w:rsidR="008209A2">
          <w:rPr>
            <w:noProof/>
            <w:webHidden/>
          </w:rPr>
          <w:fldChar w:fldCharType="begin"/>
        </w:r>
        <w:r w:rsidR="008209A2">
          <w:rPr>
            <w:noProof/>
            <w:webHidden/>
          </w:rPr>
          <w:instrText xml:space="preserve"> PAGEREF _Toc464323738 \h </w:instrText>
        </w:r>
        <w:r w:rsidR="008209A2">
          <w:rPr>
            <w:noProof/>
            <w:webHidden/>
          </w:rPr>
        </w:r>
        <w:r w:rsidR="008209A2">
          <w:rPr>
            <w:noProof/>
            <w:webHidden/>
          </w:rPr>
          <w:fldChar w:fldCharType="separate"/>
        </w:r>
        <w:r w:rsidR="008209A2">
          <w:rPr>
            <w:noProof/>
            <w:webHidden/>
          </w:rPr>
          <w:t>166</w:t>
        </w:r>
        <w:r w:rsidR="008209A2">
          <w:rPr>
            <w:noProof/>
            <w:webHidden/>
          </w:rPr>
          <w:fldChar w:fldCharType="end"/>
        </w:r>
      </w:hyperlink>
    </w:p>
    <w:p w14:paraId="3A36C597" w14:textId="35674524"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739" w:history="1">
        <w:r w:rsidR="008209A2" w:rsidRPr="007C5BB6">
          <w:rPr>
            <w:rStyle w:val="Hyperlink"/>
            <w:noProof/>
          </w:rPr>
          <w:t>Figure 97: Five-Station Deployment Model</w:t>
        </w:r>
        <w:r w:rsidR="008209A2">
          <w:rPr>
            <w:noProof/>
            <w:webHidden/>
          </w:rPr>
          <w:tab/>
        </w:r>
        <w:r w:rsidR="008209A2">
          <w:rPr>
            <w:noProof/>
            <w:webHidden/>
          </w:rPr>
          <w:fldChar w:fldCharType="begin"/>
        </w:r>
        <w:r w:rsidR="008209A2">
          <w:rPr>
            <w:noProof/>
            <w:webHidden/>
          </w:rPr>
          <w:instrText xml:space="preserve"> PAGEREF _Toc464323739 \h </w:instrText>
        </w:r>
        <w:r w:rsidR="008209A2">
          <w:rPr>
            <w:noProof/>
            <w:webHidden/>
          </w:rPr>
        </w:r>
        <w:r w:rsidR="008209A2">
          <w:rPr>
            <w:noProof/>
            <w:webHidden/>
          </w:rPr>
          <w:fldChar w:fldCharType="separate"/>
        </w:r>
        <w:r w:rsidR="008209A2">
          <w:rPr>
            <w:noProof/>
            <w:webHidden/>
          </w:rPr>
          <w:t>167</w:t>
        </w:r>
        <w:r w:rsidR="008209A2">
          <w:rPr>
            <w:noProof/>
            <w:webHidden/>
          </w:rPr>
          <w:fldChar w:fldCharType="end"/>
        </w:r>
      </w:hyperlink>
    </w:p>
    <w:p w14:paraId="6246F67D" w14:textId="3A408EFA"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740" w:history="1">
        <w:r w:rsidR="008209A2" w:rsidRPr="007C5BB6">
          <w:rPr>
            <w:rStyle w:val="Hyperlink"/>
            <w:noProof/>
          </w:rPr>
          <w:t>Figure 98: Historical Operating Expense Trends – Fire and Ambulance Budgets</w:t>
        </w:r>
        <w:r w:rsidR="008209A2">
          <w:rPr>
            <w:noProof/>
            <w:webHidden/>
          </w:rPr>
          <w:tab/>
        </w:r>
        <w:r w:rsidR="008209A2">
          <w:rPr>
            <w:noProof/>
            <w:webHidden/>
          </w:rPr>
          <w:fldChar w:fldCharType="begin"/>
        </w:r>
        <w:r w:rsidR="008209A2">
          <w:rPr>
            <w:noProof/>
            <w:webHidden/>
          </w:rPr>
          <w:instrText xml:space="preserve"> PAGEREF _Toc464323740 \h </w:instrText>
        </w:r>
        <w:r w:rsidR="008209A2">
          <w:rPr>
            <w:noProof/>
            <w:webHidden/>
          </w:rPr>
        </w:r>
        <w:r w:rsidR="008209A2">
          <w:rPr>
            <w:noProof/>
            <w:webHidden/>
          </w:rPr>
          <w:fldChar w:fldCharType="separate"/>
        </w:r>
        <w:r w:rsidR="008209A2">
          <w:rPr>
            <w:noProof/>
            <w:webHidden/>
          </w:rPr>
          <w:t>172</w:t>
        </w:r>
        <w:r w:rsidR="008209A2">
          <w:rPr>
            <w:noProof/>
            <w:webHidden/>
          </w:rPr>
          <w:fldChar w:fldCharType="end"/>
        </w:r>
      </w:hyperlink>
    </w:p>
    <w:p w14:paraId="576B01EF" w14:textId="23C6BE53"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741" w:history="1">
        <w:r w:rsidR="008209A2" w:rsidRPr="007C5BB6">
          <w:rPr>
            <w:rStyle w:val="Hyperlink"/>
            <w:noProof/>
          </w:rPr>
          <w:t>Figure 99: Status Quo Forecast (Graphical) – Fire Budget</w:t>
        </w:r>
        <w:r w:rsidR="008209A2">
          <w:rPr>
            <w:noProof/>
            <w:webHidden/>
          </w:rPr>
          <w:tab/>
        </w:r>
        <w:r w:rsidR="008209A2">
          <w:rPr>
            <w:noProof/>
            <w:webHidden/>
          </w:rPr>
          <w:fldChar w:fldCharType="begin"/>
        </w:r>
        <w:r w:rsidR="008209A2">
          <w:rPr>
            <w:noProof/>
            <w:webHidden/>
          </w:rPr>
          <w:instrText xml:space="preserve"> PAGEREF _Toc464323741 \h </w:instrText>
        </w:r>
        <w:r w:rsidR="008209A2">
          <w:rPr>
            <w:noProof/>
            <w:webHidden/>
          </w:rPr>
        </w:r>
        <w:r w:rsidR="008209A2">
          <w:rPr>
            <w:noProof/>
            <w:webHidden/>
          </w:rPr>
          <w:fldChar w:fldCharType="separate"/>
        </w:r>
        <w:r w:rsidR="008209A2">
          <w:rPr>
            <w:noProof/>
            <w:webHidden/>
          </w:rPr>
          <w:t>174</w:t>
        </w:r>
        <w:r w:rsidR="008209A2">
          <w:rPr>
            <w:noProof/>
            <w:webHidden/>
          </w:rPr>
          <w:fldChar w:fldCharType="end"/>
        </w:r>
      </w:hyperlink>
    </w:p>
    <w:p w14:paraId="3F361693" w14:textId="169FDACA"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742" w:history="1">
        <w:r w:rsidR="008209A2" w:rsidRPr="007C5BB6">
          <w:rPr>
            <w:rStyle w:val="Hyperlink"/>
            <w:noProof/>
          </w:rPr>
          <w:t>Figure 100: Status Quo Forecast (Tabular) – Scenario A</w:t>
        </w:r>
        <w:r w:rsidR="008209A2">
          <w:rPr>
            <w:noProof/>
            <w:webHidden/>
          </w:rPr>
          <w:tab/>
        </w:r>
        <w:r w:rsidR="008209A2">
          <w:rPr>
            <w:noProof/>
            <w:webHidden/>
          </w:rPr>
          <w:fldChar w:fldCharType="begin"/>
        </w:r>
        <w:r w:rsidR="008209A2">
          <w:rPr>
            <w:noProof/>
            <w:webHidden/>
          </w:rPr>
          <w:instrText xml:space="preserve"> PAGEREF _Toc464323742 \h </w:instrText>
        </w:r>
        <w:r w:rsidR="008209A2">
          <w:rPr>
            <w:noProof/>
            <w:webHidden/>
          </w:rPr>
        </w:r>
        <w:r w:rsidR="008209A2">
          <w:rPr>
            <w:noProof/>
            <w:webHidden/>
          </w:rPr>
          <w:fldChar w:fldCharType="separate"/>
        </w:r>
        <w:r w:rsidR="008209A2">
          <w:rPr>
            <w:noProof/>
            <w:webHidden/>
          </w:rPr>
          <w:t>175</w:t>
        </w:r>
        <w:r w:rsidR="008209A2">
          <w:rPr>
            <w:noProof/>
            <w:webHidden/>
          </w:rPr>
          <w:fldChar w:fldCharType="end"/>
        </w:r>
      </w:hyperlink>
    </w:p>
    <w:p w14:paraId="190CDCB2" w14:textId="7BA65AA6"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743" w:history="1">
        <w:r w:rsidR="008209A2" w:rsidRPr="007C5BB6">
          <w:rPr>
            <w:rStyle w:val="Hyperlink"/>
            <w:noProof/>
          </w:rPr>
          <w:t>Figure 101: Status Quo Forecast (Graphical) – Ambulance Budget Scenario A</w:t>
        </w:r>
        <w:r w:rsidR="008209A2">
          <w:rPr>
            <w:noProof/>
            <w:webHidden/>
          </w:rPr>
          <w:tab/>
        </w:r>
        <w:r w:rsidR="008209A2">
          <w:rPr>
            <w:noProof/>
            <w:webHidden/>
          </w:rPr>
          <w:fldChar w:fldCharType="begin"/>
        </w:r>
        <w:r w:rsidR="008209A2">
          <w:rPr>
            <w:noProof/>
            <w:webHidden/>
          </w:rPr>
          <w:instrText xml:space="preserve"> PAGEREF _Toc464323743 \h </w:instrText>
        </w:r>
        <w:r w:rsidR="008209A2">
          <w:rPr>
            <w:noProof/>
            <w:webHidden/>
          </w:rPr>
        </w:r>
        <w:r w:rsidR="008209A2">
          <w:rPr>
            <w:noProof/>
            <w:webHidden/>
          </w:rPr>
          <w:fldChar w:fldCharType="separate"/>
        </w:r>
        <w:r w:rsidR="008209A2">
          <w:rPr>
            <w:noProof/>
            <w:webHidden/>
          </w:rPr>
          <w:t>176</w:t>
        </w:r>
        <w:r w:rsidR="008209A2">
          <w:rPr>
            <w:noProof/>
            <w:webHidden/>
          </w:rPr>
          <w:fldChar w:fldCharType="end"/>
        </w:r>
      </w:hyperlink>
    </w:p>
    <w:p w14:paraId="1D7B6398" w14:textId="45AD9AB1"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744" w:history="1">
        <w:r w:rsidR="008209A2" w:rsidRPr="007C5BB6">
          <w:rPr>
            <w:rStyle w:val="Hyperlink"/>
            <w:noProof/>
          </w:rPr>
          <w:t>Figure 102: Status Quo Forecast (Graphical) – Ambulance Budget Scenario B</w:t>
        </w:r>
        <w:r w:rsidR="008209A2">
          <w:rPr>
            <w:noProof/>
            <w:webHidden/>
          </w:rPr>
          <w:tab/>
        </w:r>
        <w:r w:rsidR="008209A2">
          <w:rPr>
            <w:noProof/>
            <w:webHidden/>
          </w:rPr>
          <w:fldChar w:fldCharType="begin"/>
        </w:r>
        <w:r w:rsidR="008209A2">
          <w:rPr>
            <w:noProof/>
            <w:webHidden/>
          </w:rPr>
          <w:instrText xml:space="preserve"> PAGEREF _Toc464323744 \h </w:instrText>
        </w:r>
        <w:r w:rsidR="008209A2">
          <w:rPr>
            <w:noProof/>
            <w:webHidden/>
          </w:rPr>
        </w:r>
        <w:r w:rsidR="008209A2">
          <w:rPr>
            <w:noProof/>
            <w:webHidden/>
          </w:rPr>
          <w:fldChar w:fldCharType="separate"/>
        </w:r>
        <w:r w:rsidR="008209A2">
          <w:rPr>
            <w:noProof/>
            <w:webHidden/>
          </w:rPr>
          <w:t>177</w:t>
        </w:r>
        <w:r w:rsidR="008209A2">
          <w:rPr>
            <w:noProof/>
            <w:webHidden/>
          </w:rPr>
          <w:fldChar w:fldCharType="end"/>
        </w:r>
      </w:hyperlink>
    </w:p>
    <w:p w14:paraId="21A88A46" w14:textId="3FE706B5"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745" w:history="1">
        <w:r w:rsidR="008209A2" w:rsidRPr="007C5BB6">
          <w:rPr>
            <w:rStyle w:val="Hyperlink"/>
            <w:noProof/>
          </w:rPr>
          <w:t>Figure 103: Status Quo Forecast (Tabular) – Ambulance Budget Scenario B</w:t>
        </w:r>
        <w:r w:rsidR="008209A2">
          <w:rPr>
            <w:noProof/>
            <w:webHidden/>
          </w:rPr>
          <w:tab/>
        </w:r>
        <w:r w:rsidR="008209A2">
          <w:rPr>
            <w:noProof/>
            <w:webHidden/>
          </w:rPr>
          <w:fldChar w:fldCharType="begin"/>
        </w:r>
        <w:r w:rsidR="008209A2">
          <w:rPr>
            <w:noProof/>
            <w:webHidden/>
          </w:rPr>
          <w:instrText xml:space="preserve"> PAGEREF _Toc464323745 \h </w:instrText>
        </w:r>
        <w:r w:rsidR="008209A2">
          <w:rPr>
            <w:noProof/>
            <w:webHidden/>
          </w:rPr>
        </w:r>
        <w:r w:rsidR="008209A2">
          <w:rPr>
            <w:noProof/>
            <w:webHidden/>
          </w:rPr>
          <w:fldChar w:fldCharType="separate"/>
        </w:r>
        <w:r w:rsidR="008209A2">
          <w:rPr>
            <w:noProof/>
            <w:webHidden/>
          </w:rPr>
          <w:t>178</w:t>
        </w:r>
        <w:r w:rsidR="008209A2">
          <w:rPr>
            <w:noProof/>
            <w:webHidden/>
          </w:rPr>
          <w:fldChar w:fldCharType="end"/>
        </w:r>
      </w:hyperlink>
    </w:p>
    <w:p w14:paraId="59CD60EA" w14:textId="122FD6C0"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746" w:history="1">
        <w:r w:rsidR="008209A2" w:rsidRPr="007C5BB6">
          <w:rPr>
            <w:rStyle w:val="Hyperlink"/>
            <w:noProof/>
          </w:rPr>
          <w:t>Figure 104: Status Quo Forecast (Tabular) – Ambulance Budget Scenario C</w:t>
        </w:r>
        <w:r w:rsidR="008209A2">
          <w:rPr>
            <w:noProof/>
            <w:webHidden/>
          </w:rPr>
          <w:tab/>
        </w:r>
        <w:r w:rsidR="008209A2">
          <w:rPr>
            <w:noProof/>
            <w:webHidden/>
          </w:rPr>
          <w:fldChar w:fldCharType="begin"/>
        </w:r>
        <w:r w:rsidR="008209A2">
          <w:rPr>
            <w:noProof/>
            <w:webHidden/>
          </w:rPr>
          <w:instrText xml:space="preserve"> PAGEREF _Toc464323746 \h </w:instrText>
        </w:r>
        <w:r w:rsidR="008209A2">
          <w:rPr>
            <w:noProof/>
            <w:webHidden/>
          </w:rPr>
        </w:r>
        <w:r w:rsidR="008209A2">
          <w:rPr>
            <w:noProof/>
            <w:webHidden/>
          </w:rPr>
          <w:fldChar w:fldCharType="separate"/>
        </w:r>
        <w:r w:rsidR="008209A2">
          <w:rPr>
            <w:noProof/>
            <w:webHidden/>
          </w:rPr>
          <w:t>178</w:t>
        </w:r>
        <w:r w:rsidR="008209A2">
          <w:rPr>
            <w:noProof/>
            <w:webHidden/>
          </w:rPr>
          <w:fldChar w:fldCharType="end"/>
        </w:r>
      </w:hyperlink>
    </w:p>
    <w:p w14:paraId="370BE7C5" w14:textId="513DAAC0"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747" w:history="1">
        <w:r w:rsidR="008209A2" w:rsidRPr="007C5BB6">
          <w:rPr>
            <w:rStyle w:val="Hyperlink"/>
            <w:noProof/>
          </w:rPr>
          <w:t>Figure 105: Status Quo Forecast (Graphical) – Ambulance Budget Scenario C</w:t>
        </w:r>
        <w:r w:rsidR="008209A2">
          <w:rPr>
            <w:noProof/>
            <w:webHidden/>
          </w:rPr>
          <w:tab/>
        </w:r>
        <w:r w:rsidR="008209A2">
          <w:rPr>
            <w:noProof/>
            <w:webHidden/>
          </w:rPr>
          <w:fldChar w:fldCharType="begin"/>
        </w:r>
        <w:r w:rsidR="008209A2">
          <w:rPr>
            <w:noProof/>
            <w:webHidden/>
          </w:rPr>
          <w:instrText xml:space="preserve"> PAGEREF _Toc464323747 \h </w:instrText>
        </w:r>
        <w:r w:rsidR="008209A2">
          <w:rPr>
            <w:noProof/>
            <w:webHidden/>
          </w:rPr>
        </w:r>
        <w:r w:rsidR="008209A2">
          <w:rPr>
            <w:noProof/>
            <w:webHidden/>
          </w:rPr>
          <w:fldChar w:fldCharType="separate"/>
        </w:r>
        <w:r w:rsidR="008209A2">
          <w:rPr>
            <w:noProof/>
            <w:webHidden/>
          </w:rPr>
          <w:t>180</w:t>
        </w:r>
        <w:r w:rsidR="008209A2">
          <w:rPr>
            <w:noProof/>
            <w:webHidden/>
          </w:rPr>
          <w:fldChar w:fldCharType="end"/>
        </w:r>
      </w:hyperlink>
    </w:p>
    <w:p w14:paraId="5EC74695" w14:textId="19F6520B"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748" w:history="1">
        <w:r w:rsidR="008209A2" w:rsidRPr="007C5BB6">
          <w:rPr>
            <w:rStyle w:val="Hyperlink"/>
            <w:noProof/>
          </w:rPr>
          <w:t>Figure 106: FY 2016 Firefighter Pay/Benefit Scale Used for Scenarios D, E, and F</w:t>
        </w:r>
        <w:r w:rsidR="008209A2">
          <w:rPr>
            <w:noProof/>
            <w:webHidden/>
          </w:rPr>
          <w:tab/>
        </w:r>
        <w:r w:rsidR="008209A2">
          <w:rPr>
            <w:noProof/>
            <w:webHidden/>
          </w:rPr>
          <w:fldChar w:fldCharType="begin"/>
        </w:r>
        <w:r w:rsidR="008209A2">
          <w:rPr>
            <w:noProof/>
            <w:webHidden/>
          </w:rPr>
          <w:instrText xml:space="preserve"> PAGEREF _Toc464323748 \h </w:instrText>
        </w:r>
        <w:r w:rsidR="008209A2">
          <w:rPr>
            <w:noProof/>
            <w:webHidden/>
          </w:rPr>
        </w:r>
        <w:r w:rsidR="008209A2">
          <w:rPr>
            <w:noProof/>
            <w:webHidden/>
          </w:rPr>
          <w:fldChar w:fldCharType="separate"/>
        </w:r>
        <w:r w:rsidR="008209A2">
          <w:rPr>
            <w:noProof/>
            <w:webHidden/>
          </w:rPr>
          <w:t>181</w:t>
        </w:r>
        <w:r w:rsidR="008209A2">
          <w:rPr>
            <w:noProof/>
            <w:webHidden/>
          </w:rPr>
          <w:fldChar w:fldCharType="end"/>
        </w:r>
      </w:hyperlink>
    </w:p>
    <w:p w14:paraId="1DEBB00D" w14:textId="722FE34F"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749" w:history="1">
        <w:r w:rsidR="008209A2" w:rsidRPr="007C5BB6">
          <w:rPr>
            <w:rStyle w:val="Hyperlink"/>
            <w:noProof/>
          </w:rPr>
          <w:t>Figure 107: Cost of Adding a Third Firefighter to each Engine Company in Various Years of Forecast Period</w:t>
        </w:r>
        <w:r w:rsidR="008209A2">
          <w:rPr>
            <w:noProof/>
            <w:webHidden/>
          </w:rPr>
          <w:tab/>
        </w:r>
        <w:r w:rsidR="008209A2">
          <w:rPr>
            <w:noProof/>
            <w:webHidden/>
          </w:rPr>
          <w:fldChar w:fldCharType="begin"/>
        </w:r>
        <w:r w:rsidR="008209A2">
          <w:rPr>
            <w:noProof/>
            <w:webHidden/>
          </w:rPr>
          <w:instrText xml:space="preserve"> PAGEREF _Toc464323749 \h </w:instrText>
        </w:r>
        <w:r w:rsidR="008209A2">
          <w:rPr>
            <w:noProof/>
            <w:webHidden/>
          </w:rPr>
        </w:r>
        <w:r w:rsidR="008209A2">
          <w:rPr>
            <w:noProof/>
            <w:webHidden/>
          </w:rPr>
          <w:fldChar w:fldCharType="separate"/>
        </w:r>
        <w:r w:rsidR="008209A2">
          <w:rPr>
            <w:noProof/>
            <w:webHidden/>
          </w:rPr>
          <w:t>181</w:t>
        </w:r>
        <w:r w:rsidR="008209A2">
          <w:rPr>
            <w:noProof/>
            <w:webHidden/>
          </w:rPr>
          <w:fldChar w:fldCharType="end"/>
        </w:r>
      </w:hyperlink>
    </w:p>
    <w:p w14:paraId="75CDA81A" w14:textId="4C369ABA"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750" w:history="1">
        <w:r w:rsidR="008209A2" w:rsidRPr="007C5BB6">
          <w:rPr>
            <w:rStyle w:val="Hyperlink"/>
            <w:noProof/>
          </w:rPr>
          <w:t>Figure 108: Cost of Adding Another Engine Company in Various Years of Forecast Period</w:t>
        </w:r>
        <w:r w:rsidR="008209A2">
          <w:rPr>
            <w:noProof/>
            <w:webHidden/>
          </w:rPr>
          <w:tab/>
        </w:r>
        <w:r w:rsidR="008209A2">
          <w:rPr>
            <w:noProof/>
            <w:webHidden/>
          </w:rPr>
          <w:fldChar w:fldCharType="begin"/>
        </w:r>
        <w:r w:rsidR="008209A2">
          <w:rPr>
            <w:noProof/>
            <w:webHidden/>
          </w:rPr>
          <w:instrText xml:space="preserve"> PAGEREF _Toc464323750 \h </w:instrText>
        </w:r>
        <w:r w:rsidR="008209A2">
          <w:rPr>
            <w:noProof/>
            <w:webHidden/>
          </w:rPr>
        </w:r>
        <w:r w:rsidR="008209A2">
          <w:rPr>
            <w:noProof/>
            <w:webHidden/>
          </w:rPr>
          <w:fldChar w:fldCharType="separate"/>
        </w:r>
        <w:r w:rsidR="008209A2">
          <w:rPr>
            <w:noProof/>
            <w:webHidden/>
          </w:rPr>
          <w:t>182</w:t>
        </w:r>
        <w:r w:rsidR="008209A2">
          <w:rPr>
            <w:noProof/>
            <w:webHidden/>
          </w:rPr>
          <w:fldChar w:fldCharType="end"/>
        </w:r>
      </w:hyperlink>
    </w:p>
    <w:p w14:paraId="6DB6F54A" w14:textId="209BBEBE"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751" w:history="1">
        <w:r w:rsidR="008209A2" w:rsidRPr="007C5BB6">
          <w:rPr>
            <w:rStyle w:val="Hyperlink"/>
            <w:noProof/>
          </w:rPr>
          <w:t>Figure 109: Cost of Adding a Third Person in each Engine and Another Engine Company in Various Years of Forecast Period</w:t>
        </w:r>
        <w:r w:rsidR="008209A2">
          <w:rPr>
            <w:noProof/>
            <w:webHidden/>
          </w:rPr>
          <w:tab/>
        </w:r>
        <w:r w:rsidR="008209A2">
          <w:rPr>
            <w:noProof/>
            <w:webHidden/>
          </w:rPr>
          <w:fldChar w:fldCharType="begin"/>
        </w:r>
        <w:r w:rsidR="008209A2">
          <w:rPr>
            <w:noProof/>
            <w:webHidden/>
          </w:rPr>
          <w:instrText xml:space="preserve"> PAGEREF _Toc464323751 \h </w:instrText>
        </w:r>
        <w:r w:rsidR="008209A2">
          <w:rPr>
            <w:noProof/>
            <w:webHidden/>
          </w:rPr>
        </w:r>
        <w:r w:rsidR="008209A2">
          <w:rPr>
            <w:noProof/>
            <w:webHidden/>
          </w:rPr>
          <w:fldChar w:fldCharType="separate"/>
        </w:r>
        <w:r w:rsidR="008209A2">
          <w:rPr>
            <w:noProof/>
            <w:webHidden/>
          </w:rPr>
          <w:t>182</w:t>
        </w:r>
        <w:r w:rsidR="008209A2">
          <w:rPr>
            <w:noProof/>
            <w:webHidden/>
          </w:rPr>
          <w:fldChar w:fldCharType="end"/>
        </w:r>
      </w:hyperlink>
    </w:p>
    <w:p w14:paraId="1EECFDDD" w14:textId="10FE587A" w:rsidR="008209A2" w:rsidRDefault="00432AD4">
      <w:pPr>
        <w:pStyle w:val="TableofFigures"/>
        <w:tabs>
          <w:tab w:val="right" w:leader="dot" w:pos="9350"/>
        </w:tabs>
        <w:rPr>
          <w:rFonts w:asciiTheme="minorHAnsi" w:eastAsiaTheme="minorEastAsia" w:hAnsiTheme="minorHAnsi"/>
          <w:noProof/>
          <w:szCs w:val="22"/>
          <w:lang w:eastAsia="en-US"/>
        </w:rPr>
      </w:pPr>
      <w:hyperlink w:anchor="_Toc464323752" w:history="1">
        <w:r w:rsidR="008209A2" w:rsidRPr="007C5BB6">
          <w:rPr>
            <w:rStyle w:val="Hyperlink"/>
            <w:noProof/>
          </w:rPr>
          <w:t>Figure 110: Annual Cost Differential of Adding a Third Person in each Engine and/or Another Engine Company</w:t>
        </w:r>
        <w:r w:rsidR="008209A2">
          <w:rPr>
            <w:noProof/>
            <w:webHidden/>
          </w:rPr>
          <w:tab/>
        </w:r>
        <w:r w:rsidR="008209A2">
          <w:rPr>
            <w:noProof/>
            <w:webHidden/>
          </w:rPr>
          <w:fldChar w:fldCharType="begin"/>
        </w:r>
        <w:r w:rsidR="008209A2">
          <w:rPr>
            <w:noProof/>
            <w:webHidden/>
          </w:rPr>
          <w:instrText xml:space="preserve"> PAGEREF _Toc464323752 \h </w:instrText>
        </w:r>
        <w:r w:rsidR="008209A2">
          <w:rPr>
            <w:noProof/>
            <w:webHidden/>
          </w:rPr>
        </w:r>
        <w:r w:rsidR="008209A2">
          <w:rPr>
            <w:noProof/>
            <w:webHidden/>
          </w:rPr>
          <w:fldChar w:fldCharType="separate"/>
        </w:r>
        <w:r w:rsidR="008209A2">
          <w:rPr>
            <w:noProof/>
            <w:webHidden/>
          </w:rPr>
          <w:t>183</w:t>
        </w:r>
        <w:r w:rsidR="008209A2">
          <w:rPr>
            <w:noProof/>
            <w:webHidden/>
          </w:rPr>
          <w:fldChar w:fldCharType="end"/>
        </w:r>
      </w:hyperlink>
    </w:p>
    <w:p w14:paraId="2BFAC971" w14:textId="7D17A8AF" w:rsidR="00DB3228" w:rsidRPr="00DE2FAA" w:rsidRDefault="00C7448A" w:rsidP="00A74332">
      <w:pPr>
        <w:spacing w:after="120" w:line="240" w:lineRule="auto"/>
        <w:contextualSpacing/>
        <w:rPr>
          <w:rFonts w:cs="Calibri"/>
          <w:sz w:val="16"/>
          <w:szCs w:val="16"/>
        </w:rPr>
      </w:pPr>
      <w:r>
        <w:rPr>
          <w:rFonts w:cs="Calibri"/>
          <w:highlight w:val="yellow"/>
        </w:rPr>
        <w:fldChar w:fldCharType="end"/>
      </w:r>
    </w:p>
    <w:p w14:paraId="4F0EB217" w14:textId="77777777" w:rsidR="00671937" w:rsidRPr="00DE2FAA" w:rsidRDefault="00671937">
      <w:pPr>
        <w:spacing w:line="240" w:lineRule="auto"/>
        <w:jc w:val="left"/>
        <w:rPr>
          <w:rFonts w:eastAsiaTheme="minorEastAsia" w:cs="Calibri"/>
          <w:b/>
          <w:bCs/>
          <w:i/>
          <w:iCs/>
          <w:sz w:val="24"/>
          <w:szCs w:val="28"/>
        </w:rPr>
      </w:pPr>
      <w:bookmarkStart w:id="393" w:name="_Appendix_B_Summary"/>
      <w:bookmarkEnd w:id="388"/>
      <w:bookmarkEnd w:id="389"/>
      <w:bookmarkEnd w:id="393"/>
    </w:p>
    <w:p w14:paraId="01D3057C" w14:textId="77777777" w:rsidR="00C20994" w:rsidRPr="00DE2FAA" w:rsidRDefault="00C20994">
      <w:pPr>
        <w:spacing w:line="240" w:lineRule="auto"/>
        <w:jc w:val="left"/>
        <w:rPr>
          <w:rFonts w:eastAsiaTheme="minorEastAsia" w:cs="Calibri"/>
          <w:b/>
          <w:bCs/>
          <w:i/>
          <w:iCs/>
          <w:sz w:val="24"/>
          <w:szCs w:val="28"/>
        </w:rPr>
      </w:pPr>
    </w:p>
    <w:sectPr w:rsidR="00C20994" w:rsidRPr="00DE2FAA" w:rsidSect="00C7448A">
      <w:type w:val="oddPage"/>
      <w:pgSz w:w="12240" w:h="15840"/>
      <w:pgMar w:top="1440" w:right="1440" w:bottom="1440" w:left="1440" w:header="720" w:footer="72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7A2C82E" w14:textId="77777777" w:rsidR="00432AD4" w:rsidRDefault="00432AD4">
      <w:r>
        <w:separator/>
      </w:r>
    </w:p>
    <w:p w14:paraId="7AE65B75" w14:textId="77777777" w:rsidR="00432AD4" w:rsidRDefault="00432AD4"/>
    <w:p w14:paraId="724F9408" w14:textId="77777777" w:rsidR="00432AD4" w:rsidRDefault="00432AD4" w:rsidP="002F6367"/>
  </w:endnote>
  <w:endnote w:type="continuationSeparator" w:id="0">
    <w:p w14:paraId="76E4066B" w14:textId="77777777" w:rsidR="00432AD4" w:rsidRDefault="00432AD4">
      <w:r>
        <w:continuationSeparator/>
      </w:r>
    </w:p>
    <w:p w14:paraId="24D72026" w14:textId="77777777" w:rsidR="00432AD4" w:rsidRDefault="00432AD4"/>
    <w:p w14:paraId="6BF90D38" w14:textId="77777777" w:rsidR="00432AD4" w:rsidRDefault="00432AD4" w:rsidP="002F636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roman"/>
    <w:pitch w:val="variable"/>
    <w:sig w:usb0="E00002FF" w:usb1="400004FF" w:usb2="00000000" w:usb3="00000000" w:csb0="0000019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imes">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00002FF" w:usb1="4000ACFF" w:usb2="00000001" w:usb3="00000000" w:csb0="0000019F" w:csb1="00000000"/>
  </w:font>
  <w:font w:name="Kabel Ult BT">
    <w:altName w:val="Franklin Gothic Heavy"/>
    <w:panose1 w:val="00000000000000000000"/>
    <w:charset w:val="00"/>
    <w:family w:val="swiss"/>
    <w:notTrueType/>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Verdana">
    <w:panose1 w:val="020B0604030504040204"/>
    <w:charset w:val="00"/>
    <w:family w:val="swiss"/>
    <w:pitch w:val="variable"/>
    <w:sig w:usb0="A10006FF" w:usb1="4000205B" w:usb2="00000010" w:usb3="00000000" w:csb0="0000019F" w:csb1="00000000"/>
  </w:font>
  <w:font w:name="Arial Bold">
    <w:panose1 w:val="020B0704020202020204"/>
    <w:charset w:val="00"/>
    <w:family w:val="auto"/>
    <w:pitch w:val="variable"/>
    <w:sig w:usb0="E0002AFF" w:usb1="C0007843" w:usb2="00000009" w:usb3="00000000" w:csb0="000001FF" w:csb1="00000000"/>
  </w:font>
  <w:font w:name="ヒラギノ角ゴ Pro W3">
    <w:charset w:val="80"/>
    <w:family w:val="auto"/>
    <w:pitch w:val="variable"/>
    <w:sig w:usb0="00000000" w:usb1="08070000" w:usb2="00000010" w:usb3="00000000" w:csb0="00020000" w:csb1="00000000"/>
  </w:font>
  <w:font w:name="Lucida Grande">
    <w:altName w:val="Arial"/>
    <w:charset w:val="00"/>
    <w:family w:val="auto"/>
    <w:pitch w:val="variable"/>
    <w:sig w:usb0="00000000" w:usb1="5000A1FF" w:usb2="00000000" w:usb3="00000000" w:csb0="000001BF" w:csb1="00000000"/>
  </w:font>
  <w:font w:name="Times New Roman,Calibri">
    <w:altName w:val="Times New Roman"/>
    <w:panose1 w:val="00000000000000000000"/>
    <w:charset w:val="00"/>
    <w:family w:val="roman"/>
    <w:notTrueType/>
    <w:pitch w:val="default"/>
  </w:font>
  <w:font w:name="Aharoni">
    <w:panose1 w:val="02010803020104030203"/>
    <w:charset w:val="B1"/>
    <w:family w:val="auto"/>
    <w:pitch w:val="variable"/>
    <w:sig w:usb0="00000801" w:usb1="00000000" w:usb2="00000000" w:usb3="00000000" w:csb0="00000020" w:csb1="00000000"/>
  </w:font>
  <w:font w:name="Times New Roman,Cambria">
    <w:altName w:val="Times New Roman"/>
    <w:panose1 w:val="00000000000000000000"/>
    <w:charset w:val="00"/>
    <w:family w:val="roman"/>
    <w:notTrueType/>
    <w:pitch w:val="default"/>
  </w:font>
  <w:font w:name="Corbel">
    <w:panose1 w:val="020B0503020204020204"/>
    <w:charset w:val="00"/>
    <w:family w:val="swiss"/>
    <w:pitch w:val="variable"/>
    <w:sig w:usb0="A00002EF" w:usb1="4000A44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BD6B3D" w14:textId="77777777" w:rsidR="00B26FE8" w:rsidRDefault="00B26FE8">
    <w:pPr>
      <w:pStyle w:val="Footer"/>
      <w:jc w:val="right"/>
    </w:pPr>
    <w:r>
      <w:rPr>
        <w:noProof/>
        <w:lang w:eastAsia="en-US"/>
      </w:rPr>
      <w:drawing>
        <wp:anchor distT="0" distB="0" distL="114300" distR="114300" simplePos="0" relativeHeight="251658240" behindDoc="1" locked="0" layoutInCell="1" allowOverlap="1" wp14:anchorId="374A5E8F" wp14:editId="3B1A6A31">
          <wp:simplePos x="0" y="0"/>
          <wp:positionH relativeFrom="column">
            <wp:posOffset>5176520</wp:posOffset>
          </wp:positionH>
          <wp:positionV relativeFrom="paragraph">
            <wp:posOffset>9357360</wp:posOffset>
          </wp:positionV>
          <wp:extent cx="1685290" cy="450215"/>
          <wp:effectExtent l="0" t="0" r="0" b="6985"/>
          <wp:wrapNone/>
          <wp:docPr id="99"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1">
                    <a:grayscl/>
                    <a:extLst>
                      <a:ext uri="{28A0092B-C50C-407E-A947-70E740481C1C}">
                        <a14:useLocalDpi xmlns:a14="http://schemas.microsoft.com/office/drawing/2010/main" val="0"/>
                      </a:ext>
                    </a:extLst>
                  </a:blip>
                  <a:srcRect/>
                  <a:stretch>
                    <a:fillRect/>
                  </a:stretch>
                </pic:blipFill>
                <pic:spPr bwMode="auto">
                  <a:xfrm>
                    <a:off x="0" y="0"/>
                    <a:ext cx="1685290" cy="450215"/>
                  </a:xfrm>
                  <a:prstGeom prst="rect">
                    <a:avLst/>
                  </a:prstGeom>
                  <a:noFill/>
                </pic:spPr>
              </pic:pic>
            </a:graphicData>
          </a:graphic>
        </wp:anchor>
      </w:drawing>
    </w:r>
    <w:r>
      <w:rPr>
        <w:noProof/>
        <w:lang w:eastAsia="en-US"/>
      </w:rPr>
      <w:drawing>
        <wp:anchor distT="0" distB="0" distL="114300" distR="114300" simplePos="0" relativeHeight="251654144" behindDoc="1" locked="0" layoutInCell="1" allowOverlap="1" wp14:anchorId="7F68B642" wp14:editId="6F2507B9">
          <wp:simplePos x="0" y="0"/>
          <wp:positionH relativeFrom="column">
            <wp:posOffset>5176520</wp:posOffset>
          </wp:positionH>
          <wp:positionV relativeFrom="paragraph">
            <wp:posOffset>9357360</wp:posOffset>
          </wp:positionV>
          <wp:extent cx="1685290" cy="450215"/>
          <wp:effectExtent l="0" t="0" r="0" b="6985"/>
          <wp:wrapNone/>
          <wp:docPr id="10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1">
                    <a:grayscl/>
                    <a:extLst>
                      <a:ext uri="{28A0092B-C50C-407E-A947-70E740481C1C}">
                        <a14:useLocalDpi xmlns:a14="http://schemas.microsoft.com/office/drawing/2010/main" val="0"/>
                      </a:ext>
                    </a:extLst>
                  </a:blip>
                  <a:srcRect/>
                  <a:stretch>
                    <a:fillRect/>
                  </a:stretch>
                </pic:blipFill>
                <pic:spPr bwMode="auto">
                  <a:xfrm>
                    <a:off x="0" y="0"/>
                    <a:ext cx="1685290" cy="450215"/>
                  </a:xfrm>
                  <a:prstGeom prst="rect">
                    <a:avLst/>
                  </a:prstGeom>
                  <a:noFill/>
                </pic:spPr>
              </pic:pic>
            </a:graphicData>
          </a:graphic>
        </wp:anchor>
      </w:drawing>
    </w:r>
    <w:r>
      <w:rPr>
        <w:noProof/>
        <w:lang w:eastAsia="en-US"/>
      </w:rPr>
      <w:drawing>
        <wp:anchor distT="0" distB="0" distL="114300" distR="114300" simplePos="0" relativeHeight="251652096" behindDoc="1" locked="0" layoutInCell="1" allowOverlap="1" wp14:anchorId="7AA626E2" wp14:editId="532EB4D8">
          <wp:simplePos x="0" y="0"/>
          <wp:positionH relativeFrom="column">
            <wp:posOffset>5176520</wp:posOffset>
          </wp:positionH>
          <wp:positionV relativeFrom="paragraph">
            <wp:posOffset>9357360</wp:posOffset>
          </wp:positionV>
          <wp:extent cx="1685290" cy="450215"/>
          <wp:effectExtent l="0" t="0" r="0" b="6985"/>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grayscl/>
                    <a:extLst>
                      <a:ext uri="{28A0092B-C50C-407E-A947-70E740481C1C}">
                        <a14:useLocalDpi xmlns:a14="http://schemas.microsoft.com/office/drawing/2010/main" val="0"/>
                      </a:ext>
                    </a:extLst>
                  </a:blip>
                  <a:srcRect/>
                  <a:stretch>
                    <a:fillRect/>
                  </a:stretch>
                </pic:blipFill>
                <pic:spPr bwMode="auto">
                  <a:xfrm>
                    <a:off x="0" y="0"/>
                    <a:ext cx="1685290" cy="450215"/>
                  </a:xfrm>
                  <a:prstGeom prst="rect">
                    <a:avLst/>
                  </a:prstGeom>
                  <a:noFill/>
                </pic:spPr>
              </pic:pic>
            </a:graphicData>
          </a:graphic>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189B05" w14:textId="3DD81F05" w:rsidR="00B26FE8" w:rsidRDefault="00D914EF" w:rsidP="00D914EF">
    <w:pPr>
      <w:pStyle w:val="Footer"/>
      <w:spacing w:after="0" w:line="240" w:lineRule="auto"/>
      <w:ind w:left="720"/>
      <w:jc w:val="right"/>
    </w:pPr>
    <w:r>
      <w:rPr>
        <w:noProof/>
        <w:lang w:eastAsia="en-US"/>
      </w:rPr>
      <w:drawing>
        <wp:anchor distT="0" distB="0" distL="114300" distR="114300" simplePos="0" relativeHeight="251665408" behindDoc="1" locked="0" layoutInCell="1" allowOverlap="1" wp14:anchorId="1A426C15" wp14:editId="27EA635D">
          <wp:simplePos x="0" y="0"/>
          <wp:positionH relativeFrom="column">
            <wp:posOffset>2819400</wp:posOffset>
          </wp:positionH>
          <wp:positionV relativeFrom="paragraph">
            <wp:posOffset>-206375</wp:posOffset>
          </wp:positionV>
          <wp:extent cx="3349940" cy="609080"/>
          <wp:effectExtent l="0" t="0" r="3175" b="635"/>
          <wp:wrapNone/>
          <wp:docPr id="62" name="Picture 62" descr="C:\Users\Don Bivins\AppData\Local\Microsoft\Windows\INetCacheContent.Word\ESCIPosHrztlL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on Bivins\AppData\Local\Microsoft\Windows\INetCacheContent.Word\ESCIPosHrztlLgo.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349940" cy="609080"/>
                  </a:xfrm>
                  <a:prstGeom prst="rect">
                    <a:avLst/>
                  </a:prstGeom>
                  <a:noFill/>
                  <a:ln>
                    <a:noFill/>
                  </a:ln>
                </pic:spPr>
              </pic:pic>
            </a:graphicData>
          </a:graphic>
        </wp:anchor>
      </w:drawing>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28DEFD" w14:textId="11B7FC3C" w:rsidR="00B26FE8" w:rsidRDefault="00B26FE8" w:rsidP="00963F5B">
    <w:pPr>
      <w:pStyle w:val="Footer"/>
      <w:tabs>
        <w:tab w:val="clear" w:pos="4320"/>
        <w:tab w:val="clear" w:pos="8640"/>
        <w:tab w:val="center" w:pos="5060"/>
        <w:tab w:val="right" w:pos="9180"/>
      </w:tabs>
      <w:spacing w:line="240" w:lineRule="auto"/>
      <w:divId w:val="1496142861"/>
      <w:rPr>
        <w:rStyle w:val="PageNumber"/>
        <w:sz w:val="20"/>
        <w:szCs w:val="20"/>
      </w:rPr>
    </w:pPr>
    <w:r>
      <w:rPr>
        <w:noProof/>
        <w:lang w:eastAsia="en-US"/>
      </w:rPr>
      <w:drawing>
        <wp:anchor distT="0" distB="0" distL="114300" distR="114300" simplePos="0" relativeHeight="251660288" behindDoc="0" locked="0" layoutInCell="1" allowOverlap="1" wp14:anchorId="55496411" wp14:editId="7B90D01E">
          <wp:simplePos x="0" y="0"/>
          <wp:positionH relativeFrom="column">
            <wp:align>right</wp:align>
          </wp:positionH>
          <wp:positionV relativeFrom="paragraph">
            <wp:posOffset>45720</wp:posOffset>
          </wp:positionV>
          <wp:extent cx="883920" cy="274320"/>
          <wp:effectExtent l="0" t="0" r="0" b="0"/>
          <wp:wrapSquare wrapText="bothSides"/>
          <wp:docPr id="106"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884446" cy="274320"/>
                  </a:xfrm>
                  <a:prstGeom prst="rect">
                    <a:avLst/>
                  </a:prstGeom>
                  <a:noFill/>
                </pic:spPr>
              </pic:pic>
            </a:graphicData>
          </a:graphic>
          <wp14:sizeRelH relativeFrom="margin">
            <wp14:pctWidth>0</wp14:pctWidth>
          </wp14:sizeRelH>
        </wp:anchor>
      </w:drawing>
    </w:r>
    <w:r>
      <w:rPr>
        <w:rStyle w:val="PageNumber"/>
        <w:sz w:val="20"/>
        <w:szCs w:val="20"/>
      </w:rPr>
      <w:fldChar w:fldCharType="begin"/>
    </w:r>
    <w:r>
      <w:rPr>
        <w:rStyle w:val="PageNumber"/>
        <w:sz w:val="20"/>
        <w:szCs w:val="20"/>
      </w:rPr>
      <w:instrText xml:space="preserve"> PAGE </w:instrText>
    </w:r>
    <w:r>
      <w:rPr>
        <w:rStyle w:val="PageNumber"/>
        <w:sz w:val="20"/>
        <w:szCs w:val="20"/>
      </w:rPr>
      <w:fldChar w:fldCharType="separate"/>
    </w:r>
    <w:r w:rsidR="00BE7C64">
      <w:rPr>
        <w:rStyle w:val="PageNumber"/>
        <w:noProof/>
        <w:sz w:val="20"/>
        <w:szCs w:val="20"/>
      </w:rPr>
      <w:t>72</w:t>
    </w:r>
    <w:r>
      <w:rPr>
        <w:rStyle w:val="PageNumber"/>
        <w:sz w:val="20"/>
        <w:szCs w:val="20"/>
      </w:rPr>
      <w:fldChar w:fldCharType="end"/>
    </w:r>
    <w:r>
      <w:rPr>
        <w:rStyle w:val="PageNumber"/>
        <w:sz w:val="20"/>
        <w:szCs w:val="20"/>
      </w:rPr>
      <w:t xml:space="preserve">  </w:t>
    </w:r>
    <w:r w:rsidR="001259A2">
      <w:rPr>
        <w:rStyle w:val="PageNumber"/>
        <w:sz w:val="20"/>
        <w:szCs w:val="20"/>
      </w:rPr>
      <w:t>Final</w:t>
    </w:r>
    <w:r>
      <w:rPr>
        <w:rStyle w:val="PageNumber"/>
        <w:sz w:val="20"/>
        <w:szCs w:val="20"/>
      </w:rPr>
      <w:t xml:space="preserve"> Report</w:t>
    </w:r>
  </w:p>
  <w:p w14:paraId="71FF50CC" w14:textId="77777777" w:rsidR="00B26FE8" w:rsidRDefault="00B26FE8" w:rsidP="00963F5B">
    <w:pPr>
      <w:pStyle w:val="Footer"/>
      <w:tabs>
        <w:tab w:val="clear" w:pos="4320"/>
        <w:tab w:val="clear" w:pos="8640"/>
        <w:tab w:val="center" w:pos="5060"/>
        <w:tab w:val="right" w:pos="9180"/>
      </w:tabs>
      <w:spacing w:line="240" w:lineRule="auto"/>
      <w:divId w:val="1496142861"/>
      <w:rPr>
        <w:sz w:val="20"/>
        <w:szCs w:val="20"/>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19971C" w14:textId="6E29A7CE" w:rsidR="00B26FE8" w:rsidRDefault="00B26FE8" w:rsidP="00DF69D1">
    <w:pPr>
      <w:pStyle w:val="Footer"/>
      <w:pBdr>
        <w:top w:val="single" w:sz="4" w:space="1" w:color="auto"/>
      </w:pBdr>
      <w:tabs>
        <w:tab w:val="clear" w:pos="4320"/>
        <w:tab w:val="clear" w:pos="8640"/>
        <w:tab w:val="center" w:pos="5060"/>
        <w:tab w:val="right" w:pos="9180"/>
      </w:tabs>
      <w:spacing w:line="240" w:lineRule="auto"/>
      <w:jc w:val="right"/>
      <w:rPr>
        <w:rStyle w:val="PageNumber"/>
        <w:sz w:val="20"/>
        <w:szCs w:val="20"/>
      </w:rPr>
    </w:pPr>
    <w:r>
      <w:rPr>
        <w:noProof/>
        <w:lang w:eastAsia="en-US"/>
      </w:rPr>
      <w:drawing>
        <wp:anchor distT="0" distB="0" distL="114300" distR="114300" simplePos="0" relativeHeight="251656192" behindDoc="0" locked="0" layoutInCell="1" allowOverlap="1" wp14:anchorId="7D8CF6F8" wp14:editId="23EB93D6">
          <wp:simplePos x="0" y="0"/>
          <wp:positionH relativeFrom="column">
            <wp:align>left</wp:align>
          </wp:positionH>
          <wp:positionV relativeFrom="paragraph">
            <wp:posOffset>45720</wp:posOffset>
          </wp:positionV>
          <wp:extent cx="884555" cy="274320"/>
          <wp:effectExtent l="0" t="0" r="0" b="0"/>
          <wp:wrapSquare wrapText="bothSides"/>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884626" cy="274376"/>
                  </a:xfrm>
                  <a:prstGeom prst="rect">
                    <a:avLst/>
                  </a:prstGeom>
                  <a:noFill/>
                </pic:spPr>
              </pic:pic>
            </a:graphicData>
          </a:graphic>
          <wp14:sizeRelH relativeFrom="margin">
            <wp14:pctWidth>0</wp14:pctWidth>
          </wp14:sizeRelH>
        </wp:anchor>
      </w:drawing>
    </w:r>
    <w:r w:rsidR="001259A2">
      <w:rPr>
        <w:rStyle w:val="PageNumber"/>
        <w:sz w:val="20"/>
        <w:szCs w:val="20"/>
      </w:rPr>
      <w:t>Final R</w:t>
    </w:r>
    <w:r>
      <w:rPr>
        <w:rStyle w:val="PageNumber"/>
        <w:sz w:val="20"/>
        <w:szCs w:val="20"/>
      </w:rPr>
      <w:t xml:space="preserve">eport </w:t>
    </w:r>
    <w:r>
      <w:rPr>
        <w:rStyle w:val="PageNumber"/>
        <w:sz w:val="20"/>
        <w:szCs w:val="20"/>
      </w:rPr>
      <w:fldChar w:fldCharType="begin"/>
    </w:r>
    <w:r>
      <w:rPr>
        <w:rStyle w:val="PageNumber"/>
        <w:sz w:val="20"/>
        <w:szCs w:val="20"/>
      </w:rPr>
      <w:instrText xml:space="preserve"> PAGE </w:instrText>
    </w:r>
    <w:r>
      <w:rPr>
        <w:rStyle w:val="PageNumber"/>
        <w:sz w:val="20"/>
        <w:szCs w:val="20"/>
      </w:rPr>
      <w:fldChar w:fldCharType="separate"/>
    </w:r>
    <w:r w:rsidR="00BE7C64">
      <w:rPr>
        <w:rStyle w:val="PageNumber"/>
        <w:noProof/>
        <w:sz w:val="20"/>
        <w:szCs w:val="20"/>
      </w:rPr>
      <w:t>73</w:t>
    </w:r>
    <w:r>
      <w:rPr>
        <w:rStyle w:val="PageNumber"/>
        <w:sz w:val="20"/>
        <w:szCs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4901FED" w14:textId="77777777" w:rsidR="00432AD4" w:rsidRDefault="00432AD4" w:rsidP="00CB0510">
      <w:pPr>
        <w:spacing w:after="120" w:line="240" w:lineRule="auto"/>
      </w:pPr>
      <w:r>
        <w:separator/>
      </w:r>
    </w:p>
  </w:footnote>
  <w:footnote w:type="continuationSeparator" w:id="0">
    <w:p w14:paraId="73F86740" w14:textId="77777777" w:rsidR="00432AD4" w:rsidRDefault="00432AD4">
      <w:r>
        <w:continuationSeparator/>
      </w:r>
    </w:p>
    <w:p w14:paraId="1B9DE502" w14:textId="77777777" w:rsidR="00432AD4" w:rsidRDefault="00432AD4"/>
    <w:p w14:paraId="136740A4" w14:textId="77777777" w:rsidR="00432AD4" w:rsidRDefault="00432AD4" w:rsidP="002F6367"/>
  </w:footnote>
  <w:footnote w:id="1">
    <w:p w14:paraId="60365D86" w14:textId="77777777" w:rsidR="005B0DB7" w:rsidRPr="005B0DB7" w:rsidRDefault="005B0DB7" w:rsidP="005B0DB7">
      <w:pPr>
        <w:pStyle w:val="FootnoteText"/>
        <w:spacing w:after="0"/>
        <w:rPr>
          <w:sz w:val="20"/>
          <w:szCs w:val="20"/>
        </w:rPr>
      </w:pPr>
      <w:r w:rsidRPr="005B0DB7">
        <w:rPr>
          <w:rStyle w:val="FootnoteReference"/>
          <w:szCs w:val="20"/>
        </w:rPr>
        <w:footnoteRef/>
      </w:r>
      <w:r w:rsidRPr="005B0DB7">
        <w:rPr>
          <w:sz w:val="20"/>
          <w:szCs w:val="20"/>
        </w:rPr>
        <w:t xml:space="preserve"> </w:t>
      </w:r>
      <w:proofErr w:type="gramStart"/>
      <w:r w:rsidRPr="005B0DB7">
        <w:rPr>
          <w:sz w:val="20"/>
          <w:szCs w:val="20"/>
        </w:rPr>
        <w:t>2015 National Fire Protection Association (NFPA) Benchmark Data.</w:t>
      </w:r>
      <w:proofErr w:type="gramEnd"/>
    </w:p>
  </w:footnote>
  <w:footnote w:id="2">
    <w:p w14:paraId="20AECAA1" w14:textId="77777777" w:rsidR="005B0DB7" w:rsidRPr="005B0DB7" w:rsidRDefault="005B0DB7" w:rsidP="005B0DB7">
      <w:pPr>
        <w:pStyle w:val="FootnoteText"/>
        <w:spacing w:after="0"/>
        <w:rPr>
          <w:sz w:val="20"/>
          <w:szCs w:val="20"/>
        </w:rPr>
      </w:pPr>
      <w:r w:rsidRPr="005B0DB7">
        <w:rPr>
          <w:rStyle w:val="FootnoteReference"/>
          <w:szCs w:val="20"/>
        </w:rPr>
        <w:footnoteRef/>
      </w:r>
      <w:r w:rsidRPr="005B0DB7">
        <w:rPr>
          <w:sz w:val="20"/>
          <w:szCs w:val="20"/>
        </w:rPr>
        <w:t xml:space="preserve"> Ibid.</w:t>
      </w:r>
    </w:p>
  </w:footnote>
  <w:footnote w:id="3">
    <w:p w14:paraId="6CA04579" w14:textId="77777777" w:rsidR="005B0DB7" w:rsidRPr="005B0DB7" w:rsidRDefault="005B0DB7" w:rsidP="005B0DB7">
      <w:pPr>
        <w:pStyle w:val="FootnoteText"/>
        <w:spacing w:after="0"/>
        <w:rPr>
          <w:sz w:val="20"/>
          <w:szCs w:val="20"/>
        </w:rPr>
      </w:pPr>
      <w:r w:rsidRPr="005B0DB7">
        <w:rPr>
          <w:rStyle w:val="FootnoteReference"/>
          <w:szCs w:val="20"/>
        </w:rPr>
        <w:footnoteRef/>
      </w:r>
      <w:r w:rsidRPr="005B0DB7">
        <w:rPr>
          <w:sz w:val="20"/>
          <w:szCs w:val="20"/>
        </w:rPr>
        <w:t xml:space="preserve"> Ibid.</w:t>
      </w:r>
    </w:p>
  </w:footnote>
  <w:footnote w:id="4">
    <w:p w14:paraId="5B961BA1" w14:textId="77777777" w:rsidR="005B0DB7" w:rsidRPr="005B0DB7" w:rsidRDefault="005B0DB7" w:rsidP="005B0DB7">
      <w:pPr>
        <w:pStyle w:val="FootnoteText"/>
        <w:spacing w:after="0"/>
        <w:rPr>
          <w:sz w:val="20"/>
          <w:szCs w:val="20"/>
        </w:rPr>
      </w:pPr>
      <w:r w:rsidRPr="005B0DB7">
        <w:rPr>
          <w:rStyle w:val="FootnoteReference"/>
          <w:szCs w:val="20"/>
        </w:rPr>
        <w:footnoteRef/>
      </w:r>
      <w:r w:rsidRPr="005B0DB7">
        <w:rPr>
          <w:sz w:val="20"/>
          <w:szCs w:val="20"/>
        </w:rPr>
        <w:t xml:space="preserve"> Ibid.</w:t>
      </w:r>
    </w:p>
  </w:footnote>
  <w:footnote w:id="5">
    <w:p w14:paraId="28AEE640" w14:textId="77777777" w:rsidR="005B0DB7" w:rsidRPr="005B0DB7" w:rsidRDefault="005B0DB7" w:rsidP="005B0DB7">
      <w:pPr>
        <w:pStyle w:val="FootnoteText"/>
        <w:spacing w:after="0"/>
        <w:rPr>
          <w:sz w:val="20"/>
          <w:szCs w:val="20"/>
        </w:rPr>
      </w:pPr>
      <w:r w:rsidRPr="005B0DB7">
        <w:rPr>
          <w:rStyle w:val="FootnoteReference"/>
          <w:szCs w:val="20"/>
        </w:rPr>
        <w:footnoteRef/>
      </w:r>
      <w:r w:rsidRPr="005B0DB7">
        <w:rPr>
          <w:sz w:val="20"/>
          <w:szCs w:val="20"/>
        </w:rPr>
        <w:t xml:space="preserve"> As this report was drafted, OFM released 2016 population numbers, reporting Pasco’s population at 70,560</w:t>
      </w:r>
    </w:p>
  </w:footnote>
  <w:footnote w:id="6">
    <w:p w14:paraId="58C3FB44" w14:textId="77777777" w:rsidR="005B0DB7" w:rsidRPr="005B0DB7" w:rsidRDefault="005B0DB7" w:rsidP="005B0DB7">
      <w:pPr>
        <w:pStyle w:val="FootnoteText"/>
        <w:spacing w:after="0"/>
        <w:rPr>
          <w:sz w:val="20"/>
          <w:szCs w:val="20"/>
        </w:rPr>
      </w:pPr>
      <w:r w:rsidRPr="005B0DB7">
        <w:rPr>
          <w:rStyle w:val="FootnoteReference"/>
          <w:szCs w:val="20"/>
        </w:rPr>
        <w:footnoteRef/>
      </w:r>
      <w:r w:rsidRPr="005B0DB7">
        <w:rPr>
          <w:sz w:val="20"/>
          <w:szCs w:val="20"/>
        </w:rPr>
        <w:t xml:space="preserve"> </w:t>
      </w:r>
      <w:proofErr w:type="gramStart"/>
      <w:r w:rsidRPr="005B0DB7">
        <w:rPr>
          <w:sz w:val="20"/>
          <w:szCs w:val="20"/>
        </w:rPr>
        <w:t>Washington State Office of Financial Management.</w:t>
      </w:r>
      <w:proofErr w:type="gramEnd"/>
    </w:p>
  </w:footnote>
  <w:footnote w:id="7">
    <w:p w14:paraId="718B4D9F" w14:textId="77777777" w:rsidR="005B0DB7" w:rsidRPr="005B0DB7" w:rsidRDefault="005B0DB7" w:rsidP="005B0DB7">
      <w:pPr>
        <w:pStyle w:val="FootnoteText"/>
        <w:spacing w:after="40"/>
        <w:rPr>
          <w:sz w:val="20"/>
          <w:szCs w:val="20"/>
        </w:rPr>
      </w:pPr>
      <w:r w:rsidRPr="005B0DB7">
        <w:rPr>
          <w:rStyle w:val="FootnoteReference"/>
          <w:szCs w:val="20"/>
        </w:rPr>
        <w:footnoteRef/>
      </w:r>
      <w:r w:rsidRPr="005B0DB7">
        <w:rPr>
          <w:sz w:val="20"/>
          <w:szCs w:val="20"/>
        </w:rPr>
        <w:t xml:space="preserve"> </w:t>
      </w:r>
      <w:r w:rsidRPr="005B0DB7">
        <w:rPr>
          <w:rFonts w:cs="Calibri"/>
          <w:i/>
          <w:color w:val="000000"/>
          <w:sz w:val="20"/>
          <w:szCs w:val="20"/>
        </w:rPr>
        <w:t>NFPA 1710</w:t>
      </w:r>
      <w:r w:rsidRPr="005B0DB7">
        <w:rPr>
          <w:rFonts w:cs="Calibri"/>
          <w:color w:val="000000"/>
          <w:sz w:val="20"/>
          <w:szCs w:val="20"/>
        </w:rPr>
        <w:t xml:space="preserve">, </w:t>
      </w:r>
      <w:r w:rsidRPr="005B0DB7">
        <w:rPr>
          <w:rFonts w:cs="Calibri"/>
          <w:i/>
          <w:sz w:val="20"/>
          <w:szCs w:val="20"/>
        </w:rPr>
        <w:t>Standard for the Organization and Deployment of Fire Suppression Operations, Emergency Medical Operations, and Special Operations to the Public by Career Fire Departments</w:t>
      </w:r>
      <w:r w:rsidRPr="005B0DB7">
        <w:rPr>
          <w:rStyle w:val="italic1"/>
          <w:rFonts w:cs="Calibri"/>
          <w:sz w:val="20"/>
          <w:szCs w:val="20"/>
        </w:rPr>
        <w:t xml:space="preserve"> </w:t>
      </w:r>
      <w:r w:rsidRPr="005B0DB7">
        <w:rPr>
          <w:rFonts w:cs="Calibri"/>
          <w:color w:val="000000"/>
          <w:sz w:val="20"/>
          <w:szCs w:val="20"/>
        </w:rPr>
        <w:t>(National Fire Protection Association 2010).</w:t>
      </w:r>
    </w:p>
  </w:footnote>
  <w:footnote w:id="8">
    <w:p w14:paraId="082DB883" w14:textId="77777777" w:rsidR="005B0DB7" w:rsidRPr="005B0DB7" w:rsidRDefault="005B0DB7" w:rsidP="005B0DB7">
      <w:pPr>
        <w:pStyle w:val="FootnoteText"/>
        <w:spacing w:after="40"/>
        <w:rPr>
          <w:sz w:val="20"/>
          <w:szCs w:val="20"/>
        </w:rPr>
      </w:pPr>
      <w:r w:rsidRPr="005B0DB7">
        <w:rPr>
          <w:rStyle w:val="FootnoteReference"/>
          <w:szCs w:val="20"/>
        </w:rPr>
        <w:footnoteRef/>
      </w:r>
      <w:r w:rsidRPr="005B0DB7">
        <w:rPr>
          <w:sz w:val="20"/>
          <w:szCs w:val="20"/>
        </w:rPr>
        <w:t xml:space="preserve">   </w:t>
      </w:r>
      <w:proofErr w:type="gramStart"/>
      <w:r w:rsidRPr="005B0DB7">
        <w:rPr>
          <w:sz w:val="20"/>
          <w:szCs w:val="20"/>
        </w:rPr>
        <w:t>Center for Public Safety Excellence/Commission on Fire Accreditation (CPSE/CFAI) Standards of Cover, 5th Edition.</w:t>
      </w:r>
      <w:proofErr w:type="gramEnd"/>
    </w:p>
  </w:footnote>
  <w:footnote w:id="9">
    <w:p w14:paraId="74C6F4E9" w14:textId="0041EF00" w:rsidR="00B26FE8" w:rsidRPr="00CB0510" w:rsidRDefault="00B26FE8" w:rsidP="00CB0510">
      <w:pPr>
        <w:pStyle w:val="FootnoteText"/>
        <w:spacing w:after="40"/>
        <w:rPr>
          <w:sz w:val="20"/>
          <w:szCs w:val="20"/>
        </w:rPr>
      </w:pPr>
      <w:r w:rsidRPr="00CB0510">
        <w:rPr>
          <w:rStyle w:val="FootnoteReference"/>
          <w:szCs w:val="20"/>
        </w:rPr>
        <w:footnoteRef/>
      </w:r>
      <w:r w:rsidRPr="00CB0510">
        <w:rPr>
          <w:sz w:val="20"/>
          <w:szCs w:val="20"/>
        </w:rPr>
        <w:t xml:space="preserve"> </w:t>
      </w:r>
      <w:proofErr w:type="gramStart"/>
      <w:r w:rsidRPr="00CB0510">
        <w:rPr>
          <w:sz w:val="20"/>
          <w:szCs w:val="20"/>
        </w:rPr>
        <w:t>Source: Washington State OFM Population Estimate.</w:t>
      </w:r>
      <w:proofErr w:type="gramEnd"/>
      <w:r w:rsidRPr="00CB0510">
        <w:rPr>
          <w:sz w:val="20"/>
          <w:szCs w:val="20"/>
        </w:rPr>
        <w:t xml:space="preserve"> July 2016.</w:t>
      </w:r>
    </w:p>
  </w:footnote>
  <w:footnote w:id="10">
    <w:p w14:paraId="0FAE851C" w14:textId="77777777" w:rsidR="00B26FE8" w:rsidRPr="00CB0510" w:rsidRDefault="00B26FE8" w:rsidP="00CB0510">
      <w:pPr>
        <w:pStyle w:val="FootnoteText"/>
        <w:spacing w:after="40"/>
        <w:rPr>
          <w:sz w:val="20"/>
          <w:szCs w:val="20"/>
        </w:rPr>
      </w:pPr>
      <w:r w:rsidRPr="00CB0510">
        <w:rPr>
          <w:rStyle w:val="FootnoteReference"/>
          <w:szCs w:val="20"/>
        </w:rPr>
        <w:footnoteRef/>
      </w:r>
      <w:r w:rsidRPr="00CB0510">
        <w:rPr>
          <w:sz w:val="20"/>
          <w:szCs w:val="20"/>
        </w:rPr>
        <w:t xml:space="preserve"> </w:t>
      </w:r>
      <w:proofErr w:type="gramStart"/>
      <w:r w:rsidRPr="00CB0510">
        <w:rPr>
          <w:sz w:val="20"/>
          <w:szCs w:val="20"/>
        </w:rPr>
        <w:t>2015 National Fire Protection Association (NFPA) Benchmark Data.</w:t>
      </w:r>
      <w:proofErr w:type="gramEnd"/>
    </w:p>
  </w:footnote>
  <w:footnote w:id="11">
    <w:p w14:paraId="35353D64" w14:textId="77777777" w:rsidR="00B26FE8" w:rsidRPr="00CB0510" w:rsidRDefault="00B26FE8" w:rsidP="00CB0510">
      <w:pPr>
        <w:pStyle w:val="FootnoteText"/>
        <w:spacing w:after="40"/>
        <w:rPr>
          <w:sz w:val="20"/>
          <w:szCs w:val="20"/>
        </w:rPr>
      </w:pPr>
      <w:r w:rsidRPr="00CB0510">
        <w:rPr>
          <w:rStyle w:val="FootnoteReference"/>
          <w:szCs w:val="20"/>
        </w:rPr>
        <w:footnoteRef/>
      </w:r>
      <w:r w:rsidRPr="00CB0510">
        <w:rPr>
          <w:sz w:val="20"/>
          <w:szCs w:val="20"/>
        </w:rPr>
        <w:t xml:space="preserve"> Ibid.</w:t>
      </w:r>
    </w:p>
  </w:footnote>
  <w:footnote w:id="12">
    <w:p w14:paraId="56810456" w14:textId="77777777" w:rsidR="00B26FE8" w:rsidRPr="00CB0510" w:rsidRDefault="00B26FE8" w:rsidP="00CB0510">
      <w:pPr>
        <w:pStyle w:val="FootnoteText"/>
        <w:spacing w:after="40"/>
        <w:rPr>
          <w:sz w:val="20"/>
          <w:szCs w:val="20"/>
        </w:rPr>
      </w:pPr>
      <w:r w:rsidRPr="00CB0510">
        <w:rPr>
          <w:rStyle w:val="FootnoteReference"/>
          <w:szCs w:val="20"/>
        </w:rPr>
        <w:footnoteRef/>
      </w:r>
      <w:r w:rsidRPr="00CB0510">
        <w:rPr>
          <w:sz w:val="20"/>
          <w:szCs w:val="20"/>
        </w:rPr>
        <w:t xml:space="preserve"> Ibid.</w:t>
      </w:r>
    </w:p>
  </w:footnote>
  <w:footnote w:id="13">
    <w:p w14:paraId="618971FD" w14:textId="77777777" w:rsidR="00B26FE8" w:rsidRPr="00CB0510" w:rsidRDefault="00B26FE8" w:rsidP="00CB0510">
      <w:pPr>
        <w:pStyle w:val="FootnoteText"/>
        <w:spacing w:after="40"/>
        <w:rPr>
          <w:sz w:val="20"/>
          <w:szCs w:val="20"/>
        </w:rPr>
      </w:pPr>
      <w:r w:rsidRPr="00CB0510">
        <w:rPr>
          <w:rStyle w:val="FootnoteReference"/>
          <w:szCs w:val="20"/>
        </w:rPr>
        <w:footnoteRef/>
      </w:r>
      <w:r w:rsidRPr="00CB0510">
        <w:rPr>
          <w:sz w:val="20"/>
          <w:szCs w:val="20"/>
        </w:rPr>
        <w:t xml:space="preserve"> Public Health News, </w:t>
      </w:r>
      <w:r w:rsidRPr="00CB0510">
        <w:rPr>
          <w:i/>
          <w:sz w:val="20"/>
          <w:szCs w:val="20"/>
        </w:rPr>
        <w:t>King County has world's highest survival rate for cardiac arrest</w:t>
      </w:r>
      <w:r w:rsidRPr="00CB0510">
        <w:rPr>
          <w:sz w:val="20"/>
          <w:szCs w:val="20"/>
        </w:rPr>
        <w:t>, Seattle and King County Health, May 19, 2014.</w:t>
      </w:r>
    </w:p>
  </w:footnote>
  <w:footnote w:id="14">
    <w:p w14:paraId="70E6E008" w14:textId="77777777" w:rsidR="00B26FE8" w:rsidRPr="00CB0510" w:rsidRDefault="00B26FE8" w:rsidP="00CB0510">
      <w:pPr>
        <w:pStyle w:val="FootnoteText"/>
        <w:spacing w:after="40"/>
        <w:rPr>
          <w:sz w:val="20"/>
          <w:szCs w:val="20"/>
        </w:rPr>
      </w:pPr>
      <w:r w:rsidRPr="00CB0510">
        <w:rPr>
          <w:rStyle w:val="FootnoteReference"/>
          <w:szCs w:val="20"/>
        </w:rPr>
        <w:footnoteRef/>
      </w:r>
      <w:r w:rsidRPr="00CB0510">
        <w:rPr>
          <w:sz w:val="20"/>
          <w:szCs w:val="20"/>
        </w:rPr>
        <w:t xml:space="preserve"> Ibid.</w:t>
      </w:r>
    </w:p>
  </w:footnote>
  <w:footnote w:id="15">
    <w:p w14:paraId="642D8D0A" w14:textId="77777777" w:rsidR="00B26FE8" w:rsidRPr="00CB0510" w:rsidRDefault="00B26FE8" w:rsidP="00CB0510">
      <w:pPr>
        <w:pStyle w:val="FootnoteText"/>
        <w:spacing w:after="40"/>
        <w:rPr>
          <w:sz w:val="20"/>
          <w:szCs w:val="20"/>
        </w:rPr>
      </w:pPr>
      <w:r w:rsidRPr="00CB0510">
        <w:rPr>
          <w:rStyle w:val="FootnoteReference"/>
          <w:szCs w:val="20"/>
        </w:rPr>
        <w:footnoteRef/>
      </w:r>
      <w:r w:rsidRPr="00CB0510">
        <w:rPr>
          <w:sz w:val="20"/>
          <w:szCs w:val="20"/>
        </w:rPr>
        <w:t xml:space="preserve"> RCW 35.21.766 (3), Ambulance services—Establishment authorized.</w:t>
      </w:r>
    </w:p>
  </w:footnote>
  <w:footnote w:id="16">
    <w:p w14:paraId="42889578" w14:textId="77777777" w:rsidR="00B26FE8" w:rsidRPr="00CB0510" w:rsidRDefault="00B26FE8" w:rsidP="00CB0510">
      <w:pPr>
        <w:pStyle w:val="FootnoteText"/>
        <w:spacing w:after="40"/>
        <w:rPr>
          <w:sz w:val="20"/>
          <w:szCs w:val="20"/>
        </w:rPr>
      </w:pPr>
      <w:r w:rsidRPr="00CB0510">
        <w:rPr>
          <w:rStyle w:val="FootnoteReference"/>
          <w:szCs w:val="20"/>
        </w:rPr>
        <w:footnoteRef/>
      </w:r>
      <w:r w:rsidRPr="00CB0510">
        <w:rPr>
          <w:sz w:val="20"/>
          <w:szCs w:val="20"/>
        </w:rPr>
        <w:t xml:space="preserve"> WAC 246-976-920, </w:t>
      </w:r>
      <w:r w:rsidRPr="00CB0510">
        <w:rPr>
          <w:i/>
          <w:sz w:val="20"/>
          <w:szCs w:val="20"/>
        </w:rPr>
        <w:t>Medical Program Director.</w:t>
      </w:r>
    </w:p>
  </w:footnote>
  <w:footnote w:id="17">
    <w:p w14:paraId="0CDAF876" w14:textId="77777777" w:rsidR="00B26FE8" w:rsidRPr="00CB0510" w:rsidRDefault="00B26FE8" w:rsidP="00CB0510">
      <w:pPr>
        <w:pStyle w:val="FootnoteText"/>
        <w:spacing w:after="40"/>
        <w:rPr>
          <w:sz w:val="20"/>
          <w:szCs w:val="20"/>
        </w:rPr>
      </w:pPr>
      <w:r w:rsidRPr="00CB0510">
        <w:rPr>
          <w:rStyle w:val="FootnoteReference"/>
          <w:szCs w:val="20"/>
        </w:rPr>
        <w:footnoteRef/>
      </w:r>
      <w:r w:rsidRPr="00CB0510">
        <w:rPr>
          <w:sz w:val="20"/>
          <w:szCs w:val="20"/>
        </w:rPr>
        <w:t xml:space="preserve"> Edwards PJ, et al. </w:t>
      </w:r>
      <w:proofErr w:type="gramStart"/>
      <w:r w:rsidRPr="00CB0510">
        <w:rPr>
          <w:i/>
          <w:sz w:val="20"/>
          <w:szCs w:val="20"/>
        </w:rPr>
        <w:t>Maximizing</w:t>
      </w:r>
      <w:proofErr w:type="gramEnd"/>
      <w:r w:rsidRPr="00CB0510">
        <w:rPr>
          <w:i/>
          <w:sz w:val="20"/>
          <w:szCs w:val="20"/>
        </w:rPr>
        <w:t xml:space="preserve"> your investment in EHR: Utilizing EHRs to inform continuous quality improvement</w:t>
      </w:r>
      <w:r w:rsidRPr="00CB0510">
        <w:rPr>
          <w:sz w:val="20"/>
          <w:szCs w:val="20"/>
        </w:rPr>
        <w:t>, JHIM (Journal of Healthcare Information Management), 2008.</w:t>
      </w:r>
    </w:p>
  </w:footnote>
  <w:footnote w:id="18">
    <w:p w14:paraId="1C6574D1" w14:textId="77777777" w:rsidR="00B26FE8" w:rsidRPr="00CB0510" w:rsidRDefault="00B26FE8" w:rsidP="00CB0510">
      <w:pPr>
        <w:pStyle w:val="FootnoteText"/>
        <w:spacing w:after="40"/>
        <w:rPr>
          <w:sz w:val="20"/>
          <w:szCs w:val="20"/>
        </w:rPr>
      </w:pPr>
      <w:r w:rsidRPr="00CB0510">
        <w:rPr>
          <w:rStyle w:val="FootnoteReference"/>
          <w:szCs w:val="20"/>
        </w:rPr>
        <w:footnoteRef/>
      </w:r>
      <w:r w:rsidRPr="00CB0510">
        <w:rPr>
          <w:sz w:val="20"/>
          <w:szCs w:val="20"/>
        </w:rPr>
        <w:t xml:space="preserve"> </w:t>
      </w:r>
      <w:proofErr w:type="gramStart"/>
      <w:r w:rsidRPr="00CB0510">
        <w:rPr>
          <w:sz w:val="20"/>
          <w:szCs w:val="20"/>
        </w:rPr>
        <w:t>FAA, Enplanements at Primary Airports (Rank Order) CY10, ACAIS (Air Carrier Activity Information System).</w:t>
      </w:r>
      <w:proofErr w:type="gramEnd"/>
    </w:p>
  </w:footnote>
  <w:footnote w:id="19">
    <w:p w14:paraId="4143C4AB" w14:textId="77777777" w:rsidR="00B26FE8" w:rsidRPr="00CB0510" w:rsidRDefault="00B26FE8" w:rsidP="00CB0510">
      <w:pPr>
        <w:pStyle w:val="FootnoteText"/>
        <w:spacing w:after="40"/>
        <w:rPr>
          <w:sz w:val="20"/>
          <w:szCs w:val="20"/>
        </w:rPr>
      </w:pPr>
      <w:r w:rsidRPr="00CB0510">
        <w:rPr>
          <w:rStyle w:val="FootnoteReference"/>
          <w:szCs w:val="20"/>
        </w:rPr>
        <w:footnoteRef/>
      </w:r>
      <w:r w:rsidRPr="00CB0510">
        <w:rPr>
          <w:sz w:val="20"/>
          <w:szCs w:val="20"/>
        </w:rPr>
        <w:t xml:space="preserve"> </w:t>
      </w:r>
      <w:r w:rsidRPr="00CB0510">
        <w:rPr>
          <w:i/>
          <w:sz w:val="20"/>
          <w:szCs w:val="20"/>
        </w:rPr>
        <w:t>Aircraft Rescue Firefighting Study</w:t>
      </w:r>
      <w:r w:rsidRPr="00CB0510">
        <w:rPr>
          <w:sz w:val="20"/>
          <w:szCs w:val="20"/>
        </w:rPr>
        <w:t xml:space="preserve">, </w:t>
      </w:r>
      <w:proofErr w:type="gramStart"/>
      <w:r w:rsidRPr="00CB0510">
        <w:rPr>
          <w:sz w:val="20"/>
          <w:szCs w:val="20"/>
        </w:rPr>
        <w:t>SSi</w:t>
      </w:r>
      <w:proofErr w:type="gramEnd"/>
      <w:r w:rsidRPr="00CB0510">
        <w:rPr>
          <w:sz w:val="20"/>
          <w:szCs w:val="20"/>
        </w:rPr>
        <w:t>, Inc. and W.A.M.D.I. Aviation Consultants, LLC, 2013.</w:t>
      </w:r>
    </w:p>
  </w:footnote>
  <w:footnote w:id="20">
    <w:p w14:paraId="5FDCA69E" w14:textId="7BC008C9" w:rsidR="00B26FE8" w:rsidRPr="00CB0510" w:rsidRDefault="00B26FE8" w:rsidP="00CB0510">
      <w:pPr>
        <w:pStyle w:val="FootnoteText"/>
        <w:spacing w:after="40"/>
        <w:rPr>
          <w:sz w:val="20"/>
          <w:szCs w:val="20"/>
        </w:rPr>
      </w:pPr>
      <w:r w:rsidRPr="00CB0510">
        <w:rPr>
          <w:rStyle w:val="FootnoteReference"/>
          <w:szCs w:val="20"/>
        </w:rPr>
        <w:footnoteRef/>
      </w:r>
      <w:r w:rsidRPr="00CB0510">
        <w:rPr>
          <w:sz w:val="20"/>
          <w:szCs w:val="20"/>
        </w:rPr>
        <w:t xml:space="preserve"> </w:t>
      </w:r>
      <w:r w:rsidRPr="00F43A85">
        <w:rPr>
          <w:i/>
          <w:sz w:val="20"/>
          <w:szCs w:val="20"/>
        </w:rPr>
        <w:t xml:space="preserve">Pasco Tri-Cities Airport Master Plan </w:t>
      </w:r>
      <w:proofErr w:type="gramStart"/>
      <w:r w:rsidRPr="00F43A85">
        <w:rPr>
          <w:i/>
          <w:sz w:val="20"/>
          <w:szCs w:val="20"/>
        </w:rPr>
        <w:t>Update</w:t>
      </w:r>
      <w:r w:rsidRPr="00CB0510">
        <w:rPr>
          <w:sz w:val="20"/>
          <w:szCs w:val="20"/>
        </w:rPr>
        <w:t>,</w:t>
      </w:r>
      <w:proofErr w:type="gramEnd"/>
      <w:r w:rsidRPr="00CB0510">
        <w:rPr>
          <w:sz w:val="20"/>
          <w:szCs w:val="20"/>
        </w:rPr>
        <w:t xml:space="preserve"> prepared</w:t>
      </w:r>
      <w:r>
        <w:rPr>
          <w:sz w:val="20"/>
          <w:szCs w:val="20"/>
        </w:rPr>
        <w:t xml:space="preserve"> by Mead &amp; Hunt, Inc., November</w:t>
      </w:r>
      <w:r w:rsidRPr="00CB0510">
        <w:rPr>
          <w:sz w:val="20"/>
          <w:szCs w:val="20"/>
        </w:rPr>
        <w:t xml:space="preserve"> 2011.</w:t>
      </w:r>
    </w:p>
  </w:footnote>
  <w:footnote w:id="21">
    <w:p w14:paraId="2EF0D4B7" w14:textId="77777777" w:rsidR="00B26FE8" w:rsidRPr="00CB0510" w:rsidRDefault="00B26FE8" w:rsidP="00CB0510">
      <w:pPr>
        <w:pStyle w:val="FootnoteText"/>
        <w:spacing w:after="40"/>
        <w:rPr>
          <w:sz w:val="20"/>
          <w:szCs w:val="20"/>
        </w:rPr>
      </w:pPr>
      <w:r w:rsidRPr="00CB0510">
        <w:rPr>
          <w:rStyle w:val="FootnoteReference"/>
          <w:szCs w:val="20"/>
        </w:rPr>
        <w:footnoteRef/>
      </w:r>
      <w:r w:rsidRPr="00CB0510">
        <w:rPr>
          <w:sz w:val="20"/>
          <w:szCs w:val="20"/>
        </w:rPr>
        <w:t xml:space="preserve"> </w:t>
      </w:r>
      <w:proofErr w:type="gramStart"/>
      <w:r w:rsidRPr="00CB0510">
        <w:rPr>
          <w:sz w:val="20"/>
          <w:szCs w:val="20"/>
        </w:rPr>
        <w:t>Tri-Cities Airport, Terminal Expansion and Modernization Project.</w:t>
      </w:r>
      <w:proofErr w:type="gramEnd"/>
    </w:p>
  </w:footnote>
  <w:footnote w:id="22">
    <w:p w14:paraId="681D37BC" w14:textId="77777777" w:rsidR="00B26FE8" w:rsidRPr="00CB0510" w:rsidRDefault="00B26FE8" w:rsidP="00CB0510">
      <w:pPr>
        <w:pStyle w:val="FootnoteText"/>
        <w:spacing w:after="40"/>
        <w:rPr>
          <w:sz w:val="20"/>
          <w:szCs w:val="20"/>
        </w:rPr>
      </w:pPr>
      <w:r w:rsidRPr="00CB0510">
        <w:rPr>
          <w:rStyle w:val="FootnoteReference"/>
          <w:szCs w:val="20"/>
        </w:rPr>
        <w:footnoteRef/>
      </w:r>
      <w:r w:rsidRPr="00CB0510">
        <w:rPr>
          <w:sz w:val="20"/>
          <w:szCs w:val="20"/>
        </w:rPr>
        <w:t xml:space="preserve"> Ibid.</w:t>
      </w:r>
    </w:p>
  </w:footnote>
  <w:footnote w:id="23">
    <w:p w14:paraId="43F01D89" w14:textId="77777777" w:rsidR="00B26FE8" w:rsidRPr="00CB0510" w:rsidRDefault="00B26FE8" w:rsidP="00CB0510">
      <w:pPr>
        <w:pStyle w:val="FootnoteText"/>
        <w:spacing w:after="40"/>
        <w:rPr>
          <w:sz w:val="20"/>
          <w:szCs w:val="20"/>
        </w:rPr>
      </w:pPr>
      <w:r w:rsidRPr="00CB0510">
        <w:rPr>
          <w:rStyle w:val="FootnoteReference"/>
          <w:szCs w:val="20"/>
        </w:rPr>
        <w:footnoteRef/>
      </w:r>
      <w:r w:rsidRPr="00CB0510">
        <w:rPr>
          <w:sz w:val="20"/>
          <w:szCs w:val="20"/>
        </w:rPr>
        <w:t xml:space="preserve"> Ibid.</w:t>
      </w:r>
    </w:p>
  </w:footnote>
  <w:footnote w:id="24">
    <w:p w14:paraId="136B719D" w14:textId="77777777" w:rsidR="00B26FE8" w:rsidRPr="00CB0510" w:rsidRDefault="00B26FE8" w:rsidP="00CB0510">
      <w:pPr>
        <w:pStyle w:val="FootnoteText"/>
        <w:spacing w:after="40"/>
        <w:rPr>
          <w:sz w:val="20"/>
          <w:szCs w:val="20"/>
        </w:rPr>
      </w:pPr>
      <w:r w:rsidRPr="00CB0510">
        <w:rPr>
          <w:rStyle w:val="FootnoteReference"/>
          <w:szCs w:val="20"/>
        </w:rPr>
        <w:footnoteRef/>
      </w:r>
      <w:r w:rsidRPr="00CB0510">
        <w:rPr>
          <w:sz w:val="20"/>
          <w:szCs w:val="20"/>
        </w:rPr>
        <w:t xml:space="preserve"> </w:t>
      </w:r>
      <w:proofErr w:type="gramStart"/>
      <w:r w:rsidRPr="00CB0510">
        <w:rPr>
          <w:i/>
          <w:sz w:val="20"/>
          <w:szCs w:val="20"/>
        </w:rPr>
        <w:t>Chapter 296-305 WAC, Safety standards for Firefighters.</w:t>
      </w:r>
      <w:proofErr w:type="gramEnd"/>
    </w:p>
  </w:footnote>
  <w:footnote w:id="25">
    <w:p w14:paraId="1BF25DB1" w14:textId="77777777" w:rsidR="00B26FE8" w:rsidRPr="00CB0510" w:rsidRDefault="00B26FE8" w:rsidP="00CB0510">
      <w:pPr>
        <w:pStyle w:val="FootnoteText"/>
        <w:spacing w:after="40"/>
        <w:rPr>
          <w:sz w:val="20"/>
          <w:szCs w:val="20"/>
        </w:rPr>
      </w:pPr>
      <w:r w:rsidRPr="00CB0510">
        <w:rPr>
          <w:rStyle w:val="FootnoteReference"/>
          <w:szCs w:val="20"/>
        </w:rPr>
        <w:footnoteRef/>
      </w:r>
      <w:r w:rsidRPr="00CB0510">
        <w:rPr>
          <w:sz w:val="20"/>
          <w:szCs w:val="20"/>
        </w:rPr>
        <w:t xml:space="preserve"> National Fire Protection Association, </w:t>
      </w:r>
      <w:r w:rsidRPr="00CB0510">
        <w:rPr>
          <w:i/>
          <w:sz w:val="20"/>
          <w:szCs w:val="20"/>
        </w:rPr>
        <w:t>Standard 1402</w:t>
      </w:r>
      <w:r w:rsidRPr="00CB0510">
        <w:rPr>
          <w:sz w:val="20"/>
          <w:szCs w:val="20"/>
        </w:rPr>
        <w:t xml:space="preserve"> </w:t>
      </w:r>
      <w:r w:rsidRPr="00CB0510">
        <w:rPr>
          <w:bCs/>
          <w:i/>
          <w:sz w:val="20"/>
          <w:szCs w:val="20"/>
        </w:rPr>
        <w:t>Guide to Building Fire Service Training Centers</w:t>
      </w:r>
      <w:r w:rsidRPr="00CB0510">
        <w:rPr>
          <w:sz w:val="20"/>
          <w:szCs w:val="20"/>
        </w:rPr>
        <w:t>, 2012 Edition.</w:t>
      </w:r>
    </w:p>
  </w:footnote>
  <w:footnote w:id="26">
    <w:p w14:paraId="3C0117FB" w14:textId="77777777" w:rsidR="00B26FE8" w:rsidRPr="00CB0510" w:rsidRDefault="00B26FE8" w:rsidP="00CB0510">
      <w:pPr>
        <w:pStyle w:val="FootnoteText"/>
        <w:spacing w:after="40"/>
        <w:rPr>
          <w:sz w:val="20"/>
          <w:szCs w:val="20"/>
        </w:rPr>
      </w:pPr>
      <w:r w:rsidRPr="00CB0510">
        <w:rPr>
          <w:rStyle w:val="FootnoteReference"/>
          <w:szCs w:val="20"/>
        </w:rPr>
        <w:footnoteRef/>
      </w:r>
      <w:r w:rsidRPr="00CB0510">
        <w:rPr>
          <w:sz w:val="20"/>
          <w:szCs w:val="20"/>
        </w:rPr>
        <w:t xml:space="preserve"> </w:t>
      </w:r>
      <w:r w:rsidRPr="00CB0510">
        <w:rPr>
          <w:i/>
          <w:sz w:val="20"/>
          <w:szCs w:val="20"/>
        </w:rPr>
        <w:t xml:space="preserve">History of Lightweight Construction, </w:t>
      </w:r>
      <w:r w:rsidRPr="00CB0510">
        <w:rPr>
          <w:i/>
          <w:iCs/>
          <w:sz w:val="20"/>
          <w:szCs w:val="20"/>
        </w:rPr>
        <w:t xml:space="preserve">APA – The Engineered Wood Association, </w:t>
      </w:r>
      <w:r w:rsidRPr="00CB0510">
        <w:rPr>
          <w:iCs/>
          <w:sz w:val="20"/>
          <w:szCs w:val="20"/>
        </w:rPr>
        <w:t>sourced April 27, 2016.</w:t>
      </w:r>
    </w:p>
  </w:footnote>
  <w:footnote w:id="27">
    <w:p w14:paraId="1101D95E" w14:textId="77777777" w:rsidR="00B26FE8" w:rsidRPr="00CB0510" w:rsidRDefault="00B26FE8" w:rsidP="00CB0510">
      <w:pPr>
        <w:pStyle w:val="FootnoteText1"/>
        <w:spacing w:after="40"/>
      </w:pPr>
      <w:r w:rsidRPr="00CB0510">
        <w:rPr>
          <w:rStyle w:val="FootnoteReference"/>
        </w:rPr>
        <w:footnoteRef/>
      </w:r>
      <w:r w:rsidRPr="00CB0510">
        <w:t xml:space="preserve"> </w:t>
      </w:r>
      <w:r w:rsidRPr="00CB0510">
        <w:rPr>
          <w:i/>
        </w:rPr>
        <w:t>Code Enforcement: Critical for a Successful Fire Prevention Program</w:t>
      </w:r>
      <w:r w:rsidRPr="00CB0510">
        <w:t xml:space="preserve">, </w:t>
      </w:r>
      <w:r w:rsidRPr="00B97078">
        <w:rPr>
          <w:u w:val="single"/>
        </w:rPr>
        <w:t>Fire Engineering</w:t>
      </w:r>
      <w:r w:rsidRPr="00CB0510">
        <w:t>, January 1, 2013.</w:t>
      </w:r>
    </w:p>
  </w:footnote>
  <w:footnote w:id="28">
    <w:p w14:paraId="0EFCB52E" w14:textId="77777777" w:rsidR="00B26FE8" w:rsidRPr="00CB0510" w:rsidRDefault="00B26FE8" w:rsidP="00CB0510">
      <w:pPr>
        <w:pStyle w:val="FootnoteText1"/>
        <w:spacing w:after="40"/>
      </w:pPr>
      <w:r w:rsidRPr="00CB0510">
        <w:rPr>
          <w:rStyle w:val="FootnoteReference"/>
        </w:rPr>
        <w:footnoteRef/>
      </w:r>
      <w:r w:rsidRPr="00CB0510">
        <w:t xml:space="preserve"> Troy Hendren, Inspection Services Manager, City of Pasco Memo, </w:t>
      </w:r>
      <w:r w:rsidRPr="00CB0510">
        <w:rPr>
          <w:i/>
        </w:rPr>
        <w:t>RE: Fire Safety Inspection Program</w:t>
      </w:r>
      <w:r w:rsidRPr="00CB0510">
        <w:t>, December 29, 2014.</w:t>
      </w:r>
    </w:p>
  </w:footnote>
  <w:footnote w:id="29">
    <w:p w14:paraId="0FBF6ADF" w14:textId="77777777" w:rsidR="00B26FE8" w:rsidRPr="00CB0510" w:rsidRDefault="00B26FE8" w:rsidP="00CB0510">
      <w:pPr>
        <w:pStyle w:val="FootnoteText"/>
        <w:spacing w:after="40"/>
        <w:rPr>
          <w:sz w:val="20"/>
          <w:szCs w:val="20"/>
        </w:rPr>
      </w:pPr>
      <w:r w:rsidRPr="00CB0510">
        <w:rPr>
          <w:rStyle w:val="FootnoteReference"/>
          <w:szCs w:val="20"/>
        </w:rPr>
        <w:footnoteRef/>
      </w:r>
      <w:r w:rsidRPr="00CB0510">
        <w:rPr>
          <w:sz w:val="20"/>
          <w:szCs w:val="20"/>
        </w:rPr>
        <w:t xml:space="preserve"> </w:t>
      </w:r>
      <w:proofErr w:type="gramStart"/>
      <w:r w:rsidRPr="00CB0510">
        <w:rPr>
          <w:i/>
          <w:sz w:val="20"/>
          <w:szCs w:val="20"/>
        </w:rPr>
        <w:t>NFPA 921: Guide for Fire and Explosion Investigations</w:t>
      </w:r>
      <w:r w:rsidRPr="00CB0510">
        <w:rPr>
          <w:sz w:val="20"/>
          <w:szCs w:val="20"/>
        </w:rPr>
        <w:t>, (National Fire Protection Association 2014).</w:t>
      </w:r>
      <w:proofErr w:type="gramEnd"/>
    </w:p>
  </w:footnote>
  <w:footnote w:id="30">
    <w:p w14:paraId="36A09974" w14:textId="77777777" w:rsidR="00B26FE8" w:rsidRPr="00CB0510" w:rsidRDefault="00B26FE8" w:rsidP="00AC6C9C">
      <w:pPr>
        <w:pStyle w:val="FootnoteText"/>
        <w:spacing w:after="40"/>
        <w:rPr>
          <w:sz w:val="20"/>
          <w:szCs w:val="20"/>
        </w:rPr>
      </w:pPr>
      <w:r w:rsidRPr="00CB0510">
        <w:rPr>
          <w:rStyle w:val="FootnoteReference"/>
          <w:szCs w:val="20"/>
        </w:rPr>
        <w:footnoteRef/>
      </w:r>
      <w:r w:rsidRPr="00CB0510">
        <w:rPr>
          <w:sz w:val="20"/>
          <w:szCs w:val="20"/>
        </w:rPr>
        <w:t xml:space="preserve"> </w:t>
      </w:r>
      <w:proofErr w:type="gramStart"/>
      <w:r w:rsidRPr="00CB0510">
        <w:rPr>
          <w:i/>
          <w:sz w:val="20"/>
          <w:szCs w:val="20"/>
        </w:rPr>
        <w:t>RCW 43.44.050, Reports and investigation of fires—Police powers</w:t>
      </w:r>
      <w:r w:rsidRPr="00CB0510">
        <w:rPr>
          <w:sz w:val="20"/>
          <w:szCs w:val="20"/>
        </w:rPr>
        <w:t>, 1996.</w:t>
      </w:r>
      <w:proofErr w:type="gramEnd"/>
    </w:p>
  </w:footnote>
  <w:footnote w:id="31">
    <w:p w14:paraId="1BA3A1C3" w14:textId="77777777" w:rsidR="00B26FE8" w:rsidRPr="00CB0510" w:rsidRDefault="00B26FE8" w:rsidP="00CB0510">
      <w:pPr>
        <w:pStyle w:val="FootnoteText"/>
        <w:spacing w:after="40"/>
        <w:rPr>
          <w:sz w:val="20"/>
          <w:szCs w:val="20"/>
        </w:rPr>
      </w:pPr>
      <w:r w:rsidRPr="00CB0510">
        <w:rPr>
          <w:rStyle w:val="FootnoteReference"/>
          <w:szCs w:val="20"/>
        </w:rPr>
        <w:footnoteRef/>
      </w:r>
      <w:r w:rsidRPr="00CB0510">
        <w:rPr>
          <w:sz w:val="20"/>
          <w:szCs w:val="20"/>
        </w:rPr>
        <w:t xml:space="preserve"> </w:t>
      </w:r>
      <w:proofErr w:type="gramStart"/>
      <w:r w:rsidRPr="00CB0510">
        <w:rPr>
          <w:i/>
          <w:sz w:val="20"/>
          <w:szCs w:val="20"/>
        </w:rPr>
        <w:t>Fire Data Analysis Handbook, U.S. Fire Administration, Second Edition</w:t>
      </w:r>
      <w:r w:rsidRPr="00CB0510">
        <w:rPr>
          <w:sz w:val="20"/>
          <w:szCs w:val="20"/>
        </w:rPr>
        <w:t>, FA 266/January 2004, page 1.</w:t>
      </w:r>
      <w:proofErr w:type="gramEnd"/>
    </w:p>
  </w:footnote>
  <w:footnote w:id="32">
    <w:p w14:paraId="7ADDA514" w14:textId="77777777" w:rsidR="00B26FE8" w:rsidRPr="00CB0510" w:rsidRDefault="00B26FE8" w:rsidP="00CB0510">
      <w:pPr>
        <w:spacing w:after="40" w:line="240" w:lineRule="auto"/>
        <w:jc w:val="left"/>
        <w:rPr>
          <w:rFonts w:asciiTheme="majorHAnsi" w:eastAsia="Times New Roman" w:hAnsiTheme="majorHAnsi" w:cs="Times New Roman"/>
          <w:sz w:val="20"/>
          <w:szCs w:val="20"/>
          <w:lang w:eastAsia="en-US"/>
        </w:rPr>
      </w:pPr>
      <w:r w:rsidRPr="00CB0510">
        <w:rPr>
          <w:rStyle w:val="FootnoteReference"/>
          <w:szCs w:val="20"/>
        </w:rPr>
        <w:footnoteRef/>
      </w:r>
      <w:r w:rsidRPr="00CB0510">
        <w:rPr>
          <w:sz w:val="20"/>
          <w:szCs w:val="20"/>
        </w:rPr>
        <w:t xml:space="preserve"> </w:t>
      </w:r>
      <w:r w:rsidRPr="00CB0510">
        <w:rPr>
          <w:rFonts w:asciiTheme="majorHAnsi" w:eastAsia="Times New Roman" w:hAnsiTheme="majorHAnsi" w:cs="Times New Roman"/>
          <w:sz w:val="20"/>
          <w:szCs w:val="20"/>
          <w:lang w:eastAsia="en-US"/>
        </w:rPr>
        <w:t xml:space="preserve">"Risk Impact/Probability Chart: Learning to Prioritize Risks." </w:t>
      </w:r>
      <w:r w:rsidRPr="00CB0510">
        <w:rPr>
          <w:rFonts w:asciiTheme="majorHAnsi" w:eastAsia="Times New Roman" w:hAnsiTheme="majorHAnsi" w:cs="Times New Roman"/>
          <w:i/>
          <w:iCs/>
          <w:sz w:val="20"/>
          <w:szCs w:val="20"/>
          <w:lang w:eastAsia="en-US"/>
        </w:rPr>
        <w:t>Risk Impact/Probability Chart</w:t>
      </w:r>
      <w:r w:rsidRPr="00CB0510">
        <w:rPr>
          <w:rFonts w:asciiTheme="majorHAnsi" w:eastAsia="Times New Roman" w:hAnsiTheme="majorHAnsi" w:cs="Times New Roman"/>
          <w:sz w:val="20"/>
          <w:szCs w:val="20"/>
          <w:lang w:eastAsia="en-US"/>
        </w:rPr>
        <w:t xml:space="preserve">. </w:t>
      </w:r>
      <w:proofErr w:type="gramStart"/>
      <w:r w:rsidRPr="00CB0510">
        <w:rPr>
          <w:rFonts w:asciiTheme="majorHAnsi" w:eastAsia="Times New Roman" w:hAnsiTheme="majorHAnsi" w:cs="Times New Roman"/>
          <w:sz w:val="20"/>
          <w:szCs w:val="20"/>
          <w:lang w:eastAsia="en-US"/>
        </w:rPr>
        <w:t>N.p</w:t>
      </w:r>
      <w:proofErr w:type="gramEnd"/>
      <w:r w:rsidRPr="00CB0510">
        <w:rPr>
          <w:rFonts w:asciiTheme="majorHAnsi" w:eastAsia="Times New Roman" w:hAnsiTheme="majorHAnsi" w:cs="Times New Roman"/>
          <w:sz w:val="20"/>
          <w:szCs w:val="20"/>
          <w:lang w:eastAsia="en-US"/>
        </w:rPr>
        <w:t xml:space="preserve">., n.d. Web. 22 June 2016. </w:t>
      </w:r>
    </w:p>
    <w:p w14:paraId="7641E0B1" w14:textId="41A8915E" w:rsidR="00B26FE8" w:rsidRPr="00CB0510" w:rsidRDefault="00B26FE8" w:rsidP="00CB0510">
      <w:pPr>
        <w:pStyle w:val="FootnoteText"/>
        <w:spacing w:after="40"/>
        <w:rPr>
          <w:sz w:val="20"/>
          <w:szCs w:val="20"/>
        </w:rPr>
      </w:pPr>
    </w:p>
  </w:footnote>
  <w:footnote w:id="33">
    <w:p w14:paraId="21AF63F9" w14:textId="77777777" w:rsidR="00B26FE8" w:rsidRPr="00CB0510" w:rsidRDefault="00B26FE8" w:rsidP="00CB0510">
      <w:pPr>
        <w:pStyle w:val="FootnoteText"/>
        <w:spacing w:after="40"/>
        <w:rPr>
          <w:sz w:val="20"/>
          <w:szCs w:val="20"/>
        </w:rPr>
      </w:pPr>
      <w:r w:rsidRPr="00CB0510">
        <w:rPr>
          <w:rStyle w:val="FootnoteReference"/>
          <w:szCs w:val="20"/>
        </w:rPr>
        <w:footnoteRef/>
      </w:r>
      <w:r w:rsidRPr="00CB0510">
        <w:rPr>
          <w:sz w:val="20"/>
          <w:szCs w:val="20"/>
        </w:rPr>
        <w:t xml:space="preserve"> </w:t>
      </w:r>
      <w:r w:rsidRPr="00CB0510">
        <w:rPr>
          <w:rFonts w:cs="Calibri"/>
          <w:i/>
          <w:color w:val="000000"/>
          <w:sz w:val="20"/>
          <w:szCs w:val="20"/>
        </w:rPr>
        <w:t>NFPA 1710</w:t>
      </w:r>
      <w:r w:rsidRPr="00CB0510">
        <w:rPr>
          <w:rFonts w:cs="Calibri"/>
          <w:color w:val="000000"/>
          <w:sz w:val="20"/>
          <w:szCs w:val="20"/>
        </w:rPr>
        <w:t xml:space="preserve">, </w:t>
      </w:r>
      <w:r w:rsidRPr="00CB0510">
        <w:rPr>
          <w:rFonts w:cs="Calibri"/>
          <w:i/>
          <w:sz w:val="20"/>
          <w:szCs w:val="20"/>
        </w:rPr>
        <w:t>Standard for the Organization and Deployment of Fire Suppression Operations, Emergency Medical Operations, and Special Operations to the Public by Career Fire Departments</w:t>
      </w:r>
      <w:r w:rsidRPr="00CB0510">
        <w:rPr>
          <w:rStyle w:val="italic1"/>
          <w:rFonts w:cs="Calibri"/>
          <w:sz w:val="20"/>
          <w:szCs w:val="20"/>
        </w:rPr>
        <w:t xml:space="preserve"> </w:t>
      </w:r>
      <w:r w:rsidRPr="00CB0510">
        <w:rPr>
          <w:rFonts w:cs="Calibri"/>
          <w:color w:val="000000"/>
          <w:sz w:val="20"/>
          <w:szCs w:val="20"/>
        </w:rPr>
        <w:t>(National Fire Protection Association 2010).</w:t>
      </w:r>
    </w:p>
  </w:footnote>
  <w:footnote w:id="34">
    <w:p w14:paraId="5D6D619A" w14:textId="494C6FDC" w:rsidR="00B26FE8" w:rsidRPr="00CB0510" w:rsidRDefault="00B26FE8" w:rsidP="00CB0510">
      <w:pPr>
        <w:pStyle w:val="FootnoteText"/>
        <w:spacing w:after="40"/>
        <w:rPr>
          <w:sz w:val="20"/>
          <w:szCs w:val="20"/>
        </w:rPr>
      </w:pPr>
      <w:r w:rsidRPr="00CB0510">
        <w:rPr>
          <w:rStyle w:val="FootnoteReference"/>
          <w:szCs w:val="20"/>
        </w:rPr>
        <w:footnoteRef/>
      </w:r>
      <w:r w:rsidRPr="00CB0510">
        <w:rPr>
          <w:sz w:val="20"/>
          <w:szCs w:val="20"/>
        </w:rPr>
        <w:t xml:space="preserve">   </w:t>
      </w:r>
      <w:proofErr w:type="gramStart"/>
      <w:r w:rsidRPr="00CB0510">
        <w:rPr>
          <w:sz w:val="20"/>
          <w:szCs w:val="20"/>
        </w:rPr>
        <w:t>Center for Public Safety Excellence/Commission on Fire Accreditation (CPSE/CFAI) Standards of Cover, 5th Edition.</w:t>
      </w:r>
      <w:proofErr w:type="gramEnd"/>
    </w:p>
  </w:footnote>
  <w:footnote w:id="35">
    <w:p w14:paraId="130E9223" w14:textId="77777777" w:rsidR="00B26FE8" w:rsidRPr="00CB0510" w:rsidRDefault="00B26FE8" w:rsidP="00CB0510">
      <w:pPr>
        <w:pStyle w:val="FootnoteText"/>
        <w:spacing w:after="40"/>
        <w:rPr>
          <w:sz w:val="20"/>
          <w:szCs w:val="20"/>
        </w:rPr>
      </w:pPr>
      <w:r w:rsidRPr="00CB0510">
        <w:rPr>
          <w:rStyle w:val="FootnoteReference"/>
          <w:szCs w:val="20"/>
        </w:rPr>
        <w:footnoteRef/>
      </w:r>
      <w:r w:rsidRPr="00CB0510">
        <w:rPr>
          <w:sz w:val="20"/>
          <w:szCs w:val="20"/>
        </w:rPr>
        <w:t xml:space="preserve"> </w:t>
      </w:r>
      <w:proofErr w:type="gramStart"/>
      <w:r w:rsidRPr="00CB0510">
        <w:rPr>
          <w:sz w:val="20"/>
          <w:szCs w:val="20"/>
        </w:rPr>
        <w:t xml:space="preserve">Center for Public Safety Excellence/Commission on Fire Accreditation (CPSE/CFAI) </w:t>
      </w:r>
      <w:r w:rsidRPr="00CB0510">
        <w:rPr>
          <w:i/>
          <w:sz w:val="20"/>
          <w:szCs w:val="20"/>
        </w:rPr>
        <w:t>Standards of Cover, 5</w:t>
      </w:r>
      <w:r w:rsidRPr="00CB0510">
        <w:rPr>
          <w:i/>
          <w:sz w:val="20"/>
          <w:szCs w:val="20"/>
          <w:vertAlign w:val="superscript"/>
        </w:rPr>
        <w:t>th</w:t>
      </w:r>
      <w:r w:rsidRPr="00CB0510">
        <w:rPr>
          <w:i/>
          <w:sz w:val="20"/>
          <w:szCs w:val="20"/>
        </w:rPr>
        <w:t xml:space="preserve"> Edition</w:t>
      </w:r>
      <w:r w:rsidRPr="00CB0510">
        <w:rPr>
          <w:sz w:val="20"/>
          <w:szCs w:val="20"/>
        </w:rPr>
        <w:t>.</w:t>
      </w:r>
      <w:proofErr w:type="gramEnd"/>
    </w:p>
  </w:footnote>
  <w:footnote w:id="36">
    <w:p w14:paraId="3108FFCA" w14:textId="40BAB21A" w:rsidR="00B26FE8" w:rsidRPr="00CB0510" w:rsidRDefault="00B26FE8" w:rsidP="00CB0510">
      <w:pPr>
        <w:pStyle w:val="FootnoteText1"/>
        <w:spacing w:after="40"/>
      </w:pPr>
      <w:r w:rsidRPr="00CB0510">
        <w:rPr>
          <w:rStyle w:val="FootnoteReference"/>
        </w:rPr>
        <w:footnoteRef/>
      </w:r>
      <w:r w:rsidRPr="00CB0510">
        <w:t xml:space="preserve"> RCW 35.103 and 35A.92:  Fire Departments-Performance Measures</w:t>
      </w:r>
    </w:p>
  </w:footnote>
  <w:footnote w:id="37">
    <w:p w14:paraId="4149AF44" w14:textId="77777777" w:rsidR="00B26FE8" w:rsidRPr="00CB0510" w:rsidRDefault="00B26FE8" w:rsidP="00CB0510">
      <w:pPr>
        <w:pStyle w:val="FootnoteText"/>
        <w:spacing w:after="40"/>
        <w:rPr>
          <w:sz w:val="20"/>
          <w:szCs w:val="20"/>
        </w:rPr>
      </w:pPr>
      <w:r w:rsidRPr="00CB0510">
        <w:rPr>
          <w:rStyle w:val="FootnoteReference"/>
          <w:szCs w:val="20"/>
        </w:rPr>
        <w:footnoteRef/>
      </w:r>
      <w:r w:rsidRPr="00CB0510">
        <w:rPr>
          <w:sz w:val="20"/>
          <w:szCs w:val="20"/>
        </w:rPr>
        <w:t xml:space="preserve"> Center for Public Safety Excellence/Commission on Fire Accreditation (CPSE/CFAI) </w:t>
      </w:r>
      <w:r w:rsidRPr="00CB0510">
        <w:rPr>
          <w:i/>
          <w:sz w:val="20"/>
          <w:szCs w:val="20"/>
        </w:rPr>
        <w:t>Standards of Cover, 5</w:t>
      </w:r>
      <w:r w:rsidRPr="00CB0510">
        <w:rPr>
          <w:i/>
          <w:sz w:val="20"/>
          <w:szCs w:val="20"/>
          <w:vertAlign w:val="superscript"/>
        </w:rPr>
        <w:t>th</w:t>
      </w:r>
      <w:r w:rsidRPr="00CB0510">
        <w:rPr>
          <w:i/>
          <w:sz w:val="20"/>
          <w:szCs w:val="20"/>
        </w:rPr>
        <w:t xml:space="preserve"> Edition</w:t>
      </w:r>
      <w:r w:rsidRPr="00CB0510">
        <w:rPr>
          <w:sz w:val="20"/>
          <w:szCs w:val="20"/>
        </w:rPr>
        <w:t>.,</w:t>
      </w:r>
      <w:r w:rsidRPr="00CB0510">
        <w:rPr>
          <w:rFonts w:cs="Calibri"/>
          <w:i/>
          <w:color w:val="000000"/>
          <w:sz w:val="20"/>
          <w:szCs w:val="20"/>
        </w:rPr>
        <w:t xml:space="preserve"> NFPA 1710</w:t>
      </w:r>
      <w:r w:rsidRPr="00CB0510">
        <w:rPr>
          <w:rFonts w:cs="Calibri"/>
          <w:color w:val="000000"/>
          <w:sz w:val="20"/>
          <w:szCs w:val="20"/>
        </w:rPr>
        <w:t xml:space="preserve">, </w:t>
      </w:r>
      <w:r w:rsidRPr="00CB0510">
        <w:rPr>
          <w:rFonts w:cs="Calibri"/>
          <w:i/>
          <w:sz w:val="20"/>
          <w:szCs w:val="20"/>
        </w:rPr>
        <w:t>Standard for the Organization and Deployment of Fire Suppression Operations, Emergency Medical Operations, and Special Operations to the Public by Career Fire Departments</w:t>
      </w:r>
      <w:r w:rsidRPr="00CB0510">
        <w:rPr>
          <w:rStyle w:val="italic1"/>
          <w:rFonts w:cs="Calibri"/>
          <w:sz w:val="20"/>
          <w:szCs w:val="20"/>
        </w:rPr>
        <w:t xml:space="preserve"> </w:t>
      </w:r>
      <w:r w:rsidRPr="00CB0510">
        <w:rPr>
          <w:rFonts w:cs="Calibri"/>
          <w:color w:val="000000"/>
          <w:sz w:val="20"/>
          <w:szCs w:val="20"/>
        </w:rPr>
        <w:t>(National Fire Protection Association 2010).</w:t>
      </w:r>
    </w:p>
  </w:footnote>
  <w:footnote w:id="38">
    <w:p w14:paraId="11C17907" w14:textId="77777777" w:rsidR="00B26FE8" w:rsidRPr="00CB0510" w:rsidRDefault="00B26FE8" w:rsidP="00CB0510">
      <w:pPr>
        <w:pStyle w:val="FootnoteText"/>
        <w:spacing w:after="40"/>
        <w:rPr>
          <w:sz w:val="20"/>
          <w:szCs w:val="20"/>
        </w:rPr>
      </w:pPr>
      <w:r w:rsidRPr="00CB0510">
        <w:rPr>
          <w:rStyle w:val="FootnoteReference"/>
          <w:szCs w:val="20"/>
        </w:rPr>
        <w:footnoteRef/>
      </w:r>
      <w:r w:rsidRPr="00CB0510">
        <w:rPr>
          <w:sz w:val="20"/>
          <w:szCs w:val="20"/>
        </w:rPr>
        <w:t xml:space="preserve"> </w:t>
      </w:r>
      <w:r w:rsidRPr="00CB0510">
        <w:rPr>
          <w:iCs/>
          <w:sz w:val="20"/>
          <w:szCs w:val="20"/>
        </w:rPr>
        <w:t xml:space="preserve">Note: Based on examples provided in the publication Commission on Fire Accreditation International/Center for Public Safety Excellence (CFAI/CPSE), </w:t>
      </w:r>
      <w:r w:rsidRPr="00CB0510">
        <w:rPr>
          <w:i/>
          <w:iCs/>
          <w:sz w:val="20"/>
          <w:szCs w:val="20"/>
        </w:rPr>
        <w:t xml:space="preserve">Standards of Cover, </w:t>
      </w:r>
      <w:proofErr w:type="gramStart"/>
      <w:r w:rsidRPr="00CB0510">
        <w:rPr>
          <w:i/>
          <w:iCs/>
          <w:sz w:val="20"/>
          <w:szCs w:val="20"/>
        </w:rPr>
        <w:t>5</w:t>
      </w:r>
      <w:r w:rsidRPr="00CB0510">
        <w:rPr>
          <w:i/>
          <w:iCs/>
          <w:sz w:val="20"/>
          <w:szCs w:val="20"/>
          <w:vertAlign w:val="superscript"/>
        </w:rPr>
        <w:t>th</w:t>
      </w:r>
      <w:proofErr w:type="gramEnd"/>
      <w:r w:rsidRPr="00CB0510">
        <w:rPr>
          <w:i/>
          <w:iCs/>
          <w:sz w:val="20"/>
          <w:szCs w:val="20"/>
        </w:rPr>
        <w:t xml:space="preserve"> Edition.</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10CF74" w14:textId="77777777" w:rsidR="00B26FE8" w:rsidRPr="006206F4" w:rsidRDefault="00B26FE8" w:rsidP="006206F4">
    <w:pPr>
      <w:pStyle w:val="Header"/>
      <w:divId w:val="1116413606"/>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2A7258B" w14:textId="77777777" w:rsidR="00B26FE8" w:rsidRDefault="00B26FE8">
    <w:pPr>
      <w:pStyle w:val="Header"/>
    </w:pPr>
    <w:r>
      <w:rPr>
        <w:noProof/>
        <w:lang w:eastAsia="en-US"/>
      </w:rPr>
      <mc:AlternateContent>
        <mc:Choice Requires="wps">
          <w:drawing>
            <wp:anchor distT="0" distB="0" distL="114300" distR="114300" simplePos="0" relativeHeight="251664384" behindDoc="1" locked="0" layoutInCell="0" allowOverlap="1" wp14:anchorId="7F3FAA20" wp14:editId="486E94A5">
              <wp:simplePos x="0" y="0"/>
              <wp:positionH relativeFrom="margin">
                <wp:align>center</wp:align>
              </wp:positionH>
              <wp:positionV relativeFrom="margin">
                <wp:align>center</wp:align>
              </wp:positionV>
              <wp:extent cx="5985510" cy="2393950"/>
              <wp:effectExtent l="0" t="1619250" r="0" b="1311275"/>
              <wp:wrapNone/>
              <wp:docPr id="4" name="WordAr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985510" cy="239395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F934971" w14:textId="77777777" w:rsidR="00B26FE8" w:rsidRDefault="00B26FE8" w:rsidP="00FC6AF6">
                          <w:pPr>
                            <w:pStyle w:val="NormalWeb"/>
                            <w:spacing w:before="0" w:beforeAutospacing="0" w:after="0" w:afterAutospacing="0"/>
                            <w:jc w:val="center"/>
                          </w:pPr>
                          <w:r>
                            <w:rPr>
                              <w:rFonts w:ascii="Arial" w:hAnsi="Arial" w:cs="Arial"/>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shapetype w14:anchorId="7F3FAA20" id="_x0000_t202" coordsize="21600,21600" o:spt="202" path="m,l,21600r21600,l21600,xe">
              <v:stroke joinstyle="miter"/>
              <v:path gradientshapeok="t" o:connecttype="rect"/>
            </v:shapetype>
            <v:shape id="WordArt 4" o:spid="_x0000_s1026" type="#_x0000_t202" style="position:absolute;left:0;text-align:left;margin-left:0;margin-top:0;width:471.3pt;height:188.5pt;rotation:-45;z-index:-25165209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" o:allowincell="f" filled="f" stroked="f">
              <v:stroke joinstyle="round"/>
              <o:lock v:ext="edit" shapetype="t"/>
              <v:textbox style="mso-fit-shape-to-text:t">
                <w:txbxContent>
                  <w:p w14:paraId="1F934971" w14:textId="77777777" w:rsidR="00B26FE8" w:rsidRDefault="00B26FE8" w:rsidP="00FC6AF6">
                    <w:pPr>
                      <w:pStyle w:val="NormalWeb"/>
                      <w:spacing w:before="0" w:beforeAutospacing="0" w:after="0" w:afterAutospacing="0"/>
                      <w:jc w:val="center"/>
                    </w:pPr>
                    <w:r>
                      <w:rPr>
                        <w:rFonts w:ascii="Arial" w:hAnsi="Arial" w:cs="Arial"/>
                        <w:color w:val="C0C0C0"/>
                        <w:sz w:val="2"/>
                        <w:szCs w:val="2"/>
                      </w:rPr>
                      <w:t>DRAFT</w:t>
                    </w:r>
                  </w:p>
                </w:txbxContent>
              </v:textbox>
              <w10:wrap anchorx="margin" anchory="margin"/>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16D8B6" w14:textId="77777777" w:rsidR="00B26FE8" w:rsidRDefault="00B26FE8" w:rsidP="003A1B0E">
    <w:pPr>
      <w:pStyle w:val="Header"/>
      <w:spacing w:after="0" w:line="240" w:lineRule="auto"/>
      <w:jc w:val="right"/>
    </w:pPr>
    <w:r w:rsidRPr="001F54ED">
      <w:t>Pasco Fire Department (WA)</w:t>
    </w:r>
  </w:p>
  <w:p w14:paraId="62846A2C" w14:textId="77777777" w:rsidR="00B26FE8" w:rsidRPr="00113E8B" w:rsidRDefault="00B26FE8" w:rsidP="00A33BD1">
    <w:pPr>
      <w:pStyle w:val="Header"/>
      <w:pBdr>
        <w:bottom w:val="single" w:sz="4" w:space="1" w:color="auto"/>
      </w:pBdr>
      <w:spacing w:after="0" w:line="240" w:lineRule="auto"/>
      <w:jc w:val="right"/>
    </w:pPr>
    <w:r w:rsidRPr="00FC6AF6">
      <w:t>Emergency Services Master Plan 201</w:t>
    </w:r>
    <w:r>
      <w:t xml:space="preserve">6 </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DC020C" w14:textId="77777777" w:rsidR="00B26FE8" w:rsidRPr="00FC6AF6" w:rsidRDefault="00B26FE8" w:rsidP="006206F4">
    <w:pPr>
      <w:pStyle w:val="Header"/>
      <w:spacing w:after="0" w:line="240" w:lineRule="auto"/>
      <w:jc w:val="right"/>
      <w:divId w:val="1245453384"/>
    </w:pPr>
    <w:r>
      <w:t>Pasco Fire Department (WA)</w:t>
    </w:r>
  </w:p>
  <w:p w14:paraId="35472F7F" w14:textId="77777777" w:rsidR="00B26FE8" w:rsidRPr="00113E8B" w:rsidRDefault="00B26FE8" w:rsidP="006206F4">
    <w:pPr>
      <w:pStyle w:val="Header"/>
      <w:spacing w:after="0" w:line="240" w:lineRule="auto"/>
      <w:jc w:val="right"/>
      <w:divId w:val="1245453384"/>
    </w:pPr>
    <w:r w:rsidRPr="00FC6AF6">
      <w:t>Emergency Services Master Plan 201</w:t>
    </w:r>
    <w:r>
      <w:t xml:space="preserve">6 </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770855" w14:textId="77777777" w:rsidR="00B26FE8" w:rsidRDefault="00B26FE8" w:rsidP="003A1B0E">
    <w:pPr>
      <w:pStyle w:val="Header"/>
      <w:spacing w:after="0" w:line="240" w:lineRule="auto"/>
      <w:jc w:val="right"/>
    </w:pPr>
    <w:r w:rsidRPr="001F54ED">
      <w:t>Pasco Fire Department (WA)</w:t>
    </w:r>
  </w:p>
  <w:p w14:paraId="5D878E00" w14:textId="5E69306B" w:rsidR="00B26FE8" w:rsidRPr="001524D7" w:rsidRDefault="00B26FE8" w:rsidP="00A33BD1">
    <w:pPr>
      <w:pStyle w:val="Header"/>
      <w:pBdr>
        <w:bottom w:val="single" w:sz="4" w:space="1" w:color="auto"/>
      </w:pBdr>
      <w:spacing w:after="0" w:line="240" w:lineRule="auto"/>
      <w:jc w:val="right"/>
    </w:pPr>
    <w:r w:rsidRPr="00FC6AF6">
      <w:t>Emergency Services Master Plan 201</w:t>
    </w:r>
    <w:r>
      <w:t>6</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E"/>
    <w:multiLevelType w:val="singleLevel"/>
    <w:tmpl w:val="9CFCE0CA"/>
    <w:lvl w:ilvl="0">
      <w:start w:val="1"/>
      <w:numFmt w:val="decimal"/>
      <w:pStyle w:val="ListNumber3"/>
      <w:lvlText w:val="%1."/>
      <w:lvlJc w:val="left"/>
      <w:pPr>
        <w:tabs>
          <w:tab w:val="num" w:pos="1080"/>
        </w:tabs>
        <w:ind w:left="1080" w:hanging="360"/>
      </w:pPr>
    </w:lvl>
  </w:abstractNum>
  <w:abstractNum w:abstractNumId="1">
    <w:nsid w:val="00000003"/>
    <w:multiLevelType w:val="multilevel"/>
    <w:tmpl w:val="6CF09610"/>
    <w:lvl w:ilvl="0">
      <w:start w:val="1"/>
      <w:numFmt w:val="bullet"/>
      <w:lvlText w:val="•"/>
      <w:lvlJc w:val="left"/>
      <w:rPr>
        <w:rFonts w:asciiTheme="minorHAnsi" w:hAnsiTheme="minorHAnsi"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nsid w:val="020116E1"/>
    <w:multiLevelType w:val="hybridMultilevel"/>
    <w:tmpl w:val="E6D07C3A"/>
    <w:lvl w:ilvl="0" w:tplc="A790F0AC">
      <w:start w:val="1"/>
      <w:numFmt w:val="bullet"/>
      <w:pStyle w:val="Style4"/>
      <w:lvlText w:val=""/>
      <w:lvlJc w:val="left"/>
      <w:pPr>
        <w:tabs>
          <w:tab w:val="num" w:pos="288"/>
        </w:tabs>
        <w:ind w:left="504" w:hanging="288"/>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Times New Roman"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Times New Roman"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Times New Roman"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3">
    <w:nsid w:val="06727572"/>
    <w:multiLevelType w:val="hybridMultilevel"/>
    <w:tmpl w:val="2F3A2A10"/>
    <w:lvl w:ilvl="0" w:tplc="1012CC72">
      <w:start w:val="1"/>
      <w:numFmt w:val="bullet"/>
      <w:pStyle w:val="Text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6C42F26"/>
    <w:multiLevelType w:val="multilevel"/>
    <w:tmpl w:val="02BA0CAA"/>
    <w:styleLink w:val="StyleBulleted16ptBoldBlue"/>
    <w:lvl w:ilvl="0">
      <w:start w:val="1"/>
      <w:numFmt w:val="decimal"/>
      <w:lvlText w:val="Survey Area %1:"/>
      <w:lvlJc w:val="left"/>
      <w:pPr>
        <w:tabs>
          <w:tab w:val="num" w:pos="1944"/>
        </w:tabs>
        <w:ind w:left="1944" w:hanging="1944"/>
      </w:pPr>
      <w:rPr>
        <w:rFonts w:ascii="Arial" w:hAnsi="Arial" w:cs="Times New Roman" w:hint="default"/>
        <w:b/>
        <w:i w:val="0"/>
        <w:color w:val="auto"/>
        <w:sz w:val="24"/>
      </w:rPr>
    </w:lvl>
    <w:lvl w:ilvl="1">
      <w:start w:val="1"/>
      <w:numFmt w:val="bullet"/>
      <w:lvlText w:val=""/>
      <w:lvlJc w:val="left"/>
      <w:pPr>
        <w:tabs>
          <w:tab w:val="num" w:pos="432"/>
        </w:tabs>
        <w:ind w:left="432" w:hanging="432"/>
      </w:pPr>
      <w:rPr>
        <w:rFonts w:ascii="Wingdings" w:hAnsi="Wingdings" w:hint="default"/>
        <w:b/>
        <w:color w:val="auto"/>
        <w:sz w:val="32"/>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5">
    <w:nsid w:val="08473FD2"/>
    <w:multiLevelType w:val="hybridMultilevel"/>
    <w:tmpl w:val="9544F404"/>
    <w:lvl w:ilvl="0" w:tplc="DA1C10C6">
      <w:start w:val="1"/>
      <w:numFmt w:val="bullet"/>
      <w:pStyle w:val="RecomPriority2"/>
      <w:lvlText w:val=""/>
      <w:lvlJc w:val="left"/>
      <w:pPr>
        <w:tabs>
          <w:tab w:val="num" w:pos="360"/>
        </w:tabs>
        <w:ind w:left="720" w:hanging="360"/>
      </w:pPr>
      <w:rPr>
        <w:rFonts w:ascii="Symbol" w:hAnsi="Symbol" w:hint="default"/>
      </w:rPr>
    </w:lvl>
    <w:lvl w:ilvl="1" w:tplc="E02EF65A">
      <w:start w:val="1"/>
      <w:numFmt w:val="bullet"/>
      <w:lvlText w:val="o"/>
      <w:lvlJc w:val="left"/>
      <w:pPr>
        <w:tabs>
          <w:tab w:val="num" w:pos="1440"/>
        </w:tabs>
        <w:ind w:left="1440" w:hanging="360"/>
      </w:pPr>
      <w:rPr>
        <w:rFonts w:ascii="Courier New" w:hAnsi="Courier New" w:cs="Courier New" w:hint="default"/>
      </w:rPr>
    </w:lvl>
    <w:lvl w:ilvl="2" w:tplc="AD2E62D2">
      <w:start w:val="1"/>
      <w:numFmt w:val="bullet"/>
      <w:lvlText w:val=""/>
      <w:lvlJc w:val="left"/>
      <w:pPr>
        <w:tabs>
          <w:tab w:val="num" w:pos="2160"/>
        </w:tabs>
        <w:ind w:left="2160" w:hanging="360"/>
      </w:pPr>
      <w:rPr>
        <w:rFonts w:ascii="Wingdings" w:hAnsi="Wingdings" w:hint="default"/>
      </w:rPr>
    </w:lvl>
    <w:lvl w:ilvl="3" w:tplc="3738E7A6">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nsid w:val="08804A5E"/>
    <w:multiLevelType w:val="multilevel"/>
    <w:tmpl w:val="9F1C8FA6"/>
    <w:styleLink w:val="StyleBulleted12pt"/>
    <w:lvl w:ilvl="0">
      <w:start w:val="1"/>
      <w:numFmt w:val="bullet"/>
      <w:lvlText w:val=""/>
      <w:lvlJc w:val="left"/>
      <w:pPr>
        <w:tabs>
          <w:tab w:val="num" w:pos="360"/>
        </w:tabs>
        <w:ind w:left="360" w:hanging="360"/>
      </w:pPr>
      <w:rPr>
        <w:rFonts w:ascii="Symbol" w:hAnsi="Symbol"/>
        <w:sz w:val="22"/>
      </w:rPr>
    </w:lvl>
    <w:lvl w:ilvl="1">
      <w:start w:val="1"/>
      <w:numFmt w:val="bullet"/>
      <w:lvlText w:val="o"/>
      <w:lvlJc w:val="left"/>
      <w:pPr>
        <w:tabs>
          <w:tab w:val="num" w:pos="1440"/>
        </w:tabs>
        <w:ind w:left="1440" w:hanging="360"/>
      </w:pPr>
      <w:rPr>
        <w:rFonts w:ascii="Courier New" w:hAnsi="Courier New"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Times New Roman"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Times New Roman" w:hint="default"/>
      </w:rPr>
    </w:lvl>
    <w:lvl w:ilvl="8">
      <w:start w:val="1"/>
      <w:numFmt w:val="bullet"/>
      <w:lvlText w:val=""/>
      <w:lvlJc w:val="left"/>
      <w:pPr>
        <w:tabs>
          <w:tab w:val="num" w:pos="6480"/>
        </w:tabs>
        <w:ind w:left="6480" w:hanging="360"/>
      </w:pPr>
      <w:rPr>
        <w:rFonts w:ascii="Wingdings" w:hAnsi="Wingdings" w:hint="default"/>
      </w:rPr>
    </w:lvl>
  </w:abstractNum>
  <w:abstractNum w:abstractNumId="7">
    <w:nsid w:val="08A300E5"/>
    <w:multiLevelType w:val="multilevel"/>
    <w:tmpl w:val="AEB6289A"/>
    <w:styleLink w:val="StyleBulletedTimes"/>
    <w:lvl w:ilvl="0">
      <w:start w:val="1"/>
      <w:numFmt w:val="bullet"/>
      <w:lvlText w:val=""/>
      <w:lvlJc w:val="left"/>
      <w:pPr>
        <w:tabs>
          <w:tab w:val="num" w:pos="720"/>
        </w:tabs>
        <w:ind w:left="720" w:hanging="360"/>
      </w:pPr>
      <w:rPr>
        <w:rFonts w:ascii="Arial" w:hAnsi="Arial" w:cs="Times New Roman" w:hint="default"/>
        <w:sz w:val="22"/>
      </w:rPr>
    </w:lvl>
    <w:lvl w:ilvl="1">
      <w:start w:val="1"/>
      <w:numFmt w:val="decimal"/>
      <w:lvlText w:val="%2."/>
      <w:lvlJc w:val="left"/>
      <w:pPr>
        <w:tabs>
          <w:tab w:val="num" w:pos="720"/>
        </w:tabs>
        <w:ind w:left="720" w:hanging="360"/>
      </w:pPr>
      <w:rPr>
        <w:rFonts w:ascii="Times" w:hAnsi="Times" w:cs="Times New Roman"/>
        <w:sz w:val="22"/>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8">
    <w:nsid w:val="0B4638B2"/>
    <w:multiLevelType w:val="hybridMultilevel"/>
    <w:tmpl w:val="4E22BF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01C3254"/>
    <w:multiLevelType w:val="hybridMultilevel"/>
    <w:tmpl w:val="FAE0FC24"/>
    <w:lvl w:ilvl="0" w:tplc="FFFFFFFF">
      <w:start w:val="1"/>
      <w:numFmt w:val="bullet"/>
      <w:pStyle w:val="RecomPriority1"/>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0">
    <w:nsid w:val="10B47989"/>
    <w:multiLevelType w:val="multilevel"/>
    <w:tmpl w:val="70E6C52A"/>
    <w:lvl w:ilvl="0">
      <w:start w:val="1"/>
      <w:numFmt w:val="bullet"/>
      <w:lvlText w:val=""/>
      <w:lvlJc w:val="left"/>
      <w:pPr>
        <w:ind w:left="720" w:hanging="360"/>
      </w:pPr>
      <w:rPr>
        <w:rFonts w:ascii="Symbol" w:hAnsi="Symbol" w:hint="default"/>
      </w:rPr>
    </w:lvl>
    <w:lvl w:ilvl="1">
      <w:start w:val="1"/>
      <w:numFmt w:val="bullet"/>
      <w:lvlText w:val="­"/>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
    <w:nsid w:val="11EF3EB1"/>
    <w:multiLevelType w:val="hybridMultilevel"/>
    <w:tmpl w:val="EB9C4F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2C71F6F"/>
    <w:multiLevelType w:val="hybridMultilevel"/>
    <w:tmpl w:val="3DFE9D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3AF5D39"/>
    <w:multiLevelType w:val="hybridMultilevel"/>
    <w:tmpl w:val="27CC42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4A950ED"/>
    <w:multiLevelType w:val="hybridMultilevel"/>
    <w:tmpl w:val="A9801E58"/>
    <w:lvl w:ilvl="0" w:tplc="D5FA7F9C">
      <w:start w:val="1"/>
      <w:numFmt w:val="bullet"/>
      <w:pStyle w:val="Recommendationtex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Times New Roman"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Times New Roman"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Times New Roman"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5">
    <w:nsid w:val="15E05BB7"/>
    <w:multiLevelType w:val="multilevel"/>
    <w:tmpl w:val="4C9418CA"/>
    <w:styleLink w:val="StyleBulletedBold"/>
    <w:lvl w:ilvl="0">
      <w:start w:val="1"/>
      <w:numFmt w:val="bullet"/>
      <w:lvlText w:val=""/>
      <w:lvlJc w:val="left"/>
      <w:pPr>
        <w:tabs>
          <w:tab w:val="num" w:pos="720"/>
        </w:tabs>
        <w:ind w:left="720" w:hanging="360"/>
      </w:pPr>
      <w:rPr>
        <w:rFonts w:ascii="Symbol" w:hAnsi="Symbol"/>
        <w:sz w:val="22"/>
      </w:rPr>
    </w:lvl>
    <w:lvl w:ilvl="1">
      <w:start w:val="1"/>
      <w:numFmt w:val="bullet"/>
      <w:lvlText w:val="o"/>
      <w:lvlJc w:val="left"/>
      <w:pPr>
        <w:tabs>
          <w:tab w:val="num" w:pos="1440"/>
        </w:tabs>
        <w:ind w:left="1440" w:hanging="360"/>
      </w:pPr>
      <w:rPr>
        <w:rFonts w:ascii="Courier New" w:hAnsi="Courier New"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Times New Roman"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Times New Roman" w:hint="default"/>
      </w:rPr>
    </w:lvl>
    <w:lvl w:ilvl="8">
      <w:start w:val="1"/>
      <w:numFmt w:val="bullet"/>
      <w:lvlText w:val=""/>
      <w:lvlJc w:val="left"/>
      <w:pPr>
        <w:tabs>
          <w:tab w:val="num" w:pos="6480"/>
        </w:tabs>
        <w:ind w:left="6480" w:hanging="360"/>
      </w:pPr>
      <w:rPr>
        <w:rFonts w:ascii="Wingdings" w:hAnsi="Wingdings" w:hint="default"/>
      </w:rPr>
    </w:lvl>
  </w:abstractNum>
  <w:abstractNum w:abstractNumId="16">
    <w:nsid w:val="18745EE6"/>
    <w:multiLevelType w:val="hybridMultilevel"/>
    <w:tmpl w:val="D50A79B4"/>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17">
    <w:nsid w:val="19BA2754"/>
    <w:multiLevelType w:val="hybridMultilevel"/>
    <w:tmpl w:val="E3805C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19C130F0"/>
    <w:multiLevelType w:val="hybridMultilevel"/>
    <w:tmpl w:val="54D858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19E408A4"/>
    <w:multiLevelType w:val="hybridMultilevel"/>
    <w:tmpl w:val="20A239BA"/>
    <w:lvl w:ilvl="0" w:tplc="E65C1F38">
      <w:start w:val="1"/>
      <w:numFmt w:val="bullet"/>
      <w:pStyle w:val="StyleHeading411ptNotBoldNotItalicBlackJustifiedAf"/>
      <w:lvlText w:val=""/>
      <w:lvlJc w:val="left"/>
      <w:pPr>
        <w:tabs>
          <w:tab w:val="num" w:pos="720"/>
        </w:tabs>
        <w:ind w:left="720" w:hanging="360"/>
      </w:pPr>
      <w:rPr>
        <w:rFonts w:ascii="Symbol" w:hAnsi="Symbol" w:hint="default"/>
        <w:color w:val="auto"/>
      </w:rPr>
    </w:lvl>
    <w:lvl w:ilvl="1" w:tplc="0409000F">
      <w:start w:val="1"/>
      <w:numFmt w:val="decimal"/>
      <w:lvlText w:val="%2."/>
      <w:lvlJc w:val="left"/>
      <w:pPr>
        <w:tabs>
          <w:tab w:val="num" w:pos="1440"/>
        </w:tabs>
        <w:ind w:left="1440" w:hanging="360"/>
      </w:pPr>
      <w:rPr>
        <w:rFonts w:cs="Times New Roman"/>
        <w:color w:val="auto"/>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Times New Roman"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Times New Roman"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20">
    <w:nsid w:val="1B194D0B"/>
    <w:multiLevelType w:val="singleLevel"/>
    <w:tmpl w:val="6C1CDEC2"/>
    <w:lvl w:ilvl="0">
      <w:start w:val="1"/>
      <w:numFmt w:val="bullet"/>
      <w:pStyle w:val="Bodywithnoindent"/>
      <w:lvlText w:val=""/>
      <w:lvlJc w:val="left"/>
      <w:pPr>
        <w:tabs>
          <w:tab w:val="num" w:pos="1440"/>
        </w:tabs>
        <w:ind w:left="1440" w:hanging="720"/>
      </w:pPr>
      <w:rPr>
        <w:rFonts w:ascii="Wingdings" w:hAnsi="Wingdings" w:hint="default"/>
        <w:color w:val="auto"/>
      </w:rPr>
    </w:lvl>
  </w:abstractNum>
  <w:abstractNum w:abstractNumId="21">
    <w:nsid w:val="1B357668"/>
    <w:multiLevelType w:val="hybridMultilevel"/>
    <w:tmpl w:val="970648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1C0C405E"/>
    <w:multiLevelType w:val="hybridMultilevel"/>
    <w:tmpl w:val="229AEC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2151528E"/>
    <w:multiLevelType w:val="hybridMultilevel"/>
    <w:tmpl w:val="8D2673AE"/>
    <w:lvl w:ilvl="0" w:tplc="4D727E66">
      <w:numFmt w:val="bullet"/>
      <w:lvlText w:val=""/>
      <w:lvlJc w:val="left"/>
      <w:pPr>
        <w:ind w:left="720" w:hanging="360"/>
      </w:pPr>
      <w:rPr>
        <w:rFonts w:ascii="Symbol" w:hAnsi="Symbol" w:cs="Times New Roman" w:hint="default"/>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22F9555A"/>
    <w:multiLevelType w:val="hybridMultilevel"/>
    <w:tmpl w:val="58CA9EE0"/>
    <w:lvl w:ilvl="0" w:tplc="04090001">
      <w:start w:val="1"/>
      <w:numFmt w:val="bullet"/>
      <w:lvlText w:val=""/>
      <w:lvlJc w:val="left"/>
      <w:pPr>
        <w:ind w:left="720" w:hanging="360"/>
      </w:pPr>
      <w:rPr>
        <w:rFonts w:ascii="Symbol" w:hAnsi="Symbol" w:hint="default"/>
      </w:rPr>
    </w:lvl>
    <w:lvl w:ilvl="1" w:tplc="6E08B9D2">
      <w:start w:val="1"/>
      <w:numFmt w:val="bullet"/>
      <w:lvlText w:val="−"/>
      <w:lvlJc w:val="left"/>
      <w:pPr>
        <w:ind w:left="1440" w:hanging="360"/>
      </w:pPr>
      <w:rPr>
        <w:rFonts w:ascii="Arial Unicode MS" w:eastAsia="Arial Unicode MS" w:hAnsi="Arial Unicode MS" w:hint="eastAsia"/>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60B1BD0"/>
    <w:multiLevelType w:val="hybridMultilevel"/>
    <w:tmpl w:val="603679E8"/>
    <w:lvl w:ilvl="0" w:tplc="04090001">
      <w:start w:val="1"/>
      <w:numFmt w:val="bullet"/>
      <w:lvlText w:val=""/>
      <w:lvlJc w:val="left"/>
      <w:pPr>
        <w:ind w:left="1008" w:hanging="360"/>
      </w:pPr>
      <w:rPr>
        <w:rFonts w:ascii="Symbol" w:hAnsi="Symbol"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26">
    <w:nsid w:val="27425312"/>
    <w:multiLevelType w:val="hybridMultilevel"/>
    <w:tmpl w:val="2452D6FC"/>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7">
    <w:nsid w:val="282C5EE1"/>
    <w:multiLevelType w:val="hybridMultilevel"/>
    <w:tmpl w:val="61440CB2"/>
    <w:lvl w:ilvl="0" w:tplc="2826C3AC">
      <w:start w:val="1"/>
      <w:numFmt w:val="bullet"/>
      <w:pStyle w:val="Recommendation1"/>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2C3825FB"/>
    <w:multiLevelType w:val="hybridMultilevel"/>
    <w:tmpl w:val="241EEB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2D4A2994"/>
    <w:multiLevelType w:val="multilevel"/>
    <w:tmpl w:val="664834D0"/>
    <w:styleLink w:val="StyleOutlinenumbered"/>
    <w:lvl w:ilvl="0">
      <w:start w:val="1"/>
      <w:numFmt w:val="bullet"/>
      <w:lvlText w:val=""/>
      <w:lvlJc w:val="left"/>
      <w:pPr>
        <w:tabs>
          <w:tab w:val="num" w:pos="720"/>
        </w:tabs>
        <w:ind w:left="720" w:hanging="360"/>
      </w:pPr>
      <w:rPr>
        <w:rFonts w:ascii="Symbol" w:hAnsi="Symbol"/>
        <w:spacing w:val="0"/>
        <w:sz w:val="24"/>
      </w:rPr>
    </w:lvl>
    <w:lvl w:ilvl="1">
      <w:start w:val="1"/>
      <w:numFmt w:val="lowerLetter"/>
      <w:lvlText w:val="%2."/>
      <w:lvlJc w:val="left"/>
      <w:pPr>
        <w:tabs>
          <w:tab w:val="num" w:pos="1800"/>
        </w:tabs>
        <w:ind w:left="1800" w:hanging="360"/>
      </w:pPr>
      <w:rPr>
        <w:rFonts w:cs="Times New Roman"/>
      </w:rPr>
    </w:lvl>
    <w:lvl w:ilvl="2">
      <w:start w:val="1"/>
      <w:numFmt w:val="lowerRoman"/>
      <w:lvlText w:val="%3."/>
      <w:lvlJc w:val="right"/>
      <w:pPr>
        <w:tabs>
          <w:tab w:val="num" w:pos="2520"/>
        </w:tabs>
        <w:ind w:left="2520" w:hanging="180"/>
      </w:pPr>
      <w:rPr>
        <w:rFonts w:cs="Times New Roman"/>
      </w:rPr>
    </w:lvl>
    <w:lvl w:ilvl="3">
      <w:start w:val="1"/>
      <w:numFmt w:val="decimal"/>
      <w:lvlText w:val="%4."/>
      <w:lvlJc w:val="left"/>
      <w:pPr>
        <w:tabs>
          <w:tab w:val="num" w:pos="3240"/>
        </w:tabs>
        <w:ind w:left="3240" w:hanging="360"/>
      </w:pPr>
      <w:rPr>
        <w:rFonts w:cs="Times New Roman"/>
      </w:rPr>
    </w:lvl>
    <w:lvl w:ilvl="4">
      <w:start w:val="1"/>
      <w:numFmt w:val="lowerLetter"/>
      <w:lvlText w:val="%5."/>
      <w:lvlJc w:val="left"/>
      <w:pPr>
        <w:tabs>
          <w:tab w:val="num" w:pos="3960"/>
        </w:tabs>
        <w:ind w:left="3960" w:hanging="360"/>
      </w:pPr>
      <w:rPr>
        <w:rFonts w:cs="Times New Roman"/>
      </w:rPr>
    </w:lvl>
    <w:lvl w:ilvl="5">
      <w:start w:val="1"/>
      <w:numFmt w:val="lowerRoman"/>
      <w:lvlText w:val="%6."/>
      <w:lvlJc w:val="right"/>
      <w:pPr>
        <w:tabs>
          <w:tab w:val="num" w:pos="4680"/>
        </w:tabs>
        <w:ind w:left="4680" w:hanging="180"/>
      </w:pPr>
      <w:rPr>
        <w:rFonts w:cs="Times New Roman"/>
      </w:rPr>
    </w:lvl>
    <w:lvl w:ilvl="6">
      <w:start w:val="1"/>
      <w:numFmt w:val="decimal"/>
      <w:lvlText w:val="%7."/>
      <w:lvlJc w:val="left"/>
      <w:pPr>
        <w:tabs>
          <w:tab w:val="num" w:pos="5400"/>
        </w:tabs>
        <w:ind w:left="5400" w:hanging="360"/>
      </w:pPr>
      <w:rPr>
        <w:rFonts w:cs="Times New Roman"/>
      </w:rPr>
    </w:lvl>
    <w:lvl w:ilvl="7">
      <w:start w:val="1"/>
      <w:numFmt w:val="lowerLetter"/>
      <w:lvlText w:val="%8."/>
      <w:lvlJc w:val="left"/>
      <w:pPr>
        <w:tabs>
          <w:tab w:val="num" w:pos="6120"/>
        </w:tabs>
        <w:ind w:left="6120" w:hanging="360"/>
      </w:pPr>
      <w:rPr>
        <w:rFonts w:cs="Times New Roman"/>
      </w:rPr>
    </w:lvl>
    <w:lvl w:ilvl="8">
      <w:start w:val="1"/>
      <w:numFmt w:val="lowerRoman"/>
      <w:lvlText w:val="%9."/>
      <w:lvlJc w:val="right"/>
      <w:pPr>
        <w:tabs>
          <w:tab w:val="num" w:pos="6840"/>
        </w:tabs>
        <w:ind w:left="6840" w:hanging="180"/>
      </w:pPr>
      <w:rPr>
        <w:rFonts w:cs="Times New Roman"/>
      </w:rPr>
    </w:lvl>
  </w:abstractNum>
  <w:abstractNum w:abstractNumId="30">
    <w:nsid w:val="2DBF22B9"/>
    <w:multiLevelType w:val="hybridMultilevel"/>
    <w:tmpl w:val="ACA0E5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38177E26"/>
    <w:multiLevelType w:val="hybridMultilevel"/>
    <w:tmpl w:val="7FB6F6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38775A07"/>
    <w:multiLevelType w:val="hybridMultilevel"/>
    <w:tmpl w:val="2C4CDDF2"/>
    <w:lvl w:ilvl="0" w:tplc="04090001">
      <w:start w:val="1"/>
      <w:numFmt w:val="bullet"/>
      <w:pStyle w:val="RecomPriority3"/>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3">
    <w:nsid w:val="3D3C5E15"/>
    <w:multiLevelType w:val="multilevel"/>
    <w:tmpl w:val="432C3C50"/>
    <w:lvl w:ilvl="0">
      <w:start w:val="1"/>
      <w:numFmt w:val="bullet"/>
      <w:lvlText w:val="•"/>
      <w:lvlJc w:val="left"/>
      <w:rPr>
        <w:rFonts w:asciiTheme="minorHAnsi" w:hAnsiTheme="minorHAnsi"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nsid w:val="3DA76F37"/>
    <w:multiLevelType w:val="hybridMultilevel"/>
    <w:tmpl w:val="B3EABD22"/>
    <w:lvl w:ilvl="0" w:tplc="D1FE84CA">
      <w:start w:val="1"/>
      <w:numFmt w:val="bullet"/>
      <w:lvlText w:val="•"/>
      <w:lvlJc w:val="left"/>
      <w:pPr>
        <w:ind w:left="360" w:hanging="360"/>
      </w:pPr>
      <w:rPr>
        <w:rFonts w:ascii="Arial" w:hAnsi="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nsid w:val="434D199B"/>
    <w:multiLevelType w:val="hybridMultilevel"/>
    <w:tmpl w:val="2056F5DA"/>
    <w:lvl w:ilvl="0" w:tplc="ECE6B24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43DF1337"/>
    <w:multiLevelType w:val="hybridMultilevel"/>
    <w:tmpl w:val="A29E0940"/>
    <w:lvl w:ilvl="0" w:tplc="ECE6B244">
      <w:start w:val="1"/>
      <w:numFmt w:val="bullet"/>
      <w:lvlText w:val=""/>
      <w:lvlJc w:val="left"/>
      <w:pPr>
        <w:ind w:left="920" w:hanging="360"/>
      </w:pPr>
      <w:rPr>
        <w:rFonts w:ascii="Symbol" w:hAnsi="Symbol" w:hint="default"/>
      </w:rPr>
    </w:lvl>
    <w:lvl w:ilvl="1" w:tplc="04090003" w:tentative="1">
      <w:start w:val="1"/>
      <w:numFmt w:val="bullet"/>
      <w:lvlText w:val="o"/>
      <w:lvlJc w:val="left"/>
      <w:pPr>
        <w:ind w:left="1640" w:hanging="360"/>
      </w:pPr>
      <w:rPr>
        <w:rFonts w:ascii="Courier New" w:hAnsi="Courier New" w:cs="Courier New" w:hint="default"/>
      </w:rPr>
    </w:lvl>
    <w:lvl w:ilvl="2" w:tplc="04090005" w:tentative="1">
      <w:start w:val="1"/>
      <w:numFmt w:val="bullet"/>
      <w:lvlText w:val=""/>
      <w:lvlJc w:val="left"/>
      <w:pPr>
        <w:ind w:left="2360" w:hanging="360"/>
      </w:pPr>
      <w:rPr>
        <w:rFonts w:ascii="Wingdings" w:hAnsi="Wingdings" w:hint="default"/>
      </w:rPr>
    </w:lvl>
    <w:lvl w:ilvl="3" w:tplc="04090001" w:tentative="1">
      <w:start w:val="1"/>
      <w:numFmt w:val="bullet"/>
      <w:lvlText w:val=""/>
      <w:lvlJc w:val="left"/>
      <w:pPr>
        <w:ind w:left="3080" w:hanging="360"/>
      </w:pPr>
      <w:rPr>
        <w:rFonts w:ascii="Symbol" w:hAnsi="Symbol" w:hint="default"/>
      </w:rPr>
    </w:lvl>
    <w:lvl w:ilvl="4" w:tplc="04090003" w:tentative="1">
      <w:start w:val="1"/>
      <w:numFmt w:val="bullet"/>
      <w:lvlText w:val="o"/>
      <w:lvlJc w:val="left"/>
      <w:pPr>
        <w:ind w:left="3800" w:hanging="360"/>
      </w:pPr>
      <w:rPr>
        <w:rFonts w:ascii="Courier New" w:hAnsi="Courier New" w:cs="Courier New" w:hint="default"/>
      </w:rPr>
    </w:lvl>
    <w:lvl w:ilvl="5" w:tplc="04090005" w:tentative="1">
      <w:start w:val="1"/>
      <w:numFmt w:val="bullet"/>
      <w:lvlText w:val=""/>
      <w:lvlJc w:val="left"/>
      <w:pPr>
        <w:ind w:left="4520" w:hanging="360"/>
      </w:pPr>
      <w:rPr>
        <w:rFonts w:ascii="Wingdings" w:hAnsi="Wingdings" w:hint="default"/>
      </w:rPr>
    </w:lvl>
    <w:lvl w:ilvl="6" w:tplc="04090001" w:tentative="1">
      <w:start w:val="1"/>
      <w:numFmt w:val="bullet"/>
      <w:lvlText w:val=""/>
      <w:lvlJc w:val="left"/>
      <w:pPr>
        <w:ind w:left="5240" w:hanging="360"/>
      </w:pPr>
      <w:rPr>
        <w:rFonts w:ascii="Symbol" w:hAnsi="Symbol" w:hint="default"/>
      </w:rPr>
    </w:lvl>
    <w:lvl w:ilvl="7" w:tplc="04090003" w:tentative="1">
      <w:start w:val="1"/>
      <w:numFmt w:val="bullet"/>
      <w:lvlText w:val="o"/>
      <w:lvlJc w:val="left"/>
      <w:pPr>
        <w:ind w:left="5960" w:hanging="360"/>
      </w:pPr>
      <w:rPr>
        <w:rFonts w:ascii="Courier New" w:hAnsi="Courier New" w:cs="Courier New" w:hint="default"/>
      </w:rPr>
    </w:lvl>
    <w:lvl w:ilvl="8" w:tplc="04090005" w:tentative="1">
      <w:start w:val="1"/>
      <w:numFmt w:val="bullet"/>
      <w:lvlText w:val=""/>
      <w:lvlJc w:val="left"/>
      <w:pPr>
        <w:ind w:left="6680" w:hanging="360"/>
      </w:pPr>
      <w:rPr>
        <w:rFonts w:ascii="Wingdings" w:hAnsi="Wingdings" w:hint="default"/>
      </w:rPr>
    </w:lvl>
  </w:abstractNum>
  <w:abstractNum w:abstractNumId="37">
    <w:nsid w:val="461264B7"/>
    <w:multiLevelType w:val="hybridMultilevel"/>
    <w:tmpl w:val="0E5A01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482C1466"/>
    <w:multiLevelType w:val="hybridMultilevel"/>
    <w:tmpl w:val="8A008D8A"/>
    <w:lvl w:ilvl="0" w:tplc="04090001">
      <w:start w:val="1"/>
      <w:numFmt w:val="bullet"/>
      <w:lvlText w:val=""/>
      <w:lvlJc w:val="left"/>
      <w:pPr>
        <w:ind w:left="768" w:hanging="360"/>
      </w:pPr>
      <w:rPr>
        <w:rFonts w:ascii="Symbol" w:hAnsi="Symbol" w:hint="default"/>
      </w:rPr>
    </w:lvl>
    <w:lvl w:ilvl="1" w:tplc="04090003" w:tentative="1">
      <w:start w:val="1"/>
      <w:numFmt w:val="bullet"/>
      <w:lvlText w:val="o"/>
      <w:lvlJc w:val="left"/>
      <w:pPr>
        <w:ind w:left="1488" w:hanging="360"/>
      </w:pPr>
      <w:rPr>
        <w:rFonts w:ascii="Courier New" w:hAnsi="Courier New" w:cs="Courier New" w:hint="default"/>
      </w:rPr>
    </w:lvl>
    <w:lvl w:ilvl="2" w:tplc="04090005" w:tentative="1">
      <w:start w:val="1"/>
      <w:numFmt w:val="bullet"/>
      <w:lvlText w:val=""/>
      <w:lvlJc w:val="left"/>
      <w:pPr>
        <w:ind w:left="2208" w:hanging="360"/>
      </w:pPr>
      <w:rPr>
        <w:rFonts w:ascii="Wingdings" w:hAnsi="Wingdings" w:hint="default"/>
      </w:rPr>
    </w:lvl>
    <w:lvl w:ilvl="3" w:tplc="04090001" w:tentative="1">
      <w:start w:val="1"/>
      <w:numFmt w:val="bullet"/>
      <w:lvlText w:val=""/>
      <w:lvlJc w:val="left"/>
      <w:pPr>
        <w:ind w:left="2928" w:hanging="360"/>
      </w:pPr>
      <w:rPr>
        <w:rFonts w:ascii="Symbol" w:hAnsi="Symbol" w:hint="default"/>
      </w:rPr>
    </w:lvl>
    <w:lvl w:ilvl="4" w:tplc="04090003" w:tentative="1">
      <w:start w:val="1"/>
      <w:numFmt w:val="bullet"/>
      <w:lvlText w:val="o"/>
      <w:lvlJc w:val="left"/>
      <w:pPr>
        <w:ind w:left="3648" w:hanging="360"/>
      </w:pPr>
      <w:rPr>
        <w:rFonts w:ascii="Courier New" w:hAnsi="Courier New" w:cs="Courier New" w:hint="default"/>
      </w:rPr>
    </w:lvl>
    <w:lvl w:ilvl="5" w:tplc="04090005" w:tentative="1">
      <w:start w:val="1"/>
      <w:numFmt w:val="bullet"/>
      <w:lvlText w:val=""/>
      <w:lvlJc w:val="left"/>
      <w:pPr>
        <w:ind w:left="4368" w:hanging="360"/>
      </w:pPr>
      <w:rPr>
        <w:rFonts w:ascii="Wingdings" w:hAnsi="Wingdings" w:hint="default"/>
      </w:rPr>
    </w:lvl>
    <w:lvl w:ilvl="6" w:tplc="04090001" w:tentative="1">
      <w:start w:val="1"/>
      <w:numFmt w:val="bullet"/>
      <w:lvlText w:val=""/>
      <w:lvlJc w:val="left"/>
      <w:pPr>
        <w:ind w:left="5088" w:hanging="360"/>
      </w:pPr>
      <w:rPr>
        <w:rFonts w:ascii="Symbol" w:hAnsi="Symbol" w:hint="default"/>
      </w:rPr>
    </w:lvl>
    <w:lvl w:ilvl="7" w:tplc="04090003" w:tentative="1">
      <w:start w:val="1"/>
      <w:numFmt w:val="bullet"/>
      <w:lvlText w:val="o"/>
      <w:lvlJc w:val="left"/>
      <w:pPr>
        <w:ind w:left="5808" w:hanging="360"/>
      </w:pPr>
      <w:rPr>
        <w:rFonts w:ascii="Courier New" w:hAnsi="Courier New" w:cs="Courier New" w:hint="default"/>
      </w:rPr>
    </w:lvl>
    <w:lvl w:ilvl="8" w:tplc="04090005" w:tentative="1">
      <w:start w:val="1"/>
      <w:numFmt w:val="bullet"/>
      <w:lvlText w:val=""/>
      <w:lvlJc w:val="left"/>
      <w:pPr>
        <w:ind w:left="6528" w:hanging="360"/>
      </w:pPr>
      <w:rPr>
        <w:rFonts w:ascii="Wingdings" w:hAnsi="Wingdings" w:hint="default"/>
      </w:rPr>
    </w:lvl>
  </w:abstractNum>
  <w:abstractNum w:abstractNumId="39">
    <w:nsid w:val="4C691FC8"/>
    <w:multiLevelType w:val="hybridMultilevel"/>
    <w:tmpl w:val="FCAE67C2"/>
    <w:lvl w:ilvl="0" w:tplc="4D727E66">
      <w:numFmt w:val="bullet"/>
      <w:lvlText w:val=""/>
      <w:lvlJc w:val="left"/>
      <w:pPr>
        <w:ind w:left="720" w:hanging="360"/>
      </w:pPr>
      <w:rPr>
        <w:rFonts w:ascii="Symbol" w:hAnsi="Symbol" w:cs="Times New Roman" w:hint="default"/>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4C797864"/>
    <w:multiLevelType w:val="multilevel"/>
    <w:tmpl w:val="70E6C52A"/>
    <w:lvl w:ilvl="0">
      <w:start w:val="1"/>
      <w:numFmt w:val="bullet"/>
      <w:lvlText w:val=""/>
      <w:lvlJc w:val="left"/>
      <w:pPr>
        <w:ind w:left="720" w:hanging="360"/>
      </w:pPr>
      <w:rPr>
        <w:rFonts w:ascii="Symbol" w:hAnsi="Symbol" w:hint="default"/>
      </w:rPr>
    </w:lvl>
    <w:lvl w:ilvl="1">
      <w:start w:val="1"/>
      <w:numFmt w:val="bullet"/>
      <w:lvlText w:val="­"/>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1">
    <w:nsid w:val="4D3F2BB1"/>
    <w:multiLevelType w:val="hybridMultilevel"/>
    <w:tmpl w:val="3276290C"/>
    <w:lvl w:ilvl="0" w:tplc="4D727E66">
      <w:numFmt w:val="bullet"/>
      <w:lvlText w:val=""/>
      <w:lvlJc w:val="left"/>
      <w:pPr>
        <w:ind w:left="720" w:hanging="360"/>
      </w:pPr>
      <w:rPr>
        <w:rFonts w:ascii="Symbol" w:hAnsi="Symbol" w:cs="Times New Roman" w:hint="default"/>
        <w:sz w:val="22"/>
        <w:szCs w:val="22"/>
      </w:rPr>
    </w:lvl>
    <w:lvl w:ilvl="1" w:tplc="6E08B9D2">
      <w:start w:val="1"/>
      <w:numFmt w:val="bullet"/>
      <w:lvlText w:val="−"/>
      <w:lvlJc w:val="left"/>
      <w:pPr>
        <w:ind w:left="1440" w:hanging="360"/>
      </w:pPr>
      <w:rPr>
        <w:rFonts w:ascii="Arial Unicode MS" w:eastAsia="Arial Unicode MS" w:hAnsi="Arial Unicode MS" w:hint="eastAsia"/>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4ED45038"/>
    <w:multiLevelType w:val="hybridMultilevel"/>
    <w:tmpl w:val="5B16DB54"/>
    <w:lvl w:ilvl="0" w:tplc="AF26F6E6">
      <w:start w:val="1"/>
      <w:numFmt w:val="bullet"/>
      <w:pStyle w:val="Recommendation4"/>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52501F74"/>
    <w:multiLevelType w:val="multilevel"/>
    <w:tmpl w:val="2EAA9A26"/>
    <w:styleLink w:val="StyleNumberedArial11pt"/>
    <w:lvl w:ilvl="0">
      <w:start w:val="1"/>
      <w:numFmt w:val="decimal"/>
      <w:lvlText w:val="%1."/>
      <w:lvlJc w:val="left"/>
      <w:pPr>
        <w:tabs>
          <w:tab w:val="num" w:pos="720"/>
        </w:tabs>
        <w:ind w:left="720" w:hanging="360"/>
      </w:pPr>
      <w:rPr>
        <w:rFonts w:ascii="Arial" w:hAnsi="Arial" w:cs="Times New Roman"/>
        <w:sz w:val="22"/>
        <w:szCs w:val="22"/>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44">
    <w:nsid w:val="564135EB"/>
    <w:multiLevelType w:val="hybridMultilevel"/>
    <w:tmpl w:val="DA766622"/>
    <w:lvl w:ilvl="0" w:tplc="04090001">
      <w:start w:val="1"/>
      <w:numFmt w:val="bullet"/>
      <w:lvlText w:val=""/>
      <w:lvlJc w:val="left"/>
      <w:pPr>
        <w:ind w:left="720" w:hanging="360"/>
      </w:pPr>
      <w:rPr>
        <w:rFonts w:ascii="Symbol" w:hAnsi="Symbol" w:hint="default"/>
      </w:rPr>
    </w:lvl>
    <w:lvl w:ilvl="1" w:tplc="6E08B9D2">
      <w:start w:val="1"/>
      <w:numFmt w:val="bullet"/>
      <w:lvlText w:val="−"/>
      <w:lvlJc w:val="left"/>
      <w:pPr>
        <w:ind w:left="1440" w:hanging="360"/>
      </w:pPr>
      <w:rPr>
        <w:rFonts w:ascii="Arial Unicode MS" w:eastAsia="Arial Unicode MS" w:hAnsi="Arial Unicode MS" w:hint="eastAsia"/>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565C4A4E"/>
    <w:multiLevelType w:val="hybridMultilevel"/>
    <w:tmpl w:val="C10EBFA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6">
    <w:nsid w:val="56B52E75"/>
    <w:multiLevelType w:val="hybridMultilevel"/>
    <w:tmpl w:val="FB5CB9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56D27D64"/>
    <w:multiLevelType w:val="multilevel"/>
    <w:tmpl w:val="383231DC"/>
    <w:styleLink w:val="StyleBulleted"/>
    <w:lvl w:ilvl="0">
      <w:start w:val="1"/>
      <w:numFmt w:val="bullet"/>
      <w:lvlText w:val=""/>
      <w:lvlJc w:val="left"/>
      <w:pPr>
        <w:tabs>
          <w:tab w:val="num" w:pos="720"/>
        </w:tabs>
        <w:ind w:left="720" w:hanging="360"/>
      </w:pPr>
      <w:rPr>
        <w:rFonts w:ascii="Symbol" w:hAnsi="Symbol"/>
        <w:kern w:val="28"/>
        <w:sz w:val="22"/>
      </w:rPr>
    </w:lvl>
    <w:lvl w:ilvl="1">
      <w:start w:val="1"/>
      <w:numFmt w:val="bullet"/>
      <w:lvlText w:val="o"/>
      <w:lvlJc w:val="left"/>
      <w:pPr>
        <w:tabs>
          <w:tab w:val="num" w:pos="1440"/>
        </w:tabs>
        <w:ind w:left="1440" w:hanging="360"/>
      </w:pPr>
      <w:rPr>
        <w:rFonts w:ascii="Courier New" w:hAnsi="Courier New"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Times New Roman"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Times New Roman" w:hint="default"/>
      </w:rPr>
    </w:lvl>
    <w:lvl w:ilvl="8">
      <w:start w:val="1"/>
      <w:numFmt w:val="bullet"/>
      <w:lvlText w:val=""/>
      <w:lvlJc w:val="left"/>
      <w:pPr>
        <w:tabs>
          <w:tab w:val="num" w:pos="6480"/>
        </w:tabs>
        <w:ind w:left="6480" w:hanging="360"/>
      </w:pPr>
      <w:rPr>
        <w:rFonts w:ascii="Wingdings" w:hAnsi="Wingdings" w:hint="default"/>
      </w:rPr>
    </w:lvl>
  </w:abstractNum>
  <w:abstractNum w:abstractNumId="48">
    <w:nsid w:val="570639C7"/>
    <w:multiLevelType w:val="hybridMultilevel"/>
    <w:tmpl w:val="E438CB1A"/>
    <w:lvl w:ilvl="0" w:tplc="5A9A433C">
      <w:start w:val="1"/>
      <w:numFmt w:val="bullet"/>
      <w:pStyle w:val="Style3"/>
      <w:lvlText w:val=""/>
      <w:lvlJc w:val="left"/>
      <w:pPr>
        <w:tabs>
          <w:tab w:val="num" w:pos="470"/>
        </w:tabs>
        <w:ind w:left="470" w:hanging="360"/>
      </w:pPr>
      <w:rPr>
        <w:rFonts w:ascii="Symbol" w:hAnsi="Symbol" w:hint="default"/>
        <w:color w:val="auto"/>
      </w:rPr>
    </w:lvl>
    <w:lvl w:ilvl="1" w:tplc="04090003">
      <w:start w:val="1"/>
      <w:numFmt w:val="bullet"/>
      <w:lvlText w:val="o"/>
      <w:lvlJc w:val="left"/>
      <w:pPr>
        <w:tabs>
          <w:tab w:val="num" w:pos="1190"/>
        </w:tabs>
        <w:ind w:left="1190" w:hanging="360"/>
      </w:pPr>
      <w:rPr>
        <w:rFonts w:ascii="Courier New" w:hAnsi="Courier New" w:cs="Times New Roman" w:hint="default"/>
      </w:rPr>
    </w:lvl>
    <w:lvl w:ilvl="2" w:tplc="04090005">
      <w:start w:val="1"/>
      <w:numFmt w:val="bullet"/>
      <w:lvlText w:val=""/>
      <w:lvlJc w:val="left"/>
      <w:pPr>
        <w:tabs>
          <w:tab w:val="num" w:pos="1910"/>
        </w:tabs>
        <w:ind w:left="1910" w:hanging="360"/>
      </w:pPr>
      <w:rPr>
        <w:rFonts w:ascii="Wingdings" w:hAnsi="Wingdings" w:hint="default"/>
      </w:rPr>
    </w:lvl>
    <w:lvl w:ilvl="3" w:tplc="04090001">
      <w:start w:val="1"/>
      <w:numFmt w:val="bullet"/>
      <w:lvlText w:val=""/>
      <w:lvlJc w:val="left"/>
      <w:pPr>
        <w:tabs>
          <w:tab w:val="num" w:pos="2630"/>
        </w:tabs>
        <w:ind w:left="2630" w:hanging="360"/>
      </w:pPr>
      <w:rPr>
        <w:rFonts w:ascii="Symbol" w:hAnsi="Symbol" w:hint="default"/>
      </w:rPr>
    </w:lvl>
    <w:lvl w:ilvl="4" w:tplc="04090003">
      <w:start w:val="1"/>
      <w:numFmt w:val="bullet"/>
      <w:lvlText w:val="o"/>
      <w:lvlJc w:val="left"/>
      <w:pPr>
        <w:tabs>
          <w:tab w:val="num" w:pos="3350"/>
        </w:tabs>
        <w:ind w:left="3350" w:hanging="360"/>
      </w:pPr>
      <w:rPr>
        <w:rFonts w:ascii="Courier New" w:hAnsi="Courier New" w:cs="Times New Roman" w:hint="default"/>
      </w:rPr>
    </w:lvl>
    <w:lvl w:ilvl="5" w:tplc="04090005">
      <w:start w:val="1"/>
      <w:numFmt w:val="bullet"/>
      <w:lvlText w:val=""/>
      <w:lvlJc w:val="left"/>
      <w:pPr>
        <w:tabs>
          <w:tab w:val="num" w:pos="4070"/>
        </w:tabs>
        <w:ind w:left="4070" w:hanging="360"/>
      </w:pPr>
      <w:rPr>
        <w:rFonts w:ascii="Wingdings" w:hAnsi="Wingdings" w:hint="default"/>
      </w:rPr>
    </w:lvl>
    <w:lvl w:ilvl="6" w:tplc="04090001">
      <w:start w:val="1"/>
      <w:numFmt w:val="bullet"/>
      <w:lvlText w:val=""/>
      <w:lvlJc w:val="left"/>
      <w:pPr>
        <w:tabs>
          <w:tab w:val="num" w:pos="4790"/>
        </w:tabs>
        <w:ind w:left="4790" w:hanging="360"/>
      </w:pPr>
      <w:rPr>
        <w:rFonts w:ascii="Symbol" w:hAnsi="Symbol" w:hint="default"/>
      </w:rPr>
    </w:lvl>
    <w:lvl w:ilvl="7" w:tplc="04090003">
      <w:start w:val="1"/>
      <w:numFmt w:val="bullet"/>
      <w:lvlText w:val="o"/>
      <w:lvlJc w:val="left"/>
      <w:pPr>
        <w:tabs>
          <w:tab w:val="num" w:pos="5510"/>
        </w:tabs>
        <w:ind w:left="5510" w:hanging="360"/>
      </w:pPr>
      <w:rPr>
        <w:rFonts w:ascii="Courier New" w:hAnsi="Courier New" w:cs="Times New Roman" w:hint="default"/>
      </w:rPr>
    </w:lvl>
    <w:lvl w:ilvl="8" w:tplc="04090005">
      <w:start w:val="1"/>
      <w:numFmt w:val="bullet"/>
      <w:lvlText w:val=""/>
      <w:lvlJc w:val="left"/>
      <w:pPr>
        <w:tabs>
          <w:tab w:val="num" w:pos="6230"/>
        </w:tabs>
        <w:ind w:left="6230" w:hanging="360"/>
      </w:pPr>
      <w:rPr>
        <w:rFonts w:ascii="Wingdings" w:hAnsi="Wingdings" w:hint="default"/>
      </w:rPr>
    </w:lvl>
  </w:abstractNum>
  <w:abstractNum w:abstractNumId="49">
    <w:nsid w:val="5B912310"/>
    <w:multiLevelType w:val="hybridMultilevel"/>
    <w:tmpl w:val="51049982"/>
    <w:lvl w:ilvl="0" w:tplc="9DE6F03C">
      <w:start w:val="1"/>
      <w:numFmt w:val="bullet"/>
      <w:pStyle w:val="Style2"/>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50">
    <w:nsid w:val="5C3B0905"/>
    <w:multiLevelType w:val="hybridMultilevel"/>
    <w:tmpl w:val="4B7089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5E1B7EC9"/>
    <w:multiLevelType w:val="hybridMultilevel"/>
    <w:tmpl w:val="4DC86E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60EE6453"/>
    <w:multiLevelType w:val="hybridMultilevel"/>
    <w:tmpl w:val="269A5C4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3">
    <w:nsid w:val="6E13310D"/>
    <w:multiLevelType w:val="hybridMultilevel"/>
    <w:tmpl w:val="E81AE0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6E7F3C13"/>
    <w:multiLevelType w:val="hybridMultilevel"/>
    <w:tmpl w:val="A5DA0D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6E977094"/>
    <w:multiLevelType w:val="hybridMultilevel"/>
    <w:tmpl w:val="70CA95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6F027660"/>
    <w:multiLevelType w:val="hybridMultilevel"/>
    <w:tmpl w:val="B1A48A36"/>
    <w:lvl w:ilvl="0" w:tplc="C6F8C144">
      <w:start w:val="1"/>
      <w:numFmt w:val="bullet"/>
      <w:pStyle w:val="BulletComments"/>
      <w:lvlText w:val=""/>
      <w:lvlJc w:val="left"/>
      <w:pPr>
        <w:tabs>
          <w:tab w:val="num" w:pos="720"/>
        </w:tabs>
        <w:ind w:left="720" w:hanging="360"/>
      </w:pPr>
      <w:rPr>
        <w:rFonts w:ascii="Symbol" w:hAnsi="Symbol" w:hint="default"/>
        <w:color w:val="auto"/>
      </w:rPr>
    </w:lvl>
    <w:lvl w:ilvl="1" w:tplc="04090003">
      <w:start w:val="1"/>
      <w:numFmt w:val="bullet"/>
      <w:lvlText w:val="o"/>
      <w:lvlJc w:val="left"/>
      <w:pPr>
        <w:tabs>
          <w:tab w:val="num" w:pos="1440"/>
        </w:tabs>
        <w:ind w:left="1440" w:hanging="360"/>
      </w:pPr>
      <w:rPr>
        <w:rFonts w:ascii="Courier New" w:hAnsi="Courier New" w:cs="Times New Roman"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Times New Roman"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Times New Roman"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57">
    <w:nsid w:val="6F944026"/>
    <w:multiLevelType w:val="hybridMultilevel"/>
    <w:tmpl w:val="01DC90B0"/>
    <w:lvl w:ilvl="0" w:tplc="1778D210">
      <w:start w:val="1"/>
      <w:numFmt w:val="bullet"/>
      <w:pStyle w:val="ESCiBullets"/>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8">
    <w:nsid w:val="74C5061B"/>
    <w:multiLevelType w:val="hybridMultilevel"/>
    <w:tmpl w:val="0ABE97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7AD75C47"/>
    <w:multiLevelType w:val="hybridMultilevel"/>
    <w:tmpl w:val="7B9C8BFE"/>
    <w:lvl w:ilvl="0" w:tplc="39AAA092">
      <w:numFmt w:val="bullet"/>
      <w:lvlText w:val="•"/>
      <w:lvlJc w:val="left"/>
      <w:pPr>
        <w:ind w:left="720" w:hanging="720"/>
      </w:pPr>
      <w:rPr>
        <w:rFonts w:ascii="Calibri" w:eastAsiaTheme="minorHAnsi" w:hAnsi="Calibri" w:cstheme="minorBid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0">
    <w:nsid w:val="7B7F006B"/>
    <w:multiLevelType w:val="hybridMultilevel"/>
    <w:tmpl w:val="919817A0"/>
    <w:lvl w:ilvl="0" w:tplc="04090001">
      <w:start w:val="1"/>
      <w:numFmt w:val="bullet"/>
      <w:lvlText w:val=""/>
      <w:lvlJc w:val="left"/>
      <w:pPr>
        <w:ind w:left="825" w:hanging="360"/>
      </w:pPr>
      <w:rPr>
        <w:rFonts w:ascii="Symbol" w:hAnsi="Symbol" w:hint="default"/>
      </w:rPr>
    </w:lvl>
    <w:lvl w:ilvl="1" w:tplc="04090003" w:tentative="1">
      <w:start w:val="1"/>
      <w:numFmt w:val="bullet"/>
      <w:lvlText w:val="o"/>
      <w:lvlJc w:val="left"/>
      <w:pPr>
        <w:ind w:left="1545" w:hanging="360"/>
      </w:pPr>
      <w:rPr>
        <w:rFonts w:ascii="Courier New" w:hAnsi="Courier New" w:cs="Courier New" w:hint="default"/>
      </w:rPr>
    </w:lvl>
    <w:lvl w:ilvl="2" w:tplc="04090005" w:tentative="1">
      <w:start w:val="1"/>
      <w:numFmt w:val="bullet"/>
      <w:lvlText w:val=""/>
      <w:lvlJc w:val="left"/>
      <w:pPr>
        <w:ind w:left="2265" w:hanging="360"/>
      </w:pPr>
      <w:rPr>
        <w:rFonts w:ascii="Wingdings" w:hAnsi="Wingdings" w:hint="default"/>
      </w:rPr>
    </w:lvl>
    <w:lvl w:ilvl="3" w:tplc="04090001" w:tentative="1">
      <w:start w:val="1"/>
      <w:numFmt w:val="bullet"/>
      <w:lvlText w:val=""/>
      <w:lvlJc w:val="left"/>
      <w:pPr>
        <w:ind w:left="2985" w:hanging="360"/>
      </w:pPr>
      <w:rPr>
        <w:rFonts w:ascii="Symbol" w:hAnsi="Symbol" w:hint="default"/>
      </w:rPr>
    </w:lvl>
    <w:lvl w:ilvl="4" w:tplc="04090003" w:tentative="1">
      <w:start w:val="1"/>
      <w:numFmt w:val="bullet"/>
      <w:lvlText w:val="o"/>
      <w:lvlJc w:val="left"/>
      <w:pPr>
        <w:ind w:left="3705" w:hanging="360"/>
      </w:pPr>
      <w:rPr>
        <w:rFonts w:ascii="Courier New" w:hAnsi="Courier New" w:cs="Courier New" w:hint="default"/>
      </w:rPr>
    </w:lvl>
    <w:lvl w:ilvl="5" w:tplc="04090005" w:tentative="1">
      <w:start w:val="1"/>
      <w:numFmt w:val="bullet"/>
      <w:lvlText w:val=""/>
      <w:lvlJc w:val="left"/>
      <w:pPr>
        <w:ind w:left="4425" w:hanging="360"/>
      </w:pPr>
      <w:rPr>
        <w:rFonts w:ascii="Wingdings" w:hAnsi="Wingdings" w:hint="default"/>
      </w:rPr>
    </w:lvl>
    <w:lvl w:ilvl="6" w:tplc="04090001" w:tentative="1">
      <w:start w:val="1"/>
      <w:numFmt w:val="bullet"/>
      <w:lvlText w:val=""/>
      <w:lvlJc w:val="left"/>
      <w:pPr>
        <w:ind w:left="5145" w:hanging="360"/>
      </w:pPr>
      <w:rPr>
        <w:rFonts w:ascii="Symbol" w:hAnsi="Symbol" w:hint="default"/>
      </w:rPr>
    </w:lvl>
    <w:lvl w:ilvl="7" w:tplc="04090003" w:tentative="1">
      <w:start w:val="1"/>
      <w:numFmt w:val="bullet"/>
      <w:lvlText w:val="o"/>
      <w:lvlJc w:val="left"/>
      <w:pPr>
        <w:ind w:left="5865" w:hanging="360"/>
      </w:pPr>
      <w:rPr>
        <w:rFonts w:ascii="Courier New" w:hAnsi="Courier New" w:cs="Courier New" w:hint="default"/>
      </w:rPr>
    </w:lvl>
    <w:lvl w:ilvl="8" w:tplc="04090005" w:tentative="1">
      <w:start w:val="1"/>
      <w:numFmt w:val="bullet"/>
      <w:lvlText w:val=""/>
      <w:lvlJc w:val="left"/>
      <w:pPr>
        <w:ind w:left="6585" w:hanging="360"/>
      </w:pPr>
      <w:rPr>
        <w:rFonts w:ascii="Wingdings" w:hAnsi="Wingdings" w:hint="default"/>
      </w:rPr>
    </w:lvl>
  </w:abstractNum>
  <w:abstractNum w:abstractNumId="61">
    <w:nsid w:val="7C772F0E"/>
    <w:multiLevelType w:val="multilevel"/>
    <w:tmpl w:val="500655D4"/>
    <w:styleLink w:val="StyleNumbered12ptBold"/>
    <w:lvl w:ilvl="0">
      <w:start w:val="1"/>
      <w:numFmt w:val="decimal"/>
      <w:lvlText w:val="%1."/>
      <w:lvlJc w:val="left"/>
      <w:pPr>
        <w:tabs>
          <w:tab w:val="num" w:pos="360"/>
        </w:tabs>
        <w:ind w:left="360" w:hanging="360"/>
      </w:pPr>
      <w:rPr>
        <w:rFonts w:ascii="Arial" w:hAnsi="Arial" w:cs="Times New Roman"/>
        <w:b/>
        <w:bCs/>
        <w:sz w:val="22"/>
      </w:rPr>
    </w:lvl>
    <w:lvl w:ilvl="1">
      <w:start w:val="1"/>
      <w:numFmt w:val="lowerLetter"/>
      <w:lvlText w:val="%2."/>
      <w:lvlJc w:val="left"/>
      <w:pPr>
        <w:tabs>
          <w:tab w:val="num" w:pos="1080"/>
        </w:tabs>
        <w:ind w:left="1080" w:hanging="360"/>
      </w:pPr>
      <w:rPr>
        <w:rFonts w:cs="Times New Roman"/>
      </w:rPr>
    </w:lvl>
    <w:lvl w:ilvl="2">
      <w:start w:val="1"/>
      <w:numFmt w:val="lowerRoman"/>
      <w:lvlText w:val="%3."/>
      <w:lvlJc w:val="right"/>
      <w:pPr>
        <w:tabs>
          <w:tab w:val="num" w:pos="1800"/>
        </w:tabs>
        <w:ind w:left="1800" w:hanging="180"/>
      </w:pPr>
      <w:rPr>
        <w:rFonts w:cs="Times New Roman"/>
      </w:rPr>
    </w:lvl>
    <w:lvl w:ilvl="3">
      <w:start w:val="1"/>
      <w:numFmt w:val="decimal"/>
      <w:lvlText w:val="%4."/>
      <w:lvlJc w:val="left"/>
      <w:pPr>
        <w:tabs>
          <w:tab w:val="num" w:pos="2520"/>
        </w:tabs>
        <w:ind w:left="2520" w:hanging="360"/>
      </w:pPr>
      <w:rPr>
        <w:rFonts w:cs="Times New Roman"/>
      </w:rPr>
    </w:lvl>
    <w:lvl w:ilvl="4">
      <w:start w:val="1"/>
      <w:numFmt w:val="lowerLetter"/>
      <w:lvlText w:val="%5."/>
      <w:lvlJc w:val="left"/>
      <w:pPr>
        <w:tabs>
          <w:tab w:val="num" w:pos="3240"/>
        </w:tabs>
        <w:ind w:left="3240" w:hanging="360"/>
      </w:pPr>
      <w:rPr>
        <w:rFonts w:cs="Times New Roman"/>
      </w:rPr>
    </w:lvl>
    <w:lvl w:ilvl="5">
      <w:start w:val="1"/>
      <w:numFmt w:val="lowerRoman"/>
      <w:lvlText w:val="%6."/>
      <w:lvlJc w:val="right"/>
      <w:pPr>
        <w:tabs>
          <w:tab w:val="num" w:pos="3960"/>
        </w:tabs>
        <w:ind w:left="3960" w:hanging="180"/>
      </w:pPr>
      <w:rPr>
        <w:rFonts w:cs="Times New Roman"/>
      </w:rPr>
    </w:lvl>
    <w:lvl w:ilvl="6">
      <w:start w:val="1"/>
      <w:numFmt w:val="decimal"/>
      <w:lvlText w:val="%7."/>
      <w:lvlJc w:val="left"/>
      <w:pPr>
        <w:tabs>
          <w:tab w:val="num" w:pos="4680"/>
        </w:tabs>
        <w:ind w:left="4680" w:hanging="360"/>
      </w:pPr>
      <w:rPr>
        <w:rFonts w:cs="Times New Roman"/>
      </w:rPr>
    </w:lvl>
    <w:lvl w:ilvl="7">
      <w:start w:val="1"/>
      <w:numFmt w:val="lowerLetter"/>
      <w:lvlText w:val="%8."/>
      <w:lvlJc w:val="left"/>
      <w:pPr>
        <w:tabs>
          <w:tab w:val="num" w:pos="5400"/>
        </w:tabs>
        <w:ind w:left="5400" w:hanging="360"/>
      </w:pPr>
      <w:rPr>
        <w:rFonts w:cs="Times New Roman"/>
      </w:rPr>
    </w:lvl>
    <w:lvl w:ilvl="8">
      <w:start w:val="1"/>
      <w:numFmt w:val="lowerRoman"/>
      <w:lvlText w:val="%9."/>
      <w:lvlJc w:val="right"/>
      <w:pPr>
        <w:tabs>
          <w:tab w:val="num" w:pos="6120"/>
        </w:tabs>
        <w:ind w:left="6120" w:hanging="180"/>
      </w:pPr>
      <w:rPr>
        <w:rFonts w:cs="Times New Roman"/>
      </w:rPr>
    </w:lvl>
  </w:abstractNum>
  <w:num w:numId="1">
    <w:abstractNumId w:val="14"/>
  </w:num>
  <w:num w:numId="2">
    <w:abstractNumId w:val="19"/>
    <w:lvlOverride w:ilvl="0"/>
    <w:lvlOverride w:ilvl="1">
      <w:startOverride w:val="1"/>
    </w:lvlOverride>
    <w:lvlOverride w:ilvl="2"/>
    <w:lvlOverride w:ilvl="3"/>
    <w:lvlOverride w:ilvl="4"/>
    <w:lvlOverride w:ilvl="5"/>
    <w:lvlOverride w:ilvl="6"/>
    <w:lvlOverride w:ilvl="7"/>
    <w:lvlOverride w:ilvl="8"/>
  </w:num>
  <w:num w:numId="3">
    <w:abstractNumId w:val="56"/>
  </w:num>
  <w:num w:numId="4">
    <w:abstractNumId w:val="2"/>
  </w:num>
  <w:num w:numId="5">
    <w:abstractNumId w:val="48"/>
  </w:num>
  <w:num w:numId="6">
    <w:abstractNumId w:val="49"/>
  </w:num>
  <w:num w:numId="7">
    <w:abstractNumId w:val="4"/>
  </w:num>
  <w:num w:numId="8">
    <w:abstractNumId w:val="6"/>
  </w:num>
  <w:num w:numId="9">
    <w:abstractNumId w:val="7"/>
  </w:num>
  <w:num w:numId="10">
    <w:abstractNumId w:val="15"/>
  </w:num>
  <w:num w:numId="11">
    <w:abstractNumId w:val="29"/>
  </w:num>
  <w:num w:numId="12">
    <w:abstractNumId w:val="43"/>
  </w:num>
  <w:num w:numId="13">
    <w:abstractNumId w:val="47"/>
  </w:num>
  <w:num w:numId="14">
    <w:abstractNumId w:val="61"/>
  </w:num>
  <w:num w:numId="15">
    <w:abstractNumId w:val="57"/>
  </w:num>
  <w:num w:numId="16">
    <w:abstractNumId w:val="3"/>
  </w:num>
  <w:num w:numId="17">
    <w:abstractNumId w:val="53"/>
  </w:num>
  <w:num w:numId="18">
    <w:abstractNumId w:val="42"/>
  </w:num>
  <w:num w:numId="19">
    <w:abstractNumId w:val="0"/>
  </w:num>
  <w:num w:numId="20">
    <w:abstractNumId w:val="27"/>
  </w:num>
  <w:num w:numId="21">
    <w:abstractNumId w:val="20"/>
  </w:num>
  <w:num w:numId="22">
    <w:abstractNumId w:val="32"/>
  </w:num>
  <w:num w:numId="23">
    <w:abstractNumId w:val="9"/>
  </w:num>
  <w:num w:numId="24">
    <w:abstractNumId w:val="5"/>
  </w:num>
  <w:num w:numId="25">
    <w:abstractNumId w:val="24"/>
  </w:num>
  <w:num w:numId="26">
    <w:abstractNumId w:val="26"/>
  </w:num>
  <w:num w:numId="27">
    <w:abstractNumId w:val="55"/>
  </w:num>
  <w:num w:numId="28">
    <w:abstractNumId w:val="31"/>
  </w:num>
  <w:num w:numId="29">
    <w:abstractNumId w:val="38"/>
  </w:num>
  <w:num w:numId="30">
    <w:abstractNumId w:val="34"/>
  </w:num>
  <w:num w:numId="31">
    <w:abstractNumId w:val="51"/>
  </w:num>
  <w:num w:numId="32">
    <w:abstractNumId w:val="23"/>
  </w:num>
  <w:num w:numId="33">
    <w:abstractNumId w:val="39"/>
  </w:num>
  <w:num w:numId="34">
    <w:abstractNumId w:val="41"/>
  </w:num>
  <w:num w:numId="35">
    <w:abstractNumId w:val="54"/>
  </w:num>
  <w:num w:numId="36">
    <w:abstractNumId w:val="25"/>
  </w:num>
  <w:num w:numId="37">
    <w:abstractNumId w:val="60"/>
  </w:num>
  <w:num w:numId="38">
    <w:abstractNumId w:val="8"/>
  </w:num>
  <w:num w:numId="39">
    <w:abstractNumId w:val="59"/>
  </w:num>
  <w:num w:numId="40">
    <w:abstractNumId w:val="50"/>
  </w:num>
  <w:num w:numId="41">
    <w:abstractNumId w:val="35"/>
  </w:num>
  <w:num w:numId="42">
    <w:abstractNumId w:val="36"/>
  </w:num>
  <w:num w:numId="43">
    <w:abstractNumId w:val="46"/>
  </w:num>
  <w:num w:numId="44">
    <w:abstractNumId w:val="1"/>
  </w:num>
  <w:num w:numId="45">
    <w:abstractNumId w:val="33"/>
  </w:num>
  <w:num w:numId="46">
    <w:abstractNumId w:val="52"/>
  </w:num>
  <w:num w:numId="47">
    <w:abstractNumId w:val="10"/>
  </w:num>
  <w:num w:numId="48">
    <w:abstractNumId w:val="40"/>
  </w:num>
  <w:num w:numId="49">
    <w:abstractNumId w:val="13"/>
  </w:num>
  <w:num w:numId="50">
    <w:abstractNumId w:val="28"/>
  </w:num>
  <w:num w:numId="51">
    <w:abstractNumId w:val="30"/>
  </w:num>
  <w:num w:numId="52">
    <w:abstractNumId w:val="22"/>
  </w:num>
  <w:num w:numId="53">
    <w:abstractNumId w:val="12"/>
  </w:num>
  <w:num w:numId="54">
    <w:abstractNumId w:val="37"/>
  </w:num>
  <w:num w:numId="55">
    <w:abstractNumId w:val="21"/>
  </w:num>
  <w:num w:numId="56">
    <w:abstractNumId w:val="19"/>
  </w:num>
  <w:num w:numId="57">
    <w:abstractNumId w:val="45"/>
  </w:num>
  <w:num w:numId="58">
    <w:abstractNumId w:val="17"/>
  </w:num>
  <w:num w:numId="59">
    <w:abstractNumId w:val="58"/>
  </w:num>
  <w:num w:numId="60">
    <w:abstractNumId w:val="18"/>
  </w:num>
  <w:num w:numId="61">
    <w:abstractNumId w:val="16"/>
  </w:num>
  <w:num w:numId="62">
    <w:abstractNumId w:val="44"/>
  </w:num>
  <w:num w:numId="63">
    <w:abstractNumId w:val="11"/>
  </w:num>
  <w:numIdMacAtCleanup w:val="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n-US" w:vendorID="64" w:dllVersion="131078" w:nlCheck="1" w:checkStyle="0"/>
  <w:activeWritingStyle w:appName="MSWord" w:lang="en-CA" w:vendorID="64" w:dllVersion="131078" w:nlCheck="1" w:checkStyle="0"/>
  <w:proofState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trackRevisions/>
  <w:documentProtection w:edit="trackedChanges" w:enforcement="1" w:cryptProviderType="rsaAES" w:cryptAlgorithmClass="hash" w:cryptAlgorithmType="typeAny" w:cryptAlgorithmSid="14" w:cryptSpinCount="100000" w:hash="rJqeCy/d+1wSQn9LZ6ZkW8aVHXdjYmfPx6u4Edv64DoE2KYzzsRo1S8Y1aA0Vh+Z95fFiAL5rFpXuZYZkJm2/g==" w:salt="LP0AmYu7tmMeMXifiwpxqw=="/>
  <w:defaultTabStop w:val="720"/>
  <w:evenAndOddHeaders/>
  <w:drawingGridHorizontalSpacing w:val="110"/>
  <w:displayHorizontalDrawingGridEvery w:val="2"/>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0B1B"/>
    <w:rsid w:val="00003327"/>
    <w:rsid w:val="00003D0B"/>
    <w:rsid w:val="00004224"/>
    <w:rsid w:val="000059D9"/>
    <w:rsid w:val="00005CD3"/>
    <w:rsid w:val="00006BF1"/>
    <w:rsid w:val="00007075"/>
    <w:rsid w:val="000074D6"/>
    <w:rsid w:val="00011248"/>
    <w:rsid w:val="000117B4"/>
    <w:rsid w:val="00011D70"/>
    <w:rsid w:val="00012389"/>
    <w:rsid w:val="00012395"/>
    <w:rsid w:val="0001386A"/>
    <w:rsid w:val="00013883"/>
    <w:rsid w:val="000140B8"/>
    <w:rsid w:val="00014348"/>
    <w:rsid w:val="00014CA4"/>
    <w:rsid w:val="00015219"/>
    <w:rsid w:val="00015357"/>
    <w:rsid w:val="00015469"/>
    <w:rsid w:val="0001551B"/>
    <w:rsid w:val="00016216"/>
    <w:rsid w:val="000200D5"/>
    <w:rsid w:val="000200DA"/>
    <w:rsid w:val="00020FB3"/>
    <w:rsid w:val="00021755"/>
    <w:rsid w:val="000237F8"/>
    <w:rsid w:val="00023E1D"/>
    <w:rsid w:val="00024B60"/>
    <w:rsid w:val="00024EA2"/>
    <w:rsid w:val="0002644F"/>
    <w:rsid w:val="00026A68"/>
    <w:rsid w:val="00026BC3"/>
    <w:rsid w:val="000305A8"/>
    <w:rsid w:val="0003181D"/>
    <w:rsid w:val="00031889"/>
    <w:rsid w:val="000322B3"/>
    <w:rsid w:val="0003265E"/>
    <w:rsid w:val="000338E5"/>
    <w:rsid w:val="000362AD"/>
    <w:rsid w:val="0003662D"/>
    <w:rsid w:val="00036E22"/>
    <w:rsid w:val="00036F5F"/>
    <w:rsid w:val="00037C17"/>
    <w:rsid w:val="00040473"/>
    <w:rsid w:val="00040B32"/>
    <w:rsid w:val="00040BD4"/>
    <w:rsid w:val="00040EFA"/>
    <w:rsid w:val="00041270"/>
    <w:rsid w:val="00041861"/>
    <w:rsid w:val="00043301"/>
    <w:rsid w:val="0004363E"/>
    <w:rsid w:val="00043B66"/>
    <w:rsid w:val="00043C91"/>
    <w:rsid w:val="00044392"/>
    <w:rsid w:val="00045965"/>
    <w:rsid w:val="00045A45"/>
    <w:rsid w:val="000472A7"/>
    <w:rsid w:val="00051C02"/>
    <w:rsid w:val="00052097"/>
    <w:rsid w:val="00052DF0"/>
    <w:rsid w:val="0005305E"/>
    <w:rsid w:val="00053974"/>
    <w:rsid w:val="00053DD5"/>
    <w:rsid w:val="00055778"/>
    <w:rsid w:val="00055E45"/>
    <w:rsid w:val="000563F8"/>
    <w:rsid w:val="00061DA5"/>
    <w:rsid w:val="000620C2"/>
    <w:rsid w:val="00062468"/>
    <w:rsid w:val="0006329F"/>
    <w:rsid w:val="00063457"/>
    <w:rsid w:val="00063A98"/>
    <w:rsid w:val="00063D69"/>
    <w:rsid w:val="00064231"/>
    <w:rsid w:val="0006631B"/>
    <w:rsid w:val="000702CC"/>
    <w:rsid w:val="000713F1"/>
    <w:rsid w:val="00071BAE"/>
    <w:rsid w:val="00071D0E"/>
    <w:rsid w:val="0007218F"/>
    <w:rsid w:val="00073D8E"/>
    <w:rsid w:val="000740E5"/>
    <w:rsid w:val="0007426A"/>
    <w:rsid w:val="000743A0"/>
    <w:rsid w:val="000760B3"/>
    <w:rsid w:val="00076AFC"/>
    <w:rsid w:val="00077518"/>
    <w:rsid w:val="0007786A"/>
    <w:rsid w:val="00077CD0"/>
    <w:rsid w:val="00080A6D"/>
    <w:rsid w:val="00080B6A"/>
    <w:rsid w:val="00080CE7"/>
    <w:rsid w:val="00080E7B"/>
    <w:rsid w:val="000810B6"/>
    <w:rsid w:val="000813AB"/>
    <w:rsid w:val="000817F5"/>
    <w:rsid w:val="0008227D"/>
    <w:rsid w:val="00082383"/>
    <w:rsid w:val="00083426"/>
    <w:rsid w:val="00085587"/>
    <w:rsid w:val="00086A4F"/>
    <w:rsid w:val="00086B7F"/>
    <w:rsid w:val="00086BEB"/>
    <w:rsid w:val="00090526"/>
    <w:rsid w:val="0009125C"/>
    <w:rsid w:val="000928AC"/>
    <w:rsid w:val="00092D51"/>
    <w:rsid w:val="00095C76"/>
    <w:rsid w:val="0009602B"/>
    <w:rsid w:val="00096E08"/>
    <w:rsid w:val="000973CA"/>
    <w:rsid w:val="00097406"/>
    <w:rsid w:val="00097A71"/>
    <w:rsid w:val="000A056A"/>
    <w:rsid w:val="000A173F"/>
    <w:rsid w:val="000A2B21"/>
    <w:rsid w:val="000A4265"/>
    <w:rsid w:val="000A5379"/>
    <w:rsid w:val="000A59E0"/>
    <w:rsid w:val="000A62C3"/>
    <w:rsid w:val="000A62E0"/>
    <w:rsid w:val="000A6A66"/>
    <w:rsid w:val="000A6AAD"/>
    <w:rsid w:val="000A793B"/>
    <w:rsid w:val="000B0441"/>
    <w:rsid w:val="000B058C"/>
    <w:rsid w:val="000B14BD"/>
    <w:rsid w:val="000B1CF6"/>
    <w:rsid w:val="000B2045"/>
    <w:rsid w:val="000B3C62"/>
    <w:rsid w:val="000B3CC2"/>
    <w:rsid w:val="000B491F"/>
    <w:rsid w:val="000B4C47"/>
    <w:rsid w:val="000B540E"/>
    <w:rsid w:val="000B5BCC"/>
    <w:rsid w:val="000B5CDF"/>
    <w:rsid w:val="000B69B6"/>
    <w:rsid w:val="000B7345"/>
    <w:rsid w:val="000C0191"/>
    <w:rsid w:val="000C02BE"/>
    <w:rsid w:val="000C0A76"/>
    <w:rsid w:val="000C206E"/>
    <w:rsid w:val="000C4327"/>
    <w:rsid w:val="000C4DA9"/>
    <w:rsid w:val="000C5CAB"/>
    <w:rsid w:val="000C5F36"/>
    <w:rsid w:val="000C63A0"/>
    <w:rsid w:val="000C6589"/>
    <w:rsid w:val="000C6BC5"/>
    <w:rsid w:val="000C6D49"/>
    <w:rsid w:val="000D22F3"/>
    <w:rsid w:val="000D3329"/>
    <w:rsid w:val="000D45AA"/>
    <w:rsid w:val="000D49A7"/>
    <w:rsid w:val="000D4E88"/>
    <w:rsid w:val="000D54DF"/>
    <w:rsid w:val="000D58AF"/>
    <w:rsid w:val="000D613B"/>
    <w:rsid w:val="000D6905"/>
    <w:rsid w:val="000D6AD4"/>
    <w:rsid w:val="000E1735"/>
    <w:rsid w:val="000E2B65"/>
    <w:rsid w:val="000E35FB"/>
    <w:rsid w:val="000E3FB7"/>
    <w:rsid w:val="000E45FE"/>
    <w:rsid w:val="000E6974"/>
    <w:rsid w:val="000F300B"/>
    <w:rsid w:val="000F36E2"/>
    <w:rsid w:val="000F4E03"/>
    <w:rsid w:val="000F667B"/>
    <w:rsid w:val="000F6C4F"/>
    <w:rsid w:val="000F700B"/>
    <w:rsid w:val="000F7099"/>
    <w:rsid w:val="000F7473"/>
    <w:rsid w:val="000F774A"/>
    <w:rsid w:val="001006FF"/>
    <w:rsid w:val="00100B1B"/>
    <w:rsid w:val="0010288F"/>
    <w:rsid w:val="00103059"/>
    <w:rsid w:val="00103658"/>
    <w:rsid w:val="0010530D"/>
    <w:rsid w:val="00106145"/>
    <w:rsid w:val="00107585"/>
    <w:rsid w:val="00107EA8"/>
    <w:rsid w:val="001116CC"/>
    <w:rsid w:val="001118D0"/>
    <w:rsid w:val="0011198A"/>
    <w:rsid w:val="0011223F"/>
    <w:rsid w:val="00112896"/>
    <w:rsid w:val="00113E8B"/>
    <w:rsid w:val="001141F4"/>
    <w:rsid w:val="00117E0C"/>
    <w:rsid w:val="001210ED"/>
    <w:rsid w:val="00122588"/>
    <w:rsid w:val="0012261E"/>
    <w:rsid w:val="00122FB3"/>
    <w:rsid w:val="00123199"/>
    <w:rsid w:val="001236B6"/>
    <w:rsid w:val="001238B8"/>
    <w:rsid w:val="00123C24"/>
    <w:rsid w:val="001241F0"/>
    <w:rsid w:val="00124AAB"/>
    <w:rsid w:val="001259A2"/>
    <w:rsid w:val="0012628E"/>
    <w:rsid w:val="00126FB5"/>
    <w:rsid w:val="00127C1C"/>
    <w:rsid w:val="001301CF"/>
    <w:rsid w:val="00130423"/>
    <w:rsid w:val="00130432"/>
    <w:rsid w:val="00131620"/>
    <w:rsid w:val="00133475"/>
    <w:rsid w:val="001339CA"/>
    <w:rsid w:val="00133D17"/>
    <w:rsid w:val="00134381"/>
    <w:rsid w:val="00134977"/>
    <w:rsid w:val="00134D17"/>
    <w:rsid w:val="001365AE"/>
    <w:rsid w:val="001372AA"/>
    <w:rsid w:val="00140AB4"/>
    <w:rsid w:val="00142613"/>
    <w:rsid w:val="00142E73"/>
    <w:rsid w:val="00143DC7"/>
    <w:rsid w:val="00143EC3"/>
    <w:rsid w:val="0014752F"/>
    <w:rsid w:val="00147DB1"/>
    <w:rsid w:val="00147EF4"/>
    <w:rsid w:val="001524D7"/>
    <w:rsid w:val="00153767"/>
    <w:rsid w:val="00154C0F"/>
    <w:rsid w:val="00154E6F"/>
    <w:rsid w:val="00157673"/>
    <w:rsid w:val="0016009B"/>
    <w:rsid w:val="0016092F"/>
    <w:rsid w:val="00160980"/>
    <w:rsid w:val="001658A7"/>
    <w:rsid w:val="00170FAA"/>
    <w:rsid w:val="001711C3"/>
    <w:rsid w:val="00171300"/>
    <w:rsid w:val="001740A1"/>
    <w:rsid w:val="00174FB3"/>
    <w:rsid w:val="00175C63"/>
    <w:rsid w:val="0017643A"/>
    <w:rsid w:val="0017647A"/>
    <w:rsid w:val="001775A5"/>
    <w:rsid w:val="00177BFF"/>
    <w:rsid w:val="00180E62"/>
    <w:rsid w:val="001820D5"/>
    <w:rsid w:val="001835D0"/>
    <w:rsid w:val="00183BB5"/>
    <w:rsid w:val="00186355"/>
    <w:rsid w:val="00187BA6"/>
    <w:rsid w:val="001909CF"/>
    <w:rsid w:val="00191690"/>
    <w:rsid w:val="00191E86"/>
    <w:rsid w:val="00192C7B"/>
    <w:rsid w:val="00193270"/>
    <w:rsid w:val="00193D80"/>
    <w:rsid w:val="00195804"/>
    <w:rsid w:val="00196155"/>
    <w:rsid w:val="001962CD"/>
    <w:rsid w:val="00196D50"/>
    <w:rsid w:val="001A0486"/>
    <w:rsid w:val="001A0E5D"/>
    <w:rsid w:val="001A11E9"/>
    <w:rsid w:val="001A2430"/>
    <w:rsid w:val="001A256B"/>
    <w:rsid w:val="001A29B9"/>
    <w:rsid w:val="001A2ADD"/>
    <w:rsid w:val="001A491F"/>
    <w:rsid w:val="001A4F32"/>
    <w:rsid w:val="001A5246"/>
    <w:rsid w:val="001A59FA"/>
    <w:rsid w:val="001A5C61"/>
    <w:rsid w:val="001A6789"/>
    <w:rsid w:val="001A6D70"/>
    <w:rsid w:val="001A7589"/>
    <w:rsid w:val="001A79DE"/>
    <w:rsid w:val="001A7BA2"/>
    <w:rsid w:val="001B10C9"/>
    <w:rsid w:val="001B3C7D"/>
    <w:rsid w:val="001B4878"/>
    <w:rsid w:val="001B5112"/>
    <w:rsid w:val="001B515B"/>
    <w:rsid w:val="001C0547"/>
    <w:rsid w:val="001C079B"/>
    <w:rsid w:val="001C4049"/>
    <w:rsid w:val="001C4073"/>
    <w:rsid w:val="001C437F"/>
    <w:rsid w:val="001C4A9F"/>
    <w:rsid w:val="001C51B2"/>
    <w:rsid w:val="001C5F30"/>
    <w:rsid w:val="001C6106"/>
    <w:rsid w:val="001C612E"/>
    <w:rsid w:val="001C6611"/>
    <w:rsid w:val="001C6EDD"/>
    <w:rsid w:val="001C7390"/>
    <w:rsid w:val="001C7B1D"/>
    <w:rsid w:val="001D034B"/>
    <w:rsid w:val="001D142A"/>
    <w:rsid w:val="001D2243"/>
    <w:rsid w:val="001D2D0F"/>
    <w:rsid w:val="001D338D"/>
    <w:rsid w:val="001D4A5F"/>
    <w:rsid w:val="001D4B5B"/>
    <w:rsid w:val="001D72BD"/>
    <w:rsid w:val="001D7B5B"/>
    <w:rsid w:val="001E0140"/>
    <w:rsid w:val="001E0647"/>
    <w:rsid w:val="001E21DA"/>
    <w:rsid w:val="001E2FCD"/>
    <w:rsid w:val="001E410D"/>
    <w:rsid w:val="001F0E95"/>
    <w:rsid w:val="001F1DF1"/>
    <w:rsid w:val="001F2E76"/>
    <w:rsid w:val="001F353F"/>
    <w:rsid w:val="001F41FC"/>
    <w:rsid w:val="001F4F58"/>
    <w:rsid w:val="001F54ED"/>
    <w:rsid w:val="001F5A04"/>
    <w:rsid w:val="001F5E11"/>
    <w:rsid w:val="001F6786"/>
    <w:rsid w:val="001F773A"/>
    <w:rsid w:val="00200350"/>
    <w:rsid w:val="0020127F"/>
    <w:rsid w:val="00202215"/>
    <w:rsid w:val="00202352"/>
    <w:rsid w:val="0020279F"/>
    <w:rsid w:val="00202D39"/>
    <w:rsid w:val="002048F3"/>
    <w:rsid w:val="002066B4"/>
    <w:rsid w:val="002070B2"/>
    <w:rsid w:val="002071E0"/>
    <w:rsid w:val="002100E0"/>
    <w:rsid w:val="00212E29"/>
    <w:rsid w:val="002136D7"/>
    <w:rsid w:val="00216597"/>
    <w:rsid w:val="00216D47"/>
    <w:rsid w:val="00217636"/>
    <w:rsid w:val="0021795F"/>
    <w:rsid w:val="002179C5"/>
    <w:rsid w:val="00220002"/>
    <w:rsid w:val="00220124"/>
    <w:rsid w:val="00223EE0"/>
    <w:rsid w:val="00224EC6"/>
    <w:rsid w:val="00226A62"/>
    <w:rsid w:val="00227559"/>
    <w:rsid w:val="00227CC7"/>
    <w:rsid w:val="00230016"/>
    <w:rsid w:val="00231693"/>
    <w:rsid w:val="00231C6E"/>
    <w:rsid w:val="00232260"/>
    <w:rsid w:val="00234A38"/>
    <w:rsid w:val="00235907"/>
    <w:rsid w:val="002359AB"/>
    <w:rsid w:val="00235F91"/>
    <w:rsid w:val="00236A55"/>
    <w:rsid w:val="00236DF8"/>
    <w:rsid w:val="00237DBC"/>
    <w:rsid w:val="00240753"/>
    <w:rsid w:val="00240D16"/>
    <w:rsid w:val="00241B50"/>
    <w:rsid w:val="00243F4D"/>
    <w:rsid w:val="00244764"/>
    <w:rsid w:val="002461E7"/>
    <w:rsid w:val="00246A3A"/>
    <w:rsid w:val="0025030A"/>
    <w:rsid w:val="00251303"/>
    <w:rsid w:val="00252BE9"/>
    <w:rsid w:val="00252CDB"/>
    <w:rsid w:val="00253D10"/>
    <w:rsid w:val="002548E8"/>
    <w:rsid w:val="00254968"/>
    <w:rsid w:val="002550A7"/>
    <w:rsid w:val="00255E89"/>
    <w:rsid w:val="00260613"/>
    <w:rsid w:val="002609F6"/>
    <w:rsid w:val="0026146C"/>
    <w:rsid w:val="0026247A"/>
    <w:rsid w:val="002626AF"/>
    <w:rsid w:val="002627C1"/>
    <w:rsid w:val="00263313"/>
    <w:rsid w:val="0026344C"/>
    <w:rsid w:val="00263B86"/>
    <w:rsid w:val="00263F4F"/>
    <w:rsid w:val="00263FEB"/>
    <w:rsid w:val="002658DA"/>
    <w:rsid w:val="00265EC5"/>
    <w:rsid w:val="002700C1"/>
    <w:rsid w:val="00270529"/>
    <w:rsid w:val="00270F6C"/>
    <w:rsid w:val="00271B72"/>
    <w:rsid w:val="00271C1A"/>
    <w:rsid w:val="00272E93"/>
    <w:rsid w:val="00274458"/>
    <w:rsid w:val="00275395"/>
    <w:rsid w:val="00276695"/>
    <w:rsid w:val="00276F04"/>
    <w:rsid w:val="00280826"/>
    <w:rsid w:val="00280BB7"/>
    <w:rsid w:val="00281C34"/>
    <w:rsid w:val="0028260F"/>
    <w:rsid w:val="0028387B"/>
    <w:rsid w:val="00285830"/>
    <w:rsid w:val="00286E86"/>
    <w:rsid w:val="00287800"/>
    <w:rsid w:val="002878FB"/>
    <w:rsid w:val="002916B9"/>
    <w:rsid w:val="0029199E"/>
    <w:rsid w:val="002919B9"/>
    <w:rsid w:val="00292157"/>
    <w:rsid w:val="00292348"/>
    <w:rsid w:val="0029286C"/>
    <w:rsid w:val="00292FB8"/>
    <w:rsid w:val="00293376"/>
    <w:rsid w:val="00293572"/>
    <w:rsid w:val="00294C98"/>
    <w:rsid w:val="00295578"/>
    <w:rsid w:val="00295AED"/>
    <w:rsid w:val="00295BC3"/>
    <w:rsid w:val="002963E4"/>
    <w:rsid w:val="002969DA"/>
    <w:rsid w:val="00296A07"/>
    <w:rsid w:val="00296BFD"/>
    <w:rsid w:val="00296E7B"/>
    <w:rsid w:val="00297458"/>
    <w:rsid w:val="002A1344"/>
    <w:rsid w:val="002A158B"/>
    <w:rsid w:val="002A18AC"/>
    <w:rsid w:val="002A2538"/>
    <w:rsid w:val="002A4638"/>
    <w:rsid w:val="002A4916"/>
    <w:rsid w:val="002A4B71"/>
    <w:rsid w:val="002A72C1"/>
    <w:rsid w:val="002B1714"/>
    <w:rsid w:val="002B1B50"/>
    <w:rsid w:val="002B336E"/>
    <w:rsid w:val="002B346F"/>
    <w:rsid w:val="002B52F7"/>
    <w:rsid w:val="002B65C3"/>
    <w:rsid w:val="002B6A9B"/>
    <w:rsid w:val="002B77DA"/>
    <w:rsid w:val="002C185A"/>
    <w:rsid w:val="002C1CBC"/>
    <w:rsid w:val="002C1CFF"/>
    <w:rsid w:val="002C2314"/>
    <w:rsid w:val="002C4160"/>
    <w:rsid w:val="002C5B0C"/>
    <w:rsid w:val="002C6400"/>
    <w:rsid w:val="002C7D96"/>
    <w:rsid w:val="002D09FD"/>
    <w:rsid w:val="002D1417"/>
    <w:rsid w:val="002D2D64"/>
    <w:rsid w:val="002D3518"/>
    <w:rsid w:val="002D5EAE"/>
    <w:rsid w:val="002D677D"/>
    <w:rsid w:val="002D7307"/>
    <w:rsid w:val="002E11B8"/>
    <w:rsid w:val="002E13F7"/>
    <w:rsid w:val="002E31E9"/>
    <w:rsid w:val="002E4C3D"/>
    <w:rsid w:val="002E55AB"/>
    <w:rsid w:val="002E6581"/>
    <w:rsid w:val="002E6B39"/>
    <w:rsid w:val="002F1F9D"/>
    <w:rsid w:val="002F1FD5"/>
    <w:rsid w:val="002F248D"/>
    <w:rsid w:val="002F30CF"/>
    <w:rsid w:val="002F3762"/>
    <w:rsid w:val="002F3A1F"/>
    <w:rsid w:val="002F3A6F"/>
    <w:rsid w:val="002F45C8"/>
    <w:rsid w:val="002F5D9C"/>
    <w:rsid w:val="002F6367"/>
    <w:rsid w:val="002F727B"/>
    <w:rsid w:val="002F75CC"/>
    <w:rsid w:val="00302202"/>
    <w:rsid w:val="0030247D"/>
    <w:rsid w:val="00302A2F"/>
    <w:rsid w:val="00303663"/>
    <w:rsid w:val="00303D8F"/>
    <w:rsid w:val="00304263"/>
    <w:rsid w:val="0030504D"/>
    <w:rsid w:val="003063EF"/>
    <w:rsid w:val="0030648F"/>
    <w:rsid w:val="003101F4"/>
    <w:rsid w:val="00310684"/>
    <w:rsid w:val="00310E44"/>
    <w:rsid w:val="00310EDE"/>
    <w:rsid w:val="003125AC"/>
    <w:rsid w:val="003132C8"/>
    <w:rsid w:val="00314D74"/>
    <w:rsid w:val="00314DAA"/>
    <w:rsid w:val="0031528D"/>
    <w:rsid w:val="00315AE9"/>
    <w:rsid w:val="003160CD"/>
    <w:rsid w:val="00316F82"/>
    <w:rsid w:val="0032021F"/>
    <w:rsid w:val="0032073F"/>
    <w:rsid w:val="003207B7"/>
    <w:rsid w:val="00320D4B"/>
    <w:rsid w:val="00322628"/>
    <w:rsid w:val="003227B2"/>
    <w:rsid w:val="00322E6B"/>
    <w:rsid w:val="0032322C"/>
    <w:rsid w:val="00323BD1"/>
    <w:rsid w:val="00323EF3"/>
    <w:rsid w:val="003244B0"/>
    <w:rsid w:val="003244D7"/>
    <w:rsid w:val="00324814"/>
    <w:rsid w:val="003252C1"/>
    <w:rsid w:val="00325486"/>
    <w:rsid w:val="00325C56"/>
    <w:rsid w:val="00325CF9"/>
    <w:rsid w:val="00326784"/>
    <w:rsid w:val="00327AEA"/>
    <w:rsid w:val="0033023E"/>
    <w:rsid w:val="00330CB1"/>
    <w:rsid w:val="003311C5"/>
    <w:rsid w:val="00331689"/>
    <w:rsid w:val="00332562"/>
    <w:rsid w:val="00332933"/>
    <w:rsid w:val="00332EE3"/>
    <w:rsid w:val="00333576"/>
    <w:rsid w:val="003337B3"/>
    <w:rsid w:val="00334749"/>
    <w:rsid w:val="003353CF"/>
    <w:rsid w:val="00337D2F"/>
    <w:rsid w:val="00337E90"/>
    <w:rsid w:val="00337E9D"/>
    <w:rsid w:val="00341A71"/>
    <w:rsid w:val="003442EF"/>
    <w:rsid w:val="00344A6D"/>
    <w:rsid w:val="00344E86"/>
    <w:rsid w:val="0034535B"/>
    <w:rsid w:val="00345844"/>
    <w:rsid w:val="003460EF"/>
    <w:rsid w:val="00347287"/>
    <w:rsid w:val="00347396"/>
    <w:rsid w:val="00347820"/>
    <w:rsid w:val="00347890"/>
    <w:rsid w:val="003502E1"/>
    <w:rsid w:val="00350ABA"/>
    <w:rsid w:val="00350C06"/>
    <w:rsid w:val="00350E07"/>
    <w:rsid w:val="00351DB3"/>
    <w:rsid w:val="0035276F"/>
    <w:rsid w:val="00352935"/>
    <w:rsid w:val="00352D25"/>
    <w:rsid w:val="00353D52"/>
    <w:rsid w:val="00353F18"/>
    <w:rsid w:val="0035434B"/>
    <w:rsid w:val="00354790"/>
    <w:rsid w:val="003550E0"/>
    <w:rsid w:val="00355918"/>
    <w:rsid w:val="00355973"/>
    <w:rsid w:val="00356B96"/>
    <w:rsid w:val="00357BE0"/>
    <w:rsid w:val="00360D29"/>
    <w:rsid w:val="00361618"/>
    <w:rsid w:val="00362A1D"/>
    <w:rsid w:val="003640F7"/>
    <w:rsid w:val="00364A31"/>
    <w:rsid w:val="00364B37"/>
    <w:rsid w:val="00364C5F"/>
    <w:rsid w:val="00365626"/>
    <w:rsid w:val="003657B8"/>
    <w:rsid w:val="00365BB0"/>
    <w:rsid w:val="00365F60"/>
    <w:rsid w:val="00366016"/>
    <w:rsid w:val="003666AF"/>
    <w:rsid w:val="00366938"/>
    <w:rsid w:val="003700CF"/>
    <w:rsid w:val="003707B6"/>
    <w:rsid w:val="00371FF9"/>
    <w:rsid w:val="00373C56"/>
    <w:rsid w:val="00374529"/>
    <w:rsid w:val="003745E7"/>
    <w:rsid w:val="003753EA"/>
    <w:rsid w:val="00375E14"/>
    <w:rsid w:val="003774F7"/>
    <w:rsid w:val="00381876"/>
    <w:rsid w:val="00381A2E"/>
    <w:rsid w:val="00382045"/>
    <w:rsid w:val="00382D5D"/>
    <w:rsid w:val="00383ED3"/>
    <w:rsid w:val="0038416E"/>
    <w:rsid w:val="0038479B"/>
    <w:rsid w:val="003849B8"/>
    <w:rsid w:val="00387CE7"/>
    <w:rsid w:val="00391C35"/>
    <w:rsid w:val="00394626"/>
    <w:rsid w:val="00394E17"/>
    <w:rsid w:val="00395654"/>
    <w:rsid w:val="003966A9"/>
    <w:rsid w:val="00396B18"/>
    <w:rsid w:val="00396B2F"/>
    <w:rsid w:val="003A0D43"/>
    <w:rsid w:val="003A17EC"/>
    <w:rsid w:val="003A1935"/>
    <w:rsid w:val="003A1B0E"/>
    <w:rsid w:val="003A21AC"/>
    <w:rsid w:val="003A27EA"/>
    <w:rsid w:val="003A321A"/>
    <w:rsid w:val="003A3F1C"/>
    <w:rsid w:val="003A42AF"/>
    <w:rsid w:val="003A5884"/>
    <w:rsid w:val="003A6021"/>
    <w:rsid w:val="003A60C0"/>
    <w:rsid w:val="003A7289"/>
    <w:rsid w:val="003B0457"/>
    <w:rsid w:val="003B09B6"/>
    <w:rsid w:val="003B0C06"/>
    <w:rsid w:val="003B0F4F"/>
    <w:rsid w:val="003B2CF1"/>
    <w:rsid w:val="003B32F2"/>
    <w:rsid w:val="003B3501"/>
    <w:rsid w:val="003B39B1"/>
    <w:rsid w:val="003B3DB7"/>
    <w:rsid w:val="003B4B47"/>
    <w:rsid w:val="003B4BCC"/>
    <w:rsid w:val="003B74E0"/>
    <w:rsid w:val="003C110C"/>
    <w:rsid w:val="003C149A"/>
    <w:rsid w:val="003C1529"/>
    <w:rsid w:val="003C27C1"/>
    <w:rsid w:val="003C295E"/>
    <w:rsid w:val="003C2A81"/>
    <w:rsid w:val="003C2A84"/>
    <w:rsid w:val="003C4016"/>
    <w:rsid w:val="003C4C48"/>
    <w:rsid w:val="003C514D"/>
    <w:rsid w:val="003C57A0"/>
    <w:rsid w:val="003C5C36"/>
    <w:rsid w:val="003C6B5F"/>
    <w:rsid w:val="003D07F2"/>
    <w:rsid w:val="003D0F27"/>
    <w:rsid w:val="003D188C"/>
    <w:rsid w:val="003D428A"/>
    <w:rsid w:val="003D60DD"/>
    <w:rsid w:val="003D6B89"/>
    <w:rsid w:val="003D72D7"/>
    <w:rsid w:val="003D73CE"/>
    <w:rsid w:val="003D75C3"/>
    <w:rsid w:val="003D77B5"/>
    <w:rsid w:val="003E0127"/>
    <w:rsid w:val="003E02F5"/>
    <w:rsid w:val="003E0567"/>
    <w:rsid w:val="003E2539"/>
    <w:rsid w:val="003E3D3B"/>
    <w:rsid w:val="003E3F27"/>
    <w:rsid w:val="003E535E"/>
    <w:rsid w:val="003E5372"/>
    <w:rsid w:val="003E694B"/>
    <w:rsid w:val="003E7149"/>
    <w:rsid w:val="003F2864"/>
    <w:rsid w:val="003F301E"/>
    <w:rsid w:val="003F4233"/>
    <w:rsid w:val="003F5B47"/>
    <w:rsid w:val="003F631E"/>
    <w:rsid w:val="003F68F0"/>
    <w:rsid w:val="003F751D"/>
    <w:rsid w:val="00400124"/>
    <w:rsid w:val="004025D5"/>
    <w:rsid w:val="004026EB"/>
    <w:rsid w:val="00402A6E"/>
    <w:rsid w:val="00402FC0"/>
    <w:rsid w:val="0040341A"/>
    <w:rsid w:val="004035AD"/>
    <w:rsid w:val="00406572"/>
    <w:rsid w:val="00407744"/>
    <w:rsid w:val="00407936"/>
    <w:rsid w:val="00410A5E"/>
    <w:rsid w:val="00412E79"/>
    <w:rsid w:val="004133BF"/>
    <w:rsid w:val="00413628"/>
    <w:rsid w:val="00414854"/>
    <w:rsid w:val="00416563"/>
    <w:rsid w:val="00416613"/>
    <w:rsid w:val="004176A3"/>
    <w:rsid w:val="00422B03"/>
    <w:rsid w:val="00423B20"/>
    <w:rsid w:val="0042407C"/>
    <w:rsid w:val="00424BA5"/>
    <w:rsid w:val="00426CAF"/>
    <w:rsid w:val="00427A21"/>
    <w:rsid w:val="00427F89"/>
    <w:rsid w:val="0043196D"/>
    <w:rsid w:val="00431EB4"/>
    <w:rsid w:val="004320AC"/>
    <w:rsid w:val="00432AD4"/>
    <w:rsid w:val="00432BFC"/>
    <w:rsid w:val="004346B8"/>
    <w:rsid w:val="004361D8"/>
    <w:rsid w:val="004377F8"/>
    <w:rsid w:val="00437974"/>
    <w:rsid w:val="0044094F"/>
    <w:rsid w:val="00441840"/>
    <w:rsid w:val="0044356F"/>
    <w:rsid w:val="004438F7"/>
    <w:rsid w:val="00445248"/>
    <w:rsid w:val="004462D5"/>
    <w:rsid w:val="004477EB"/>
    <w:rsid w:val="00447C69"/>
    <w:rsid w:val="00447C9D"/>
    <w:rsid w:val="00453E04"/>
    <w:rsid w:val="004543F5"/>
    <w:rsid w:val="00454D50"/>
    <w:rsid w:val="004561FC"/>
    <w:rsid w:val="004565A1"/>
    <w:rsid w:val="00456774"/>
    <w:rsid w:val="0045734C"/>
    <w:rsid w:val="00457CAF"/>
    <w:rsid w:val="00457FAF"/>
    <w:rsid w:val="004603F9"/>
    <w:rsid w:val="004605B7"/>
    <w:rsid w:val="00460BA0"/>
    <w:rsid w:val="00461E85"/>
    <w:rsid w:val="00462AA7"/>
    <w:rsid w:val="0046331D"/>
    <w:rsid w:val="00464872"/>
    <w:rsid w:val="00465303"/>
    <w:rsid w:val="00466109"/>
    <w:rsid w:val="004666E0"/>
    <w:rsid w:val="004703FA"/>
    <w:rsid w:val="00470A72"/>
    <w:rsid w:val="0047163E"/>
    <w:rsid w:val="00471643"/>
    <w:rsid w:val="00472F06"/>
    <w:rsid w:val="0047443E"/>
    <w:rsid w:val="00474CDF"/>
    <w:rsid w:val="004755E7"/>
    <w:rsid w:val="004764E9"/>
    <w:rsid w:val="00477D95"/>
    <w:rsid w:val="004819D0"/>
    <w:rsid w:val="00482AF8"/>
    <w:rsid w:val="004841AE"/>
    <w:rsid w:val="00484816"/>
    <w:rsid w:val="00486652"/>
    <w:rsid w:val="0048672E"/>
    <w:rsid w:val="00486E65"/>
    <w:rsid w:val="00487888"/>
    <w:rsid w:val="00487EB9"/>
    <w:rsid w:val="0049025A"/>
    <w:rsid w:val="00491091"/>
    <w:rsid w:val="004910B9"/>
    <w:rsid w:val="0049240E"/>
    <w:rsid w:val="0049479C"/>
    <w:rsid w:val="004948D0"/>
    <w:rsid w:val="004958EF"/>
    <w:rsid w:val="0049599D"/>
    <w:rsid w:val="00495E3E"/>
    <w:rsid w:val="004968BA"/>
    <w:rsid w:val="00497491"/>
    <w:rsid w:val="004978E1"/>
    <w:rsid w:val="00497B08"/>
    <w:rsid w:val="00497E4A"/>
    <w:rsid w:val="004A03B1"/>
    <w:rsid w:val="004A1537"/>
    <w:rsid w:val="004A1C2B"/>
    <w:rsid w:val="004A2B01"/>
    <w:rsid w:val="004A2DB3"/>
    <w:rsid w:val="004A3627"/>
    <w:rsid w:val="004A3961"/>
    <w:rsid w:val="004A3A5F"/>
    <w:rsid w:val="004A6194"/>
    <w:rsid w:val="004A6348"/>
    <w:rsid w:val="004A652D"/>
    <w:rsid w:val="004A7B98"/>
    <w:rsid w:val="004A7C96"/>
    <w:rsid w:val="004B1B7D"/>
    <w:rsid w:val="004B1C00"/>
    <w:rsid w:val="004B2051"/>
    <w:rsid w:val="004B32CD"/>
    <w:rsid w:val="004B3970"/>
    <w:rsid w:val="004B3C0D"/>
    <w:rsid w:val="004B45BB"/>
    <w:rsid w:val="004B5B4B"/>
    <w:rsid w:val="004B675B"/>
    <w:rsid w:val="004C069F"/>
    <w:rsid w:val="004C07AB"/>
    <w:rsid w:val="004C09E7"/>
    <w:rsid w:val="004C3346"/>
    <w:rsid w:val="004C387D"/>
    <w:rsid w:val="004C3E7A"/>
    <w:rsid w:val="004C4ACB"/>
    <w:rsid w:val="004C4AD0"/>
    <w:rsid w:val="004C55D6"/>
    <w:rsid w:val="004C5B43"/>
    <w:rsid w:val="004C62B0"/>
    <w:rsid w:val="004C69D6"/>
    <w:rsid w:val="004C6F97"/>
    <w:rsid w:val="004D00EB"/>
    <w:rsid w:val="004D219C"/>
    <w:rsid w:val="004D3AE5"/>
    <w:rsid w:val="004D3E27"/>
    <w:rsid w:val="004D4B34"/>
    <w:rsid w:val="004D6941"/>
    <w:rsid w:val="004D79EC"/>
    <w:rsid w:val="004E029F"/>
    <w:rsid w:val="004E02A1"/>
    <w:rsid w:val="004E13D6"/>
    <w:rsid w:val="004E2774"/>
    <w:rsid w:val="004E30CF"/>
    <w:rsid w:val="004E388C"/>
    <w:rsid w:val="004E3F09"/>
    <w:rsid w:val="004E4116"/>
    <w:rsid w:val="004E42E9"/>
    <w:rsid w:val="004E46CF"/>
    <w:rsid w:val="004E493D"/>
    <w:rsid w:val="004E4F72"/>
    <w:rsid w:val="004E69A2"/>
    <w:rsid w:val="004E6C02"/>
    <w:rsid w:val="004E7C1B"/>
    <w:rsid w:val="004F0E32"/>
    <w:rsid w:val="004F388A"/>
    <w:rsid w:val="004F4B4A"/>
    <w:rsid w:val="004F4F7E"/>
    <w:rsid w:val="004F5319"/>
    <w:rsid w:val="004F57A2"/>
    <w:rsid w:val="004F650D"/>
    <w:rsid w:val="004F69B0"/>
    <w:rsid w:val="00500021"/>
    <w:rsid w:val="00500091"/>
    <w:rsid w:val="00500DB3"/>
    <w:rsid w:val="00501E79"/>
    <w:rsid w:val="005060A3"/>
    <w:rsid w:val="0051040B"/>
    <w:rsid w:val="00510A4D"/>
    <w:rsid w:val="0051251B"/>
    <w:rsid w:val="00514426"/>
    <w:rsid w:val="0051483A"/>
    <w:rsid w:val="00514D05"/>
    <w:rsid w:val="005152C9"/>
    <w:rsid w:val="0051552C"/>
    <w:rsid w:val="005156BD"/>
    <w:rsid w:val="0051664B"/>
    <w:rsid w:val="00516871"/>
    <w:rsid w:val="005205ED"/>
    <w:rsid w:val="00520890"/>
    <w:rsid w:val="00520E62"/>
    <w:rsid w:val="00520FAC"/>
    <w:rsid w:val="005232AD"/>
    <w:rsid w:val="00523901"/>
    <w:rsid w:val="00523B47"/>
    <w:rsid w:val="00524091"/>
    <w:rsid w:val="0052580C"/>
    <w:rsid w:val="005259FB"/>
    <w:rsid w:val="00525E93"/>
    <w:rsid w:val="00526F7B"/>
    <w:rsid w:val="00527B1D"/>
    <w:rsid w:val="00527E4B"/>
    <w:rsid w:val="0053265E"/>
    <w:rsid w:val="005328FE"/>
    <w:rsid w:val="00535104"/>
    <w:rsid w:val="00535884"/>
    <w:rsid w:val="00536986"/>
    <w:rsid w:val="00536C49"/>
    <w:rsid w:val="00537180"/>
    <w:rsid w:val="005416D1"/>
    <w:rsid w:val="0054253A"/>
    <w:rsid w:val="00543B5A"/>
    <w:rsid w:val="00544BF7"/>
    <w:rsid w:val="00545478"/>
    <w:rsid w:val="00547D09"/>
    <w:rsid w:val="005513B4"/>
    <w:rsid w:val="00552651"/>
    <w:rsid w:val="0055281E"/>
    <w:rsid w:val="00555176"/>
    <w:rsid w:val="005553DD"/>
    <w:rsid w:val="00556712"/>
    <w:rsid w:val="00557390"/>
    <w:rsid w:val="005610CB"/>
    <w:rsid w:val="0056146E"/>
    <w:rsid w:val="005615A7"/>
    <w:rsid w:val="00562322"/>
    <w:rsid w:val="00563FD0"/>
    <w:rsid w:val="00564367"/>
    <w:rsid w:val="005660C4"/>
    <w:rsid w:val="00570A17"/>
    <w:rsid w:val="005714EA"/>
    <w:rsid w:val="005718A4"/>
    <w:rsid w:val="005718E9"/>
    <w:rsid w:val="0057290F"/>
    <w:rsid w:val="00573E43"/>
    <w:rsid w:val="00574CF8"/>
    <w:rsid w:val="00574D69"/>
    <w:rsid w:val="00574D7C"/>
    <w:rsid w:val="00574EB2"/>
    <w:rsid w:val="0057589E"/>
    <w:rsid w:val="005762CE"/>
    <w:rsid w:val="0057647B"/>
    <w:rsid w:val="00577A89"/>
    <w:rsid w:val="00577D03"/>
    <w:rsid w:val="00580A5B"/>
    <w:rsid w:val="0058111A"/>
    <w:rsid w:val="00581215"/>
    <w:rsid w:val="00581677"/>
    <w:rsid w:val="00581886"/>
    <w:rsid w:val="005822F7"/>
    <w:rsid w:val="00582B61"/>
    <w:rsid w:val="0058364D"/>
    <w:rsid w:val="00583AA8"/>
    <w:rsid w:val="0058513A"/>
    <w:rsid w:val="00585325"/>
    <w:rsid w:val="005859F0"/>
    <w:rsid w:val="00585DE6"/>
    <w:rsid w:val="00585E3B"/>
    <w:rsid w:val="0059003D"/>
    <w:rsid w:val="005923CE"/>
    <w:rsid w:val="00592A84"/>
    <w:rsid w:val="00594032"/>
    <w:rsid w:val="005951D6"/>
    <w:rsid w:val="00595387"/>
    <w:rsid w:val="00596266"/>
    <w:rsid w:val="00596983"/>
    <w:rsid w:val="005A393A"/>
    <w:rsid w:val="005A5942"/>
    <w:rsid w:val="005B0DB7"/>
    <w:rsid w:val="005B1A55"/>
    <w:rsid w:val="005B30C2"/>
    <w:rsid w:val="005B36CE"/>
    <w:rsid w:val="005B5CAC"/>
    <w:rsid w:val="005B6122"/>
    <w:rsid w:val="005B640C"/>
    <w:rsid w:val="005B64FB"/>
    <w:rsid w:val="005B6EAA"/>
    <w:rsid w:val="005B6F83"/>
    <w:rsid w:val="005B71AD"/>
    <w:rsid w:val="005B7F56"/>
    <w:rsid w:val="005C105B"/>
    <w:rsid w:val="005C155E"/>
    <w:rsid w:val="005C1E8F"/>
    <w:rsid w:val="005C279C"/>
    <w:rsid w:val="005C2D7B"/>
    <w:rsid w:val="005C3786"/>
    <w:rsid w:val="005C4057"/>
    <w:rsid w:val="005C4E67"/>
    <w:rsid w:val="005C5D04"/>
    <w:rsid w:val="005C5DD5"/>
    <w:rsid w:val="005C607D"/>
    <w:rsid w:val="005C6861"/>
    <w:rsid w:val="005D03A7"/>
    <w:rsid w:val="005D0E5D"/>
    <w:rsid w:val="005D380C"/>
    <w:rsid w:val="005D3D3D"/>
    <w:rsid w:val="005D43BF"/>
    <w:rsid w:val="005D4B42"/>
    <w:rsid w:val="005D66B9"/>
    <w:rsid w:val="005D674B"/>
    <w:rsid w:val="005D77F7"/>
    <w:rsid w:val="005E09B7"/>
    <w:rsid w:val="005E3187"/>
    <w:rsid w:val="005E318A"/>
    <w:rsid w:val="005E34AB"/>
    <w:rsid w:val="005E3A69"/>
    <w:rsid w:val="005E464D"/>
    <w:rsid w:val="005E6FFB"/>
    <w:rsid w:val="005E7445"/>
    <w:rsid w:val="005E7E33"/>
    <w:rsid w:val="005F46A3"/>
    <w:rsid w:val="005F515F"/>
    <w:rsid w:val="005F58F8"/>
    <w:rsid w:val="005F6A3E"/>
    <w:rsid w:val="00601FD4"/>
    <w:rsid w:val="00602AA6"/>
    <w:rsid w:val="00603FED"/>
    <w:rsid w:val="0060470A"/>
    <w:rsid w:val="0060600D"/>
    <w:rsid w:val="00606B4D"/>
    <w:rsid w:val="00606D1D"/>
    <w:rsid w:val="00607A14"/>
    <w:rsid w:val="00607CED"/>
    <w:rsid w:val="006109C1"/>
    <w:rsid w:val="00611A6B"/>
    <w:rsid w:val="00612458"/>
    <w:rsid w:val="00612DB9"/>
    <w:rsid w:val="0061416B"/>
    <w:rsid w:val="006167A5"/>
    <w:rsid w:val="00616B3A"/>
    <w:rsid w:val="00616F63"/>
    <w:rsid w:val="00617F17"/>
    <w:rsid w:val="0062049A"/>
    <w:rsid w:val="006206F4"/>
    <w:rsid w:val="00620AA9"/>
    <w:rsid w:val="00625E21"/>
    <w:rsid w:val="00626459"/>
    <w:rsid w:val="00626936"/>
    <w:rsid w:val="00626D71"/>
    <w:rsid w:val="006274BD"/>
    <w:rsid w:val="0063131E"/>
    <w:rsid w:val="0063141A"/>
    <w:rsid w:val="00632439"/>
    <w:rsid w:val="006331CD"/>
    <w:rsid w:val="00633A8D"/>
    <w:rsid w:val="006342C6"/>
    <w:rsid w:val="00634DBA"/>
    <w:rsid w:val="006350C1"/>
    <w:rsid w:val="006351C4"/>
    <w:rsid w:val="00635FB5"/>
    <w:rsid w:val="006363C5"/>
    <w:rsid w:val="00636A8E"/>
    <w:rsid w:val="00636D7D"/>
    <w:rsid w:val="00640286"/>
    <w:rsid w:val="006402DE"/>
    <w:rsid w:val="006405B8"/>
    <w:rsid w:val="00641258"/>
    <w:rsid w:val="00643A71"/>
    <w:rsid w:val="00643BBA"/>
    <w:rsid w:val="00644146"/>
    <w:rsid w:val="00645451"/>
    <w:rsid w:val="0064687B"/>
    <w:rsid w:val="006501B3"/>
    <w:rsid w:val="0065030B"/>
    <w:rsid w:val="00650FF9"/>
    <w:rsid w:val="00651649"/>
    <w:rsid w:val="00651ED0"/>
    <w:rsid w:val="0065221B"/>
    <w:rsid w:val="00652C06"/>
    <w:rsid w:val="0065364E"/>
    <w:rsid w:val="006537F2"/>
    <w:rsid w:val="00653926"/>
    <w:rsid w:val="00654090"/>
    <w:rsid w:val="006540B3"/>
    <w:rsid w:val="006551FE"/>
    <w:rsid w:val="00655EF1"/>
    <w:rsid w:val="00656D0D"/>
    <w:rsid w:val="0065772D"/>
    <w:rsid w:val="00657CB1"/>
    <w:rsid w:val="00660C7A"/>
    <w:rsid w:val="00660E9B"/>
    <w:rsid w:val="00661C01"/>
    <w:rsid w:val="0066320F"/>
    <w:rsid w:val="00663DD4"/>
    <w:rsid w:val="00664302"/>
    <w:rsid w:val="00664DAD"/>
    <w:rsid w:val="00670FE8"/>
    <w:rsid w:val="00671937"/>
    <w:rsid w:val="00671C3D"/>
    <w:rsid w:val="00672E3B"/>
    <w:rsid w:val="00672FE2"/>
    <w:rsid w:val="00674677"/>
    <w:rsid w:val="006768B5"/>
    <w:rsid w:val="0067731E"/>
    <w:rsid w:val="006773E0"/>
    <w:rsid w:val="0068020D"/>
    <w:rsid w:val="00682773"/>
    <w:rsid w:val="00684527"/>
    <w:rsid w:val="0068550B"/>
    <w:rsid w:val="00685FBA"/>
    <w:rsid w:val="006860A4"/>
    <w:rsid w:val="006869CE"/>
    <w:rsid w:val="00687719"/>
    <w:rsid w:val="00690914"/>
    <w:rsid w:val="006915C1"/>
    <w:rsid w:val="006917B7"/>
    <w:rsid w:val="0069268C"/>
    <w:rsid w:val="00693BB9"/>
    <w:rsid w:val="00693BFC"/>
    <w:rsid w:val="00694017"/>
    <w:rsid w:val="0069499E"/>
    <w:rsid w:val="006952A6"/>
    <w:rsid w:val="00695B8B"/>
    <w:rsid w:val="00695CAB"/>
    <w:rsid w:val="0069652C"/>
    <w:rsid w:val="006966F3"/>
    <w:rsid w:val="006969D0"/>
    <w:rsid w:val="00696BCB"/>
    <w:rsid w:val="00697ED4"/>
    <w:rsid w:val="006A003C"/>
    <w:rsid w:val="006A01AC"/>
    <w:rsid w:val="006A0B47"/>
    <w:rsid w:val="006A1ACB"/>
    <w:rsid w:val="006A2727"/>
    <w:rsid w:val="006A3A3E"/>
    <w:rsid w:val="006A3A68"/>
    <w:rsid w:val="006A4BE8"/>
    <w:rsid w:val="006A4D75"/>
    <w:rsid w:val="006A575C"/>
    <w:rsid w:val="006A794E"/>
    <w:rsid w:val="006A7CBC"/>
    <w:rsid w:val="006B080D"/>
    <w:rsid w:val="006B09D3"/>
    <w:rsid w:val="006B223E"/>
    <w:rsid w:val="006B2AB8"/>
    <w:rsid w:val="006B4FA1"/>
    <w:rsid w:val="006B5071"/>
    <w:rsid w:val="006B5A62"/>
    <w:rsid w:val="006B7749"/>
    <w:rsid w:val="006C0150"/>
    <w:rsid w:val="006C15BF"/>
    <w:rsid w:val="006C1AD2"/>
    <w:rsid w:val="006C1ED7"/>
    <w:rsid w:val="006C234A"/>
    <w:rsid w:val="006C3293"/>
    <w:rsid w:val="006C3B02"/>
    <w:rsid w:val="006C4A63"/>
    <w:rsid w:val="006C4D51"/>
    <w:rsid w:val="006C4ECF"/>
    <w:rsid w:val="006C567D"/>
    <w:rsid w:val="006C5E17"/>
    <w:rsid w:val="006C6403"/>
    <w:rsid w:val="006C6883"/>
    <w:rsid w:val="006C7708"/>
    <w:rsid w:val="006C7B0A"/>
    <w:rsid w:val="006D0B3D"/>
    <w:rsid w:val="006D194A"/>
    <w:rsid w:val="006D1F02"/>
    <w:rsid w:val="006D7798"/>
    <w:rsid w:val="006E2169"/>
    <w:rsid w:val="006E2A77"/>
    <w:rsid w:val="006E3735"/>
    <w:rsid w:val="006E3B04"/>
    <w:rsid w:val="006E4DC7"/>
    <w:rsid w:val="006E52F3"/>
    <w:rsid w:val="006E632E"/>
    <w:rsid w:val="006E6B89"/>
    <w:rsid w:val="006E749E"/>
    <w:rsid w:val="006E784B"/>
    <w:rsid w:val="006F0011"/>
    <w:rsid w:val="006F0630"/>
    <w:rsid w:val="006F26B4"/>
    <w:rsid w:val="006F3158"/>
    <w:rsid w:val="00701DA3"/>
    <w:rsid w:val="007031EB"/>
    <w:rsid w:val="007051EF"/>
    <w:rsid w:val="007065F9"/>
    <w:rsid w:val="0071054F"/>
    <w:rsid w:val="00712CE3"/>
    <w:rsid w:val="007130EE"/>
    <w:rsid w:val="00713952"/>
    <w:rsid w:val="00714DD4"/>
    <w:rsid w:val="007150CE"/>
    <w:rsid w:val="007163FF"/>
    <w:rsid w:val="00716735"/>
    <w:rsid w:val="00716EA9"/>
    <w:rsid w:val="0072408A"/>
    <w:rsid w:val="0072412A"/>
    <w:rsid w:val="00724710"/>
    <w:rsid w:val="007248FB"/>
    <w:rsid w:val="0072528A"/>
    <w:rsid w:val="007258C1"/>
    <w:rsid w:val="00726A57"/>
    <w:rsid w:val="00726B83"/>
    <w:rsid w:val="00726D78"/>
    <w:rsid w:val="007270FC"/>
    <w:rsid w:val="007304C2"/>
    <w:rsid w:val="007305DD"/>
    <w:rsid w:val="00731D08"/>
    <w:rsid w:val="00732211"/>
    <w:rsid w:val="007323D7"/>
    <w:rsid w:val="007327D1"/>
    <w:rsid w:val="00733CA1"/>
    <w:rsid w:val="00737F92"/>
    <w:rsid w:val="00740798"/>
    <w:rsid w:val="0074187C"/>
    <w:rsid w:val="00744966"/>
    <w:rsid w:val="00744BBF"/>
    <w:rsid w:val="00745F39"/>
    <w:rsid w:val="00746764"/>
    <w:rsid w:val="0074730B"/>
    <w:rsid w:val="0074753D"/>
    <w:rsid w:val="00750213"/>
    <w:rsid w:val="00750710"/>
    <w:rsid w:val="007507CD"/>
    <w:rsid w:val="00751210"/>
    <w:rsid w:val="00752CB7"/>
    <w:rsid w:val="007536C0"/>
    <w:rsid w:val="00754440"/>
    <w:rsid w:val="00754A11"/>
    <w:rsid w:val="00755452"/>
    <w:rsid w:val="00755F4E"/>
    <w:rsid w:val="00756B7E"/>
    <w:rsid w:val="00757231"/>
    <w:rsid w:val="007636E4"/>
    <w:rsid w:val="00763AAF"/>
    <w:rsid w:val="00763B61"/>
    <w:rsid w:val="00764384"/>
    <w:rsid w:val="00764A06"/>
    <w:rsid w:val="007650E5"/>
    <w:rsid w:val="0076537F"/>
    <w:rsid w:val="007657E7"/>
    <w:rsid w:val="00766245"/>
    <w:rsid w:val="00766436"/>
    <w:rsid w:val="00766792"/>
    <w:rsid w:val="00766AF9"/>
    <w:rsid w:val="007705AA"/>
    <w:rsid w:val="00772FCA"/>
    <w:rsid w:val="00773F19"/>
    <w:rsid w:val="00774054"/>
    <w:rsid w:val="007744F8"/>
    <w:rsid w:val="007750AD"/>
    <w:rsid w:val="007752B3"/>
    <w:rsid w:val="0077632F"/>
    <w:rsid w:val="007765E0"/>
    <w:rsid w:val="0077715C"/>
    <w:rsid w:val="0078006C"/>
    <w:rsid w:val="007804C7"/>
    <w:rsid w:val="00782B2B"/>
    <w:rsid w:val="00782F7B"/>
    <w:rsid w:val="0078369E"/>
    <w:rsid w:val="00784AF3"/>
    <w:rsid w:val="007857F7"/>
    <w:rsid w:val="00790E40"/>
    <w:rsid w:val="0079243D"/>
    <w:rsid w:val="00792FBC"/>
    <w:rsid w:val="007932FE"/>
    <w:rsid w:val="00793F23"/>
    <w:rsid w:val="007943FF"/>
    <w:rsid w:val="007959D3"/>
    <w:rsid w:val="007972EB"/>
    <w:rsid w:val="007974A2"/>
    <w:rsid w:val="007975EC"/>
    <w:rsid w:val="007A01BF"/>
    <w:rsid w:val="007A161B"/>
    <w:rsid w:val="007A2984"/>
    <w:rsid w:val="007A4B7E"/>
    <w:rsid w:val="007A5026"/>
    <w:rsid w:val="007A5FD0"/>
    <w:rsid w:val="007A6681"/>
    <w:rsid w:val="007A66BA"/>
    <w:rsid w:val="007A709A"/>
    <w:rsid w:val="007A751B"/>
    <w:rsid w:val="007A7554"/>
    <w:rsid w:val="007B0547"/>
    <w:rsid w:val="007B0D37"/>
    <w:rsid w:val="007B0D3F"/>
    <w:rsid w:val="007B1359"/>
    <w:rsid w:val="007B24CE"/>
    <w:rsid w:val="007B471E"/>
    <w:rsid w:val="007B4E89"/>
    <w:rsid w:val="007C017E"/>
    <w:rsid w:val="007C027D"/>
    <w:rsid w:val="007C0706"/>
    <w:rsid w:val="007C221E"/>
    <w:rsid w:val="007C23FF"/>
    <w:rsid w:val="007C32FC"/>
    <w:rsid w:val="007C5BC1"/>
    <w:rsid w:val="007D0C4D"/>
    <w:rsid w:val="007D2D91"/>
    <w:rsid w:val="007D3EA3"/>
    <w:rsid w:val="007D4667"/>
    <w:rsid w:val="007D4DA2"/>
    <w:rsid w:val="007D625D"/>
    <w:rsid w:val="007E178F"/>
    <w:rsid w:val="007E19B8"/>
    <w:rsid w:val="007E25FB"/>
    <w:rsid w:val="007E430B"/>
    <w:rsid w:val="007E437E"/>
    <w:rsid w:val="007E4CF6"/>
    <w:rsid w:val="007E5EB3"/>
    <w:rsid w:val="007E6011"/>
    <w:rsid w:val="007E6F52"/>
    <w:rsid w:val="007F073C"/>
    <w:rsid w:val="007F099D"/>
    <w:rsid w:val="007F1C4B"/>
    <w:rsid w:val="007F1D71"/>
    <w:rsid w:val="007F2571"/>
    <w:rsid w:val="007F3913"/>
    <w:rsid w:val="007F3CED"/>
    <w:rsid w:val="007F411A"/>
    <w:rsid w:val="007F4665"/>
    <w:rsid w:val="007F46CB"/>
    <w:rsid w:val="007F4C61"/>
    <w:rsid w:val="007F712B"/>
    <w:rsid w:val="007F7AC8"/>
    <w:rsid w:val="007F7DF9"/>
    <w:rsid w:val="008010EF"/>
    <w:rsid w:val="0080240A"/>
    <w:rsid w:val="00803352"/>
    <w:rsid w:val="0080425B"/>
    <w:rsid w:val="00804814"/>
    <w:rsid w:val="00804AB6"/>
    <w:rsid w:val="00805EA3"/>
    <w:rsid w:val="00806406"/>
    <w:rsid w:val="0080696D"/>
    <w:rsid w:val="00806BAF"/>
    <w:rsid w:val="008077D4"/>
    <w:rsid w:val="008079BA"/>
    <w:rsid w:val="00807CC4"/>
    <w:rsid w:val="00811631"/>
    <w:rsid w:val="0081220B"/>
    <w:rsid w:val="008125C0"/>
    <w:rsid w:val="00812BFE"/>
    <w:rsid w:val="00814477"/>
    <w:rsid w:val="00814CE5"/>
    <w:rsid w:val="00815B1E"/>
    <w:rsid w:val="008167C0"/>
    <w:rsid w:val="00817349"/>
    <w:rsid w:val="008201EB"/>
    <w:rsid w:val="008209A2"/>
    <w:rsid w:val="008209AC"/>
    <w:rsid w:val="00821EFB"/>
    <w:rsid w:val="00821F54"/>
    <w:rsid w:val="0082343A"/>
    <w:rsid w:val="00824D95"/>
    <w:rsid w:val="0082516D"/>
    <w:rsid w:val="008265AF"/>
    <w:rsid w:val="008266CF"/>
    <w:rsid w:val="0082788B"/>
    <w:rsid w:val="00832D29"/>
    <w:rsid w:val="008334E0"/>
    <w:rsid w:val="008341E6"/>
    <w:rsid w:val="008343F5"/>
    <w:rsid w:val="00834C82"/>
    <w:rsid w:val="00835DDB"/>
    <w:rsid w:val="0083640B"/>
    <w:rsid w:val="00840728"/>
    <w:rsid w:val="00840A3E"/>
    <w:rsid w:val="008414DD"/>
    <w:rsid w:val="00843008"/>
    <w:rsid w:val="00843040"/>
    <w:rsid w:val="00843F61"/>
    <w:rsid w:val="00845ACF"/>
    <w:rsid w:val="00845B08"/>
    <w:rsid w:val="00846246"/>
    <w:rsid w:val="00846DF0"/>
    <w:rsid w:val="00846E0B"/>
    <w:rsid w:val="00850831"/>
    <w:rsid w:val="008514A6"/>
    <w:rsid w:val="0085185D"/>
    <w:rsid w:val="008529C6"/>
    <w:rsid w:val="00853364"/>
    <w:rsid w:val="00853556"/>
    <w:rsid w:val="00857629"/>
    <w:rsid w:val="00857A55"/>
    <w:rsid w:val="008605FE"/>
    <w:rsid w:val="008606B6"/>
    <w:rsid w:val="0086137C"/>
    <w:rsid w:val="00861ABA"/>
    <w:rsid w:val="00862AEF"/>
    <w:rsid w:val="008637A8"/>
    <w:rsid w:val="00864A2C"/>
    <w:rsid w:val="008656A5"/>
    <w:rsid w:val="0086696E"/>
    <w:rsid w:val="0086794B"/>
    <w:rsid w:val="00871DE4"/>
    <w:rsid w:val="00872C3C"/>
    <w:rsid w:val="0087327D"/>
    <w:rsid w:val="0087362E"/>
    <w:rsid w:val="00873D36"/>
    <w:rsid w:val="00874A62"/>
    <w:rsid w:val="00874DE3"/>
    <w:rsid w:val="0087598B"/>
    <w:rsid w:val="00875C12"/>
    <w:rsid w:val="00875F3C"/>
    <w:rsid w:val="008765AC"/>
    <w:rsid w:val="00880245"/>
    <w:rsid w:val="008821DE"/>
    <w:rsid w:val="00883456"/>
    <w:rsid w:val="008834E5"/>
    <w:rsid w:val="00883671"/>
    <w:rsid w:val="008850F4"/>
    <w:rsid w:val="00887957"/>
    <w:rsid w:val="00891F63"/>
    <w:rsid w:val="008949CF"/>
    <w:rsid w:val="00894DAC"/>
    <w:rsid w:val="00895B16"/>
    <w:rsid w:val="0089648E"/>
    <w:rsid w:val="00896B3B"/>
    <w:rsid w:val="00896D2F"/>
    <w:rsid w:val="008972CB"/>
    <w:rsid w:val="008A11A1"/>
    <w:rsid w:val="008A278E"/>
    <w:rsid w:val="008A2905"/>
    <w:rsid w:val="008A3295"/>
    <w:rsid w:val="008A3A41"/>
    <w:rsid w:val="008A6BD2"/>
    <w:rsid w:val="008A6FEF"/>
    <w:rsid w:val="008B1A0A"/>
    <w:rsid w:val="008B1EF6"/>
    <w:rsid w:val="008B3695"/>
    <w:rsid w:val="008B44F1"/>
    <w:rsid w:val="008B4B84"/>
    <w:rsid w:val="008B4FC1"/>
    <w:rsid w:val="008B58E1"/>
    <w:rsid w:val="008B7012"/>
    <w:rsid w:val="008B7EF7"/>
    <w:rsid w:val="008C144D"/>
    <w:rsid w:val="008C24B9"/>
    <w:rsid w:val="008C30BF"/>
    <w:rsid w:val="008C3B7B"/>
    <w:rsid w:val="008C4B28"/>
    <w:rsid w:val="008C56E4"/>
    <w:rsid w:val="008C5B75"/>
    <w:rsid w:val="008C5D1D"/>
    <w:rsid w:val="008C70DE"/>
    <w:rsid w:val="008C763A"/>
    <w:rsid w:val="008C79A8"/>
    <w:rsid w:val="008C7E0B"/>
    <w:rsid w:val="008D12D1"/>
    <w:rsid w:val="008D2BCE"/>
    <w:rsid w:val="008D3968"/>
    <w:rsid w:val="008D39BF"/>
    <w:rsid w:val="008D427A"/>
    <w:rsid w:val="008D42AA"/>
    <w:rsid w:val="008D4CBB"/>
    <w:rsid w:val="008D54D1"/>
    <w:rsid w:val="008D6E7B"/>
    <w:rsid w:val="008D7613"/>
    <w:rsid w:val="008E187A"/>
    <w:rsid w:val="008E4038"/>
    <w:rsid w:val="008E4A73"/>
    <w:rsid w:val="008E6696"/>
    <w:rsid w:val="008E78DF"/>
    <w:rsid w:val="008F03B0"/>
    <w:rsid w:val="008F0AC3"/>
    <w:rsid w:val="008F2302"/>
    <w:rsid w:val="008F2372"/>
    <w:rsid w:val="008F4E5D"/>
    <w:rsid w:val="008F4E63"/>
    <w:rsid w:val="008F5BB7"/>
    <w:rsid w:val="008F6819"/>
    <w:rsid w:val="008F684B"/>
    <w:rsid w:val="008F68AF"/>
    <w:rsid w:val="008F6FA6"/>
    <w:rsid w:val="008F7128"/>
    <w:rsid w:val="0090166D"/>
    <w:rsid w:val="009018A8"/>
    <w:rsid w:val="00903257"/>
    <w:rsid w:val="009064D9"/>
    <w:rsid w:val="009068CA"/>
    <w:rsid w:val="009068FA"/>
    <w:rsid w:val="0090779E"/>
    <w:rsid w:val="00907FF2"/>
    <w:rsid w:val="00910163"/>
    <w:rsid w:val="00911196"/>
    <w:rsid w:val="00911737"/>
    <w:rsid w:val="00913902"/>
    <w:rsid w:val="00914165"/>
    <w:rsid w:val="00916BC9"/>
    <w:rsid w:val="00916DDE"/>
    <w:rsid w:val="00917A6A"/>
    <w:rsid w:val="00920253"/>
    <w:rsid w:val="0092311A"/>
    <w:rsid w:val="009234BC"/>
    <w:rsid w:val="009241FD"/>
    <w:rsid w:val="00924B29"/>
    <w:rsid w:val="00925EB7"/>
    <w:rsid w:val="009277A2"/>
    <w:rsid w:val="0093003D"/>
    <w:rsid w:val="00930C17"/>
    <w:rsid w:val="00930E11"/>
    <w:rsid w:val="00931322"/>
    <w:rsid w:val="009324D5"/>
    <w:rsid w:val="00932D9C"/>
    <w:rsid w:val="009330FD"/>
    <w:rsid w:val="00933A31"/>
    <w:rsid w:val="00934089"/>
    <w:rsid w:val="009347A0"/>
    <w:rsid w:val="00934BD5"/>
    <w:rsid w:val="00934DC9"/>
    <w:rsid w:val="0093507A"/>
    <w:rsid w:val="009352CC"/>
    <w:rsid w:val="00936592"/>
    <w:rsid w:val="00936D0F"/>
    <w:rsid w:val="0093743F"/>
    <w:rsid w:val="00937782"/>
    <w:rsid w:val="009379A1"/>
    <w:rsid w:val="0094001B"/>
    <w:rsid w:val="00941024"/>
    <w:rsid w:val="00941031"/>
    <w:rsid w:val="00941897"/>
    <w:rsid w:val="0094259D"/>
    <w:rsid w:val="009436E3"/>
    <w:rsid w:val="00943D00"/>
    <w:rsid w:val="009452BD"/>
    <w:rsid w:val="009457F9"/>
    <w:rsid w:val="009465E7"/>
    <w:rsid w:val="00946864"/>
    <w:rsid w:val="00947031"/>
    <w:rsid w:val="00947D6A"/>
    <w:rsid w:val="009505B4"/>
    <w:rsid w:val="00950C15"/>
    <w:rsid w:val="0095179B"/>
    <w:rsid w:val="00951CD6"/>
    <w:rsid w:val="00952BC2"/>
    <w:rsid w:val="00952F5D"/>
    <w:rsid w:val="00953E69"/>
    <w:rsid w:val="009551F4"/>
    <w:rsid w:val="00956065"/>
    <w:rsid w:val="009564F1"/>
    <w:rsid w:val="009568DA"/>
    <w:rsid w:val="00956E81"/>
    <w:rsid w:val="00957188"/>
    <w:rsid w:val="00957310"/>
    <w:rsid w:val="00957608"/>
    <w:rsid w:val="00960628"/>
    <w:rsid w:val="009609BC"/>
    <w:rsid w:val="0096232E"/>
    <w:rsid w:val="009623C4"/>
    <w:rsid w:val="009623CD"/>
    <w:rsid w:val="00963F5B"/>
    <w:rsid w:val="00963FA6"/>
    <w:rsid w:val="00965B70"/>
    <w:rsid w:val="0096662F"/>
    <w:rsid w:val="00966831"/>
    <w:rsid w:val="00970567"/>
    <w:rsid w:val="00970C5A"/>
    <w:rsid w:val="00971353"/>
    <w:rsid w:val="009713BD"/>
    <w:rsid w:val="00971B31"/>
    <w:rsid w:val="00971B48"/>
    <w:rsid w:val="009720C5"/>
    <w:rsid w:val="00972955"/>
    <w:rsid w:val="00973F6D"/>
    <w:rsid w:val="009755E5"/>
    <w:rsid w:val="00977E0A"/>
    <w:rsid w:val="009800CA"/>
    <w:rsid w:val="0098143B"/>
    <w:rsid w:val="00981564"/>
    <w:rsid w:val="00982424"/>
    <w:rsid w:val="009826A9"/>
    <w:rsid w:val="00982940"/>
    <w:rsid w:val="00982EE7"/>
    <w:rsid w:val="00984255"/>
    <w:rsid w:val="00985E01"/>
    <w:rsid w:val="0098795A"/>
    <w:rsid w:val="0099140F"/>
    <w:rsid w:val="00993054"/>
    <w:rsid w:val="00993938"/>
    <w:rsid w:val="0099475C"/>
    <w:rsid w:val="00994D3A"/>
    <w:rsid w:val="00996D1C"/>
    <w:rsid w:val="00996DE7"/>
    <w:rsid w:val="009A3F0B"/>
    <w:rsid w:val="009A5371"/>
    <w:rsid w:val="009A75D3"/>
    <w:rsid w:val="009B0C88"/>
    <w:rsid w:val="009B274F"/>
    <w:rsid w:val="009B41F7"/>
    <w:rsid w:val="009B48AF"/>
    <w:rsid w:val="009B4C09"/>
    <w:rsid w:val="009B4EE4"/>
    <w:rsid w:val="009B553B"/>
    <w:rsid w:val="009B6E98"/>
    <w:rsid w:val="009B7102"/>
    <w:rsid w:val="009B77EE"/>
    <w:rsid w:val="009B7901"/>
    <w:rsid w:val="009C0A23"/>
    <w:rsid w:val="009C0A4D"/>
    <w:rsid w:val="009C0B18"/>
    <w:rsid w:val="009C0C0D"/>
    <w:rsid w:val="009C1FC0"/>
    <w:rsid w:val="009C217D"/>
    <w:rsid w:val="009C33D2"/>
    <w:rsid w:val="009C39AC"/>
    <w:rsid w:val="009C4186"/>
    <w:rsid w:val="009C48AF"/>
    <w:rsid w:val="009C531B"/>
    <w:rsid w:val="009C6708"/>
    <w:rsid w:val="009C6733"/>
    <w:rsid w:val="009C68F4"/>
    <w:rsid w:val="009C712D"/>
    <w:rsid w:val="009C7BAB"/>
    <w:rsid w:val="009D0B87"/>
    <w:rsid w:val="009D0C7F"/>
    <w:rsid w:val="009D225B"/>
    <w:rsid w:val="009D28A0"/>
    <w:rsid w:val="009D2AC7"/>
    <w:rsid w:val="009D3064"/>
    <w:rsid w:val="009D34B5"/>
    <w:rsid w:val="009D4573"/>
    <w:rsid w:val="009D4786"/>
    <w:rsid w:val="009D61BB"/>
    <w:rsid w:val="009D6AC7"/>
    <w:rsid w:val="009E0655"/>
    <w:rsid w:val="009E0F34"/>
    <w:rsid w:val="009E12D1"/>
    <w:rsid w:val="009E1320"/>
    <w:rsid w:val="009E1599"/>
    <w:rsid w:val="009E1D65"/>
    <w:rsid w:val="009E23B3"/>
    <w:rsid w:val="009E2991"/>
    <w:rsid w:val="009E52A4"/>
    <w:rsid w:val="009E738E"/>
    <w:rsid w:val="009E7465"/>
    <w:rsid w:val="009E7782"/>
    <w:rsid w:val="009E778A"/>
    <w:rsid w:val="009F05C8"/>
    <w:rsid w:val="009F1924"/>
    <w:rsid w:val="009F2ABF"/>
    <w:rsid w:val="009F3643"/>
    <w:rsid w:val="009F5C46"/>
    <w:rsid w:val="009F5C6E"/>
    <w:rsid w:val="009F6573"/>
    <w:rsid w:val="009F6BE8"/>
    <w:rsid w:val="009F741E"/>
    <w:rsid w:val="009F748C"/>
    <w:rsid w:val="009F78DC"/>
    <w:rsid w:val="009F7A3E"/>
    <w:rsid w:val="009F7D93"/>
    <w:rsid w:val="00A0009C"/>
    <w:rsid w:val="00A006B4"/>
    <w:rsid w:val="00A00A47"/>
    <w:rsid w:val="00A013A6"/>
    <w:rsid w:val="00A01C6C"/>
    <w:rsid w:val="00A02B72"/>
    <w:rsid w:val="00A03157"/>
    <w:rsid w:val="00A04AB9"/>
    <w:rsid w:val="00A04F40"/>
    <w:rsid w:val="00A065A7"/>
    <w:rsid w:val="00A068BF"/>
    <w:rsid w:val="00A06C14"/>
    <w:rsid w:val="00A07210"/>
    <w:rsid w:val="00A0734B"/>
    <w:rsid w:val="00A07F18"/>
    <w:rsid w:val="00A1063D"/>
    <w:rsid w:val="00A1078E"/>
    <w:rsid w:val="00A11AFA"/>
    <w:rsid w:val="00A11DFB"/>
    <w:rsid w:val="00A12D0C"/>
    <w:rsid w:val="00A13527"/>
    <w:rsid w:val="00A13650"/>
    <w:rsid w:val="00A13754"/>
    <w:rsid w:val="00A13E24"/>
    <w:rsid w:val="00A1524B"/>
    <w:rsid w:val="00A1572B"/>
    <w:rsid w:val="00A1607B"/>
    <w:rsid w:val="00A166C6"/>
    <w:rsid w:val="00A166E9"/>
    <w:rsid w:val="00A16C69"/>
    <w:rsid w:val="00A16EEA"/>
    <w:rsid w:val="00A172E5"/>
    <w:rsid w:val="00A17926"/>
    <w:rsid w:val="00A223FB"/>
    <w:rsid w:val="00A22A78"/>
    <w:rsid w:val="00A238E1"/>
    <w:rsid w:val="00A24A6E"/>
    <w:rsid w:val="00A25611"/>
    <w:rsid w:val="00A25DD4"/>
    <w:rsid w:val="00A26A74"/>
    <w:rsid w:val="00A3040D"/>
    <w:rsid w:val="00A30F10"/>
    <w:rsid w:val="00A33590"/>
    <w:rsid w:val="00A33BD1"/>
    <w:rsid w:val="00A34479"/>
    <w:rsid w:val="00A34947"/>
    <w:rsid w:val="00A351F0"/>
    <w:rsid w:val="00A36C6A"/>
    <w:rsid w:val="00A373DC"/>
    <w:rsid w:val="00A403D4"/>
    <w:rsid w:val="00A41572"/>
    <w:rsid w:val="00A41D35"/>
    <w:rsid w:val="00A43249"/>
    <w:rsid w:val="00A44325"/>
    <w:rsid w:val="00A46830"/>
    <w:rsid w:val="00A50B7B"/>
    <w:rsid w:val="00A51DDE"/>
    <w:rsid w:val="00A52436"/>
    <w:rsid w:val="00A532A9"/>
    <w:rsid w:val="00A532FD"/>
    <w:rsid w:val="00A54B05"/>
    <w:rsid w:val="00A5763D"/>
    <w:rsid w:val="00A57E4B"/>
    <w:rsid w:val="00A61323"/>
    <w:rsid w:val="00A62A5C"/>
    <w:rsid w:val="00A62DAA"/>
    <w:rsid w:val="00A62E73"/>
    <w:rsid w:val="00A650C4"/>
    <w:rsid w:val="00A65C91"/>
    <w:rsid w:val="00A664AE"/>
    <w:rsid w:val="00A672F8"/>
    <w:rsid w:val="00A70F91"/>
    <w:rsid w:val="00A7131C"/>
    <w:rsid w:val="00A72017"/>
    <w:rsid w:val="00A736A1"/>
    <w:rsid w:val="00A73A38"/>
    <w:rsid w:val="00A73EED"/>
    <w:rsid w:val="00A74332"/>
    <w:rsid w:val="00A747A0"/>
    <w:rsid w:val="00A747CE"/>
    <w:rsid w:val="00A74BD3"/>
    <w:rsid w:val="00A75A44"/>
    <w:rsid w:val="00A775DE"/>
    <w:rsid w:val="00A80123"/>
    <w:rsid w:val="00A81338"/>
    <w:rsid w:val="00A82136"/>
    <w:rsid w:val="00A82DB5"/>
    <w:rsid w:val="00A831FB"/>
    <w:rsid w:val="00A841C7"/>
    <w:rsid w:val="00A862C2"/>
    <w:rsid w:val="00A904DE"/>
    <w:rsid w:val="00A91F96"/>
    <w:rsid w:val="00A924F6"/>
    <w:rsid w:val="00A93921"/>
    <w:rsid w:val="00A93D09"/>
    <w:rsid w:val="00A941A2"/>
    <w:rsid w:val="00A94972"/>
    <w:rsid w:val="00A94E26"/>
    <w:rsid w:val="00A959BA"/>
    <w:rsid w:val="00A96430"/>
    <w:rsid w:val="00A96F81"/>
    <w:rsid w:val="00AA08AB"/>
    <w:rsid w:val="00AA10C3"/>
    <w:rsid w:val="00AA1DD0"/>
    <w:rsid w:val="00AA3E3F"/>
    <w:rsid w:val="00AA3E75"/>
    <w:rsid w:val="00AA4818"/>
    <w:rsid w:val="00AA4D04"/>
    <w:rsid w:val="00AA5531"/>
    <w:rsid w:val="00AB1C2D"/>
    <w:rsid w:val="00AB2647"/>
    <w:rsid w:val="00AB2E0E"/>
    <w:rsid w:val="00AB3CCD"/>
    <w:rsid w:val="00AB5C55"/>
    <w:rsid w:val="00AB6470"/>
    <w:rsid w:val="00AB6CAF"/>
    <w:rsid w:val="00AB6F3C"/>
    <w:rsid w:val="00AB7AB1"/>
    <w:rsid w:val="00AC0177"/>
    <w:rsid w:val="00AC0254"/>
    <w:rsid w:val="00AC05D0"/>
    <w:rsid w:val="00AC0BA5"/>
    <w:rsid w:val="00AC1A2C"/>
    <w:rsid w:val="00AC2BA6"/>
    <w:rsid w:val="00AC39F6"/>
    <w:rsid w:val="00AC5466"/>
    <w:rsid w:val="00AC5714"/>
    <w:rsid w:val="00AC6751"/>
    <w:rsid w:val="00AC6C9C"/>
    <w:rsid w:val="00AC7311"/>
    <w:rsid w:val="00AD0F93"/>
    <w:rsid w:val="00AD4822"/>
    <w:rsid w:val="00AD7BBB"/>
    <w:rsid w:val="00AE197B"/>
    <w:rsid w:val="00AE295F"/>
    <w:rsid w:val="00AE2AAD"/>
    <w:rsid w:val="00AE300A"/>
    <w:rsid w:val="00AE3414"/>
    <w:rsid w:val="00AE370B"/>
    <w:rsid w:val="00AE4F22"/>
    <w:rsid w:val="00AE62D9"/>
    <w:rsid w:val="00AE694F"/>
    <w:rsid w:val="00AE6C59"/>
    <w:rsid w:val="00AE6E7C"/>
    <w:rsid w:val="00AE7254"/>
    <w:rsid w:val="00AE7590"/>
    <w:rsid w:val="00AF0610"/>
    <w:rsid w:val="00AF145A"/>
    <w:rsid w:val="00AF1564"/>
    <w:rsid w:val="00AF2864"/>
    <w:rsid w:val="00AF5994"/>
    <w:rsid w:val="00AF622B"/>
    <w:rsid w:val="00AF6F56"/>
    <w:rsid w:val="00AF7704"/>
    <w:rsid w:val="00B0047A"/>
    <w:rsid w:val="00B00894"/>
    <w:rsid w:val="00B00DEA"/>
    <w:rsid w:val="00B035A7"/>
    <w:rsid w:val="00B04234"/>
    <w:rsid w:val="00B04B4E"/>
    <w:rsid w:val="00B05733"/>
    <w:rsid w:val="00B05CC1"/>
    <w:rsid w:val="00B07050"/>
    <w:rsid w:val="00B10381"/>
    <w:rsid w:val="00B11016"/>
    <w:rsid w:val="00B11494"/>
    <w:rsid w:val="00B11C1B"/>
    <w:rsid w:val="00B1202D"/>
    <w:rsid w:val="00B121AF"/>
    <w:rsid w:val="00B12FF6"/>
    <w:rsid w:val="00B143D7"/>
    <w:rsid w:val="00B1548F"/>
    <w:rsid w:val="00B15B9A"/>
    <w:rsid w:val="00B167AB"/>
    <w:rsid w:val="00B20A43"/>
    <w:rsid w:val="00B20B0C"/>
    <w:rsid w:val="00B20C05"/>
    <w:rsid w:val="00B210AE"/>
    <w:rsid w:val="00B218A5"/>
    <w:rsid w:val="00B225B4"/>
    <w:rsid w:val="00B244DD"/>
    <w:rsid w:val="00B246FD"/>
    <w:rsid w:val="00B24A31"/>
    <w:rsid w:val="00B263B4"/>
    <w:rsid w:val="00B26FE8"/>
    <w:rsid w:val="00B27276"/>
    <w:rsid w:val="00B313E6"/>
    <w:rsid w:val="00B326CC"/>
    <w:rsid w:val="00B3424A"/>
    <w:rsid w:val="00B34DC1"/>
    <w:rsid w:val="00B3536D"/>
    <w:rsid w:val="00B35822"/>
    <w:rsid w:val="00B358DC"/>
    <w:rsid w:val="00B3703E"/>
    <w:rsid w:val="00B37434"/>
    <w:rsid w:val="00B37A4E"/>
    <w:rsid w:val="00B40003"/>
    <w:rsid w:val="00B4017B"/>
    <w:rsid w:val="00B4186F"/>
    <w:rsid w:val="00B41E7B"/>
    <w:rsid w:val="00B434A3"/>
    <w:rsid w:val="00B44C81"/>
    <w:rsid w:val="00B460EA"/>
    <w:rsid w:val="00B46C5E"/>
    <w:rsid w:val="00B47288"/>
    <w:rsid w:val="00B50696"/>
    <w:rsid w:val="00B52280"/>
    <w:rsid w:val="00B522E7"/>
    <w:rsid w:val="00B528F3"/>
    <w:rsid w:val="00B52DD9"/>
    <w:rsid w:val="00B54F5B"/>
    <w:rsid w:val="00B571D9"/>
    <w:rsid w:val="00B61319"/>
    <w:rsid w:val="00B61D5C"/>
    <w:rsid w:val="00B61E7B"/>
    <w:rsid w:val="00B627B9"/>
    <w:rsid w:val="00B62AF7"/>
    <w:rsid w:val="00B62D51"/>
    <w:rsid w:val="00B6435E"/>
    <w:rsid w:val="00B64A09"/>
    <w:rsid w:val="00B70392"/>
    <w:rsid w:val="00B703CA"/>
    <w:rsid w:val="00B7086C"/>
    <w:rsid w:val="00B709B4"/>
    <w:rsid w:val="00B710AA"/>
    <w:rsid w:val="00B72BD8"/>
    <w:rsid w:val="00B7466D"/>
    <w:rsid w:val="00B7490A"/>
    <w:rsid w:val="00B74E5D"/>
    <w:rsid w:val="00B76CFF"/>
    <w:rsid w:val="00B77183"/>
    <w:rsid w:val="00B77FCC"/>
    <w:rsid w:val="00B80D34"/>
    <w:rsid w:val="00B811E8"/>
    <w:rsid w:val="00B8221D"/>
    <w:rsid w:val="00B84B07"/>
    <w:rsid w:val="00B869CF"/>
    <w:rsid w:val="00B90E24"/>
    <w:rsid w:val="00B92556"/>
    <w:rsid w:val="00B92E49"/>
    <w:rsid w:val="00B944C8"/>
    <w:rsid w:val="00B97078"/>
    <w:rsid w:val="00BA08CE"/>
    <w:rsid w:val="00BA2048"/>
    <w:rsid w:val="00BA370E"/>
    <w:rsid w:val="00BA3BF1"/>
    <w:rsid w:val="00BA4760"/>
    <w:rsid w:val="00BA556D"/>
    <w:rsid w:val="00BA6905"/>
    <w:rsid w:val="00BA7792"/>
    <w:rsid w:val="00BA77B2"/>
    <w:rsid w:val="00BB11F4"/>
    <w:rsid w:val="00BB2E03"/>
    <w:rsid w:val="00BB3CBC"/>
    <w:rsid w:val="00BB3D66"/>
    <w:rsid w:val="00BB3E6F"/>
    <w:rsid w:val="00BB490E"/>
    <w:rsid w:val="00BB5FB7"/>
    <w:rsid w:val="00BB761F"/>
    <w:rsid w:val="00BB7C52"/>
    <w:rsid w:val="00BC0E09"/>
    <w:rsid w:val="00BC17BF"/>
    <w:rsid w:val="00BC1B94"/>
    <w:rsid w:val="00BC29D3"/>
    <w:rsid w:val="00BC2EB0"/>
    <w:rsid w:val="00BC363A"/>
    <w:rsid w:val="00BC52DD"/>
    <w:rsid w:val="00BC6311"/>
    <w:rsid w:val="00BC6353"/>
    <w:rsid w:val="00BC64A2"/>
    <w:rsid w:val="00BC74D0"/>
    <w:rsid w:val="00BC7ADD"/>
    <w:rsid w:val="00BD01B7"/>
    <w:rsid w:val="00BD038F"/>
    <w:rsid w:val="00BD075A"/>
    <w:rsid w:val="00BD1FD2"/>
    <w:rsid w:val="00BD2277"/>
    <w:rsid w:val="00BD5DF0"/>
    <w:rsid w:val="00BD5E0D"/>
    <w:rsid w:val="00BD710A"/>
    <w:rsid w:val="00BD726F"/>
    <w:rsid w:val="00BE02CB"/>
    <w:rsid w:val="00BE0B44"/>
    <w:rsid w:val="00BE0E3A"/>
    <w:rsid w:val="00BE260F"/>
    <w:rsid w:val="00BE2711"/>
    <w:rsid w:val="00BE4CF4"/>
    <w:rsid w:val="00BE4F97"/>
    <w:rsid w:val="00BE7C64"/>
    <w:rsid w:val="00BE7D60"/>
    <w:rsid w:val="00BF01AD"/>
    <w:rsid w:val="00BF0815"/>
    <w:rsid w:val="00BF27AC"/>
    <w:rsid w:val="00BF2859"/>
    <w:rsid w:val="00BF3640"/>
    <w:rsid w:val="00BF45FD"/>
    <w:rsid w:val="00BF75B5"/>
    <w:rsid w:val="00BF785F"/>
    <w:rsid w:val="00C00100"/>
    <w:rsid w:val="00C010BD"/>
    <w:rsid w:val="00C01C70"/>
    <w:rsid w:val="00C01DA5"/>
    <w:rsid w:val="00C02DBA"/>
    <w:rsid w:val="00C0414A"/>
    <w:rsid w:val="00C058B8"/>
    <w:rsid w:val="00C07551"/>
    <w:rsid w:val="00C07FCD"/>
    <w:rsid w:val="00C11B1D"/>
    <w:rsid w:val="00C12FCA"/>
    <w:rsid w:val="00C165A4"/>
    <w:rsid w:val="00C17B2C"/>
    <w:rsid w:val="00C20994"/>
    <w:rsid w:val="00C219EE"/>
    <w:rsid w:val="00C226B1"/>
    <w:rsid w:val="00C22871"/>
    <w:rsid w:val="00C25571"/>
    <w:rsid w:val="00C25CBC"/>
    <w:rsid w:val="00C25E44"/>
    <w:rsid w:val="00C262DE"/>
    <w:rsid w:val="00C26983"/>
    <w:rsid w:val="00C26DF1"/>
    <w:rsid w:val="00C32506"/>
    <w:rsid w:val="00C328B4"/>
    <w:rsid w:val="00C3307A"/>
    <w:rsid w:val="00C33EBE"/>
    <w:rsid w:val="00C34C26"/>
    <w:rsid w:val="00C35B4C"/>
    <w:rsid w:val="00C36B5D"/>
    <w:rsid w:val="00C36EF1"/>
    <w:rsid w:val="00C4003A"/>
    <w:rsid w:val="00C405C1"/>
    <w:rsid w:val="00C4170C"/>
    <w:rsid w:val="00C44B7D"/>
    <w:rsid w:val="00C45958"/>
    <w:rsid w:val="00C46CB7"/>
    <w:rsid w:val="00C50793"/>
    <w:rsid w:val="00C50DDC"/>
    <w:rsid w:val="00C51BD1"/>
    <w:rsid w:val="00C52201"/>
    <w:rsid w:val="00C5286A"/>
    <w:rsid w:val="00C53C62"/>
    <w:rsid w:val="00C53C88"/>
    <w:rsid w:val="00C54950"/>
    <w:rsid w:val="00C5557A"/>
    <w:rsid w:val="00C56445"/>
    <w:rsid w:val="00C56CE7"/>
    <w:rsid w:val="00C57949"/>
    <w:rsid w:val="00C60968"/>
    <w:rsid w:val="00C6097E"/>
    <w:rsid w:val="00C61154"/>
    <w:rsid w:val="00C6130D"/>
    <w:rsid w:val="00C638FB"/>
    <w:rsid w:val="00C64118"/>
    <w:rsid w:val="00C65640"/>
    <w:rsid w:val="00C66F87"/>
    <w:rsid w:val="00C67943"/>
    <w:rsid w:val="00C705CB"/>
    <w:rsid w:val="00C70D7C"/>
    <w:rsid w:val="00C714FC"/>
    <w:rsid w:val="00C72307"/>
    <w:rsid w:val="00C72CDD"/>
    <w:rsid w:val="00C7448A"/>
    <w:rsid w:val="00C74A87"/>
    <w:rsid w:val="00C74E21"/>
    <w:rsid w:val="00C75770"/>
    <w:rsid w:val="00C75942"/>
    <w:rsid w:val="00C75B04"/>
    <w:rsid w:val="00C75ED5"/>
    <w:rsid w:val="00C76F41"/>
    <w:rsid w:val="00C772F6"/>
    <w:rsid w:val="00C7768B"/>
    <w:rsid w:val="00C77BD0"/>
    <w:rsid w:val="00C8038E"/>
    <w:rsid w:val="00C81302"/>
    <w:rsid w:val="00C81320"/>
    <w:rsid w:val="00C81E4F"/>
    <w:rsid w:val="00C8264D"/>
    <w:rsid w:val="00C83E47"/>
    <w:rsid w:val="00C84939"/>
    <w:rsid w:val="00C8606A"/>
    <w:rsid w:val="00C86856"/>
    <w:rsid w:val="00C8778F"/>
    <w:rsid w:val="00C87E0F"/>
    <w:rsid w:val="00C9075A"/>
    <w:rsid w:val="00C91305"/>
    <w:rsid w:val="00C91E2D"/>
    <w:rsid w:val="00C934BB"/>
    <w:rsid w:val="00C93CEC"/>
    <w:rsid w:val="00C95422"/>
    <w:rsid w:val="00C96501"/>
    <w:rsid w:val="00CA07D2"/>
    <w:rsid w:val="00CA2104"/>
    <w:rsid w:val="00CA26E4"/>
    <w:rsid w:val="00CA2A23"/>
    <w:rsid w:val="00CA42AD"/>
    <w:rsid w:val="00CA5826"/>
    <w:rsid w:val="00CA7ED4"/>
    <w:rsid w:val="00CB045C"/>
    <w:rsid w:val="00CB0510"/>
    <w:rsid w:val="00CB092D"/>
    <w:rsid w:val="00CB16C8"/>
    <w:rsid w:val="00CB2CBD"/>
    <w:rsid w:val="00CB2D13"/>
    <w:rsid w:val="00CB30DA"/>
    <w:rsid w:val="00CB3416"/>
    <w:rsid w:val="00CB3C2F"/>
    <w:rsid w:val="00CB5652"/>
    <w:rsid w:val="00CB5728"/>
    <w:rsid w:val="00CB697D"/>
    <w:rsid w:val="00CB6C41"/>
    <w:rsid w:val="00CB7049"/>
    <w:rsid w:val="00CC029C"/>
    <w:rsid w:val="00CC05B7"/>
    <w:rsid w:val="00CC07E0"/>
    <w:rsid w:val="00CC0BB6"/>
    <w:rsid w:val="00CC16C5"/>
    <w:rsid w:val="00CC1EEF"/>
    <w:rsid w:val="00CC33E0"/>
    <w:rsid w:val="00CC4A24"/>
    <w:rsid w:val="00CC4ADF"/>
    <w:rsid w:val="00CC638D"/>
    <w:rsid w:val="00CC6BBA"/>
    <w:rsid w:val="00CC6CA3"/>
    <w:rsid w:val="00CC7468"/>
    <w:rsid w:val="00CC7A11"/>
    <w:rsid w:val="00CC7E33"/>
    <w:rsid w:val="00CD13BA"/>
    <w:rsid w:val="00CD1A55"/>
    <w:rsid w:val="00CD2CDE"/>
    <w:rsid w:val="00CD4A99"/>
    <w:rsid w:val="00CD5588"/>
    <w:rsid w:val="00CD5D51"/>
    <w:rsid w:val="00CD61EB"/>
    <w:rsid w:val="00CD6EC8"/>
    <w:rsid w:val="00CD7842"/>
    <w:rsid w:val="00CE0A55"/>
    <w:rsid w:val="00CE0A92"/>
    <w:rsid w:val="00CE1887"/>
    <w:rsid w:val="00CE4BA4"/>
    <w:rsid w:val="00CE5DB9"/>
    <w:rsid w:val="00CF123B"/>
    <w:rsid w:val="00CF21F8"/>
    <w:rsid w:val="00CF2960"/>
    <w:rsid w:val="00CF5A3F"/>
    <w:rsid w:val="00CF6198"/>
    <w:rsid w:val="00CF66EF"/>
    <w:rsid w:val="00CF6F99"/>
    <w:rsid w:val="00CF7BC2"/>
    <w:rsid w:val="00D0280B"/>
    <w:rsid w:val="00D02C83"/>
    <w:rsid w:val="00D030AE"/>
    <w:rsid w:val="00D03909"/>
    <w:rsid w:val="00D04E9E"/>
    <w:rsid w:val="00D051E0"/>
    <w:rsid w:val="00D052EB"/>
    <w:rsid w:val="00D05C69"/>
    <w:rsid w:val="00D06AF2"/>
    <w:rsid w:val="00D1151C"/>
    <w:rsid w:val="00D11653"/>
    <w:rsid w:val="00D11FB5"/>
    <w:rsid w:val="00D12DA8"/>
    <w:rsid w:val="00D1373D"/>
    <w:rsid w:val="00D13FEC"/>
    <w:rsid w:val="00D17E6F"/>
    <w:rsid w:val="00D20BB7"/>
    <w:rsid w:val="00D2166D"/>
    <w:rsid w:val="00D21D84"/>
    <w:rsid w:val="00D22411"/>
    <w:rsid w:val="00D246C9"/>
    <w:rsid w:val="00D250AD"/>
    <w:rsid w:val="00D25EAB"/>
    <w:rsid w:val="00D3074E"/>
    <w:rsid w:val="00D30C71"/>
    <w:rsid w:val="00D30CA6"/>
    <w:rsid w:val="00D3176E"/>
    <w:rsid w:val="00D33CE8"/>
    <w:rsid w:val="00D342A0"/>
    <w:rsid w:val="00D34382"/>
    <w:rsid w:val="00D353FE"/>
    <w:rsid w:val="00D363F8"/>
    <w:rsid w:val="00D37330"/>
    <w:rsid w:val="00D376CE"/>
    <w:rsid w:val="00D37D83"/>
    <w:rsid w:val="00D43944"/>
    <w:rsid w:val="00D43A96"/>
    <w:rsid w:val="00D46353"/>
    <w:rsid w:val="00D4714B"/>
    <w:rsid w:val="00D517E8"/>
    <w:rsid w:val="00D5732C"/>
    <w:rsid w:val="00D57C13"/>
    <w:rsid w:val="00D57D86"/>
    <w:rsid w:val="00D60516"/>
    <w:rsid w:val="00D6054B"/>
    <w:rsid w:val="00D609A8"/>
    <w:rsid w:val="00D620F3"/>
    <w:rsid w:val="00D62B4B"/>
    <w:rsid w:val="00D63235"/>
    <w:rsid w:val="00D635EE"/>
    <w:rsid w:val="00D64267"/>
    <w:rsid w:val="00D64305"/>
    <w:rsid w:val="00D653E0"/>
    <w:rsid w:val="00D66BDB"/>
    <w:rsid w:val="00D670C1"/>
    <w:rsid w:val="00D677AC"/>
    <w:rsid w:val="00D678D6"/>
    <w:rsid w:val="00D706E0"/>
    <w:rsid w:val="00D70FAC"/>
    <w:rsid w:val="00D7125F"/>
    <w:rsid w:val="00D71AE7"/>
    <w:rsid w:val="00D729A0"/>
    <w:rsid w:val="00D73D6B"/>
    <w:rsid w:val="00D7471E"/>
    <w:rsid w:val="00D7560F"/>
    <w:rsid w:val="00D76E4B"/>
    <w:rsid w:val="00D8216A"/>
    <w:rsid w:val="00D82432"/>
    <w:rsid w:val="00D8408A"/>
    <w:rsid w:val="00D852E4"/>
    <w:rsid w:val="00D85FB7"/>
    <w:rsid w:val="00D86EB0"/>
    <w:rsid w:val="00D914EF"/>
    <w:rsid w:val="00D9254F"/>
    <w:rsid w:val="00D92C62"/>
    <w:rsid w:val="00D93539"/>
    <w:rsid w:val="00D93E27"/>
    <w:rsid w:val="00D94242"/>
    <w:rsid w:val="00D945C8"/>
    <w:rsid w:val="00D954FF"/>
    <w:rsid w:val="00D95844"/>
    <w:rsid w:val="00D96F66"/>
    <w:rsid w:val="00DA0A53"/>
    <w:rsid w:val="00DA16CC"/>
    <w:rsid w:val="00DA1ACD"/>
    <w:rsid w:val="00DA253A"/>
    <w:rsid w:val="00DA3FAB"/>
    <w:rsid w:val="00DA54FC"/>
    <w:rsid w:val="00DA57B2"/>
    <w:rsid w:val="00DA583F"/>
    <w:rsid w:val="00DA6011"/>
    <w:rsid w:val="00DA7649"/>
    <w:rsid w:val="00DA7BF8"/>
    <w:rsid w:val="00DA7D8C"/>
    <w:rsid w:val="00DB0C34"/>
    <w:rsid w:val="00DB0DAD"/>
    <w:rsid w:val="00DB3228"/>
    <w:rsid w:val="00DB3C56"/>
    <w:rsid w:val="00DB4429"/>
    <w:rsid w:val="00DB56E8"/>
    <w:rsid w:val="00DB573F"/>
    <w:rsid w:val="00DB5DC5"/>
    <w:rsid w:val="00DB7E7E"/>
    <w:rsid w:val="00DC0A2B"/>
    <w:rsid w:val="00DC0D95"/>
    <w:rsid w:val="00DC22F4"/>
    <w:rsid w:val="00DC291C"/>
    <w:rsid w:val="00DC4461"/>
    <w:rsid w:val="00DC5238"/>
    <w:rsid w:val="00DC526C"/>
    <w:rsid w:val="00DC6F29"/>
    <w:rsid w:val="00DC7492"/>
    <w:rsid w:val="00DC7993"/>
    <w:rsid w:val="00DD006B"/>
    <w:rsid w:val="00DD4A19"/>
    <w:rsid w:val="00DD4B46"/>
    <w:rsid w:val="00DD4CFD"/>
    <w:rsid w:val="00DD5947"/>
    <w:rsid w:val="00DD6335"/>
    <w:rsid w:val="00DD6712"/>
    <w:rsid w:val="00DD6A33"/>
    <w:rsid w:val="00DD74E3"/>
    <w:rsid w:val="00DD7E89"/>
    <w:rsid w:val="00DE2B33"/>
    <w:rsid w:val="00DE2FAA"/>
    <w:rsid w:val="00DE3909"/>
    <w:rsid w:val="00DE60BE"/>
    <w:rsid w:val="00DE67F1"/>
    <w:rsid w:val="00DE6D5C"/>
    <w:rsid w:val="00DE6E27"/>
    <w:rsid w:val="00DE7016"/>
    <w:rsid w:val="00DE7A2B"/>
    <w:rsid w:val="00DF07EC"/>
    <w:rsid w:val="00DF3471"/>
    <w:rsid w:val="00DF3F40"/>
    <w:rsid w:val="00DF4116"/>
    <w:rsid w:val="00DF4576"/>
    <w:rsid w:val="00DF6554"/>
    <w:rsid w:val="00DF69D1"/>
    <w:rsid w:val="00E00D07"/>
    <w:rsid w:val="00E012D7"/>
    <w:rsid w:val="00E0136B"/>
    <w:rsid w:val="00E03A5D"/>
    <w:rsid w:val="00E0411A"/>
    <w:rsid w:val="00E04266"/>
    <w:rsid w:val="00E043B8"/>
    <w:rsid w:val="00E04DE8"/>
    <w:rsid w:val="00E0593C"/>
    <w:rsid w:val="00E070D3"/>
    <w:rsid w:val="00E07F47"/>
    <w:rsid w:val="00E118F6"/>
    <w:rsid w:val="00E11E11"/>
    <w:rsid w:val="00E127CD"/>
    <w:rsid w:val="00E209AB"/>
    <w:rsid w:val="00E21804"/>
    <w:rsid w:val="00E232A2"/>
    <w:rsid w:val="00E23FA1"/>
    <w:rsid w:val="00E26999"/>
    <w:rsid w:val="00E26F03"/>
    <w:rsid w:val="00E278A6"/>
    <w:rsid w:val="00E315D8"/>
    <w:rsid w:val="00E31FF4"/>
    <w:rsid w:val="00E32054"/>
    <w:rsid w:val="00E320AB"/>
    <w:rsid w:val="00E3214B"/>
    <w:rsid w:val="00E32FA2"/>
    <w:rsid w:val="00E35CDA"/>
    <w:rsid w:val="00E4064D"/>
    <w:rsid w:val="00E406A7"/>
    <w:rsid w:val="00E409A6"/>
    <w:rsid w:val="00E41A2A"/>
    <w:rsid w:val="00E42238"/>
    <w:rsid w:val="00E443D4"/>
    <w:rsid w:val="00E44D34"/>
    <w:rsid w:val="00E457C0"/>
    <w:rsid w:val="00E474E2"/>
    <w:rsid w:val="00E47D47"/>
    <w:rsid w:val="00E50F85"/>
    <w:rsid w:val="00E52352"/>
    <w:rsid w:val="00E532B3"/>
    <w:rsid w:val="00E53530"/>
    <w:rsid w:val="00E541BD"/>
    <w:rsid w:val="00E55408"/>
    <w:rsid w:val="00E55A62"/>
    <w:rsid w:val="00E55D55"/>
    <w:rsid w:val="00E55E15"/>
    <w:rsid w:val="00E56F03"/>
    <w:rsid w:val="00E603E7"/>
    <w:rsid w:val="00E615D0"/>
    <w:rsid w:val="00E61C64"/>
    <w:rsid w:val="00E62705"/>
    <w:rsid w:val="00E6280D"/>
    <w:rsid w:val="00E6307D"/>
    <w:rsid w:val="00E6512E"/>
    <w:rsid w:val="00E65A7F"/>
    <w:rsid w:val="00E70124"/>
    <w:rsid w:val="00E70331"/>
    <w:rsid w:val="00E70756"/>
    <w:rsid w:val="00E71459"/>
    <w:rsid w:val="00E7369C"/>
    <w:rsid w:val="00E738FA"/>
    <w:rsid w:val="00E73C20"/>
    <w:rsid w:val="00E74167"/>
    <w:rsid w:val="00E76078"/>
    <w:rsid w:val="00E7688B"/>
    <w:rsid w:val="00E7724E"/>
    <w:rsid w:val="00E77374"/>
    <w:rsid w:val="00E80EC9"/>
    <w:rsid w:val="00E81C15"/>
    <w:rsid w:val="00E84089"/>
    <w:rsid w:val="00E843B1"/>
    <w:rsid w:val="00E847E7"/>
    <w:rsid w:val="00E849EA"/>
    <w:rsid w:val="00E8514E"/>
    <w:rsid w:val="00E860F9"/>
    <w:rsid w:val="00E87517"/>
    <w:rsid w:val="00E90798"/>
    <w:rsid w:val="00E91B20"/>
    <w:rsid w:val="00E91FFB"/>
    <w:rsid w:val="00E9277D"/>
    <w:rsid w:val="00E927D0"/>
    <w:rsid w:val="00E935E2"/>
    <w:rsid w:val="00E93FA6"/>
    <w:rsid w:val="00E9523D"/>
    <w:rsid w:val="00E9585A"/>
    <w:rsid w:val="00E958F9"/>
    <w:rsid w:val="00E97D2B"/>
    <w:rsid w:val="00EA0428"/>
    <w:rsid w:val="00EA23D3"/>
    <w:rsid w:val="00EA2E8A"/>
    <w:rsid w:val="00EA2ECC"/>
    <w:rsid w:val="00EA310C"/>
    <w:rsid w:val="00EA3238"/>
    <w:rsid w:val="00EA347A"/>
    <w:rsid w:val="00EA406E"/>
    <w:rsid w:val="00EA544C"/>
    <w:rsid w:val="00EA602E"/>
    <w:rsid w:val="00EA6334"/>
    <w:rsid w:val="00EA6D47"/>
    <w:rsid w:val="00EA77C0"/>
    <w:rsid w:val="00EB03AD"/>
    <w:rsid w:val="00EB1259"/>
    <w:rsid w:val="00EB28BA"/>
    <w:rsid w:val="00EB4824"/>
    <w:rsid w:val="00EB52C9"/>
    <w:rsid w:val="00EB55B6"/>
    <w:rsid w:val="00EB5A60"/>
    <w:rsid w:val="00EB5AE6"/>
    <w:rsid w:val="00EB6510"/>
    <w:rsid w:val="00EB7A9D"/>
    <w:rsid w:val="00EC3A2D"/>
    <w:rsid w:val="00EC3A68"/>
    <w:rsid w:val="00EC4B34"/>
    <w:rsid w:val="00EC5AC8"/>
    <w:rsid w:val="00EC65A4"/>
    <w:rsid w:val="00EC787C"/>
    <w:rsid w:val="00ED02F9"/>
    <w:rsid w:val="00ED11AF"/>
    <w:rsid w:val="00ED1236"/>
    <w:rsid w:val="00ED125A"/>
    <w:rsid w:val="00ED1325"/>
    <w:rsid w:val="00ED185A"/>
    <w:rsid w:val="00ED1AB9"/>
    <w:rsid w:val="00ED293D"/>
    <w:rsid w:val="00ED31FE"/>
    <w:rsid w:val="00ED3B5F"/>
    <w:rsid w:val="00ED3D96"/>
    <w:rsid w:val="00ED4197"/>
    <w:rsid w:val="00ED4FA5"/>
    <w:rsid w:val="00ED5E81"/>
    <w:rsid w:val="00ED734D"/>
    <w:rsid w:val="00ED772F"/>
    <w:rsid w:val="00EE074D"/>
    <w:rsid w:val="00EE0AAA"/>
    <w:rsid w:val="00EE0B48"/>
    <w:rsid w:val="00EE39E7"/>
    <w:rsid w:val="00EE4DC4"/>
    <w:rsid w:val="00EE6600"/>
    <w:rsid w:val="00EE75AF"/>
    <w:rsid w:val="00EF16D4"/>
    <w:rsid w:val="00EF1E71"/>
    <w:rsid w:val="00EF466A"/>
    <w:rsid w:val="00EF4FA1"/>
    <w:rsid w:val="00EF6113"/>
    <w:rsid w:val="00EF6277"/>
    <w:rsid w:val="00EF6C36"/>
    <w:rsid w:val="00EF75D9"/>
    <w:rsid w:val="00F00352"/>
    <w:rsid w:val="00F0147C"/>
    <w:rsid w:val="00F01930"/>
    <w:rsid w:val="00F01BA1"/>
    <w:rsid w:val="00F01F87"/>
    <w:rsid w:val="00F02232"/>
    <w:rsid w:val="00F0313C"/>
    <w:rsid w:val="00F038F9"/>
    <w:rsid w:val="00F039B6"/>
    <w:rsid w:val="00F03CD5"/>
    <w:rsid w:val="00F056FB"/>
    <w:rsid w:val="00F067A5"/>
    <w:rsid w:val="00F06C56"/>
    <w:rsid w:val="00F07CE2"/>
    <w:rsid w:val="00F07D64"/>
    <w:rsid w:val="00F07F8E"/>
    <w:rsid w:val="00F10343"/>
    <w:rsid w:val="00F10356"/>
    <w:rsid w:val="00F105AA"/>
    <w:rsid w:val="00F10AF8"/>
    <w:rsid w:val="00F10EE0"/>
    <w:rsid w:val="00F110A0"/>
    <w:rsid w:val="00F11D34"/>
    <w:rsid w:val="00F12405"/>
    <w:rsid w:val="00F1380F"/>
    <w:rsid w:val="00F13EF7"/>
    <w:rsid w:val="00F150A0"/>
    <w:rsid w:val="00F158F4"/>
    <w:rsid w:val="00F16FE3"/>
    <w:rsid w:val="00F17AE9"/>
    <w:rsid w:val="00F17E67"/>
    <w:rsid w:val="00F22433"/>
    <w:rsid w:val="00F22775"/>
    <w:rsid w:val="00F24467"/>
    <w:rsid w:val="00F24B61"/>
    <w:rsid w:val="00F258B6"/>
    <w:rsid w:val="00F25E78"/>
    <w:rsid w:val="00F27702"/>
    <w:rsid w:val="00F279A8"/>
    <w:rsid w:val="00F30659"/>
    <w:rsid w:val="00F3067C"/>
    <w:rsid w:val="00F30728"/>
    <w:rsid w:val="00F31842"/>
    <w:rsid w:val="00F32ABA"/>
    <w:rsid w:val="00F3372E"/>
    <w:rsid w:val="00F33A18"/>
    <w:rsid w:val="00F33AEE"/>
    <w:rsid w:val="00F33C3D"/>
    <w:rsid w:val="00F34D9C"/>
    <w:rsid w:val="00F37177"/>
    <w:rsid w:val="00F371F1"/>
    <w:rsid w:val="00F3723F"/>
    <w:rsid w:val="00F374D2"/>
    <w:rsid w:val="00F37597"/>
    <w:rsid w:val="00F37E63"/>
    <w:rsid w:val="00F40D6A"/>
    <w:rsid w:val="00F41379"/>
    <w:rsid w:val="00F41687"/>
    <w:rsid w:val="00F42848"/>
    <w:rsid w:val="00F43A85"/>
    <w:rsid w:val="00F446C2"/>
    <w:rsid w:val="00F44FB3"/>
    <w:rsid w:val="00F4541B"/>
    <w:rsid w:val="00F47216"/>
    <w:rsid w:val="00F47F4D"/>
    <w:rsid w:val="00F5094D"/>
    <w:rsid w:val="00F516F3"/>
    <w:rsid w:val="00F52662"/>
    <w:rsid w:val="00F5623C"/>
    <w:rsid w:val="00F57147"/>
    <w:rsid w:val="00F57F9F"/>
    <w:rsid w:val="00F6056B"/>
    <w:rsid w:val="00F61F42"/>
    <w:rsid w:val="00F6266E"/>
    <w:rsid w:val="00F6302A"/>
    <w:rsid w:val="00F64203"/>
    <w:rsid w:val="00F6572C"/>
    <w:rsid w:val="00F67E50"/>
    <w:rsid w:val="00F7064F"/>
    <w:rsid w:val="00F706F1"/>
    <w:rsid w:val="00F71ED3"/>
    <w:rsid w:val="00F71FC7"/>
    <w:rsid w:val="00F72153"/>
    <w:rsid w:val="00F73134"/>
    <w:rsid w:val="00F73B76"/>
    <w:rsid w:val="00F74BE4"/>
    <w:rsid w:val="00F751E4"/>
    <w:rsid w:val="00F75EFD"/>
    <w:rsid w:val="00F76CCF"/>
    <w:rsid w:val="00F81D78"/>
    <w:rsid w:val="00F823AE"/>
    <w:rsid w:val="00F84273"/>
    <w:rsid w:val="00F843F0"/>
    <w:rsid w:val="00F84D17"/>
    <w:rsid w:val="00F8543E"/>
    <w:rsid w:val="00F860DD"/>
    <w:rsid w:val="00F8685D"/>
    <w:rsid w:val="00F9056A"/>
    <w:rsid w:val="00F91AFF"/>
    <w:rsid w:val="00F92196"/>
    <w:rsid w:val="00F93278"/>
    <w:rsid w:val="00F93A12"/>
    <w:rsid w:val="00F95494"/>
    <w:rsid w:val="00F97A90"/>
    <w:rsid w:val="00F97B20"/>
    <w:rsid w:val="00FA2B54"/>
    <w:rsid w:val="00FA2DB6"/>
    <w:rsid w:val="00FA2EAA"/>
    <w:rsid w:val="00FA59A5"/>
    <w:rsid w:val="00FA6A18"/>
    <w:rsid w:val="00FA6BCA"/>
    <w:rsid w:val="00FB02CA"/>
    <w:rsid w:val="00FB0C93"/>
    <w:rsid w:val="00FB0CE9"/>
    <w:rsid w:val="00FB13C7"/>
    <w:rsid w:val="00FB13D6"/>
    <w:rsid w:val="00FB21E4"/>
    <w:rsid w:val="00FB2ECD"/>
    <w:rsid w:val="00FB32BF"/>
    <w:rsid w:val="00FB3A7C"/>
    <w:rsid w:val="00FB3FAD"/>
    <w:rsid w:val="00FB5187"/>
    <w:rsid w:val="00FB58ED"/>
    <w:rsid w:val="00FB62B9"/>
    <w:rsid w:val="00FB665D"/>
    <w:rsid w:val="00FB79CC"/>
    <w:rsid w:val="00FC0F97"/>
    <w:rsid w:val="00FC2BDA"/>
    <w:rsid w:val="00FC3E27"/>
    <w:rsid w:val="00FC4728"/>
    <w:rsid w:val="00FC48A5"/>
    <w:rsid w:val="00FC5831"/>
    <w:rsid w:val="00FC585A"/>
    <w:rsid w:val="00FC621D"/>
    <w:rsid w:val="00FC63A0"/>
    <w:rsid w:val="00FC6AF6"/>
    <w:rsid w:val="00FC7DFD"/>
    <w:rsid w:val="00FD0084"/>
    <w:rsid w:val="00FD01F8"/>
    <w:rsid w:val="00FD2575"/>
    <w:rsid w:val="00FD2984"/>
    <w:rsid w:val="00FD30E2"/>
    <w:rsid w:val="00FD3B71"/>
    <w:rsid w:val="00FD560A"/>
    <w:rsid w:val="00FD570B"/>
    <w:rsid w:val="00FD59E0"/>
    <w:rsid w:val="00FD5E53"/>
    <w:rsid w:val="00FD7B1F"/>
    <w:rsid w:val="00FD7C19"/>
    <w:rsid w:val="00FE04DA"/>
    <w:rsid w:val="00FE41B7"/>
    <w:rsid w:val="00FE420A"/>
    <w:rsid w:val="00FE5DC4"/>
    <w:rsid w:val="00FE7CE8"/>
    <w:rsid w:val="00FF078D"/>
    <w:rsid w:val="00FF07F8"/>
    <w:rsid w:val="00FF0EC1"/>
    <w:rsid w:val="00FF12A3"/>
    <w:rsid w:val="00FF23C6"/>
    <w:rsid w:val="00FF64FB"/>
    <w:rsid w:val="00FF68DD"/>
    <w:rsid w:val="00FF72DA"/>
    <w:rsid w:val="00FF7C99"/>
    <w:rsid w:val="00FF7D1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7320E6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0" w:defSemiHidden="1" w:defUnhideWhenUsed="1" w:defQFormat="0" w:count="267">
    <w:lsdException w:name="Normal" w:semiHidden="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9" w:unhideWhenUsed="0" w:qFormat="1"/>
    <w:lsdException w:name="heading 5" w:semiHidden="0" w:unhideWhenUsed="0" w:qFormat="1"/>
    <w:lsdException w:name="heading 6" w:semiHidden="0" w:unhideWhenUsed="0" w:qFormat="1"/>
    <w:lsdException w:name="heading 7" w:locked="0" w:uiPriority="9" w:qFormat="1"/>
    <w:lsdException w:name="heading 8" w:locked="0" w:uiPriority="9" w:qFormat="1"/>
    <w:lsdException w:name="heading 9" w:locked="0" w:uiPriority="9" w:qFormat="1"/>
    <w:lsdException w:name="index 1" w:uiPriority="99"/>
    <w:lsdException w:name="index 3" w:uiPriority="99"/>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footer" w:uiPriority="99"/>
    <w:lsdException w:name="caption" w:locked="0" w:uiPriority="35" w:qFormat="1"/>
    <w:lsdException w:name="table of figures" w:uiPriority="99"/>
    <w:lsdException w:name="footnote reference" w:uiPriority="99"/>
    <w:lsdException w:name="annotation reference" w:uiPriority="99"/>
    <w:lsdException w:name="page number" w:uiPriority="99"/>
    <w:lsdException w:name="endnote reference" w:uiPriority="99"/>
    <w:lsdException w:name="endnote text" w:uiPriority="99"/>
    <w:lsdException w:name="List Bullet" w:uiPriority="99"/>
    <w:lsdException w:name="List Number" w:semiHidden="0" w:unhideWhenUsed="0"/>
    <w:lsdException w:name="List 4" w:semiHidden="0" w:unhideWhenUsed="0"/>
    <w:lsdException w:name="List 5" w:semiHidden="0" w:unhideWhenUsed="0"/>
    <w:lsdException w:name="List Number 3" w:uiPriority="99"/>
    <w:lsdException w:name="Title" w:semiHidden="0" w:uiPriority="10" w:unhideWhenUsed="0" w:qFormat="1"/>
    <w:lsdException w:name="Default Paragraph Font" w:uiPriority="1"/>
    <w:lsdException w:name="Body Text" w:uiPriority="99"/>
    <w:lsdException w:name="Subtitle" w:semiHidden="0" w:uiPriority="11" w:unhideWhenUsed="0" w:qFormat="1"/>
    <w:lsdException w:name="Salutation" w:semiHidden="0" w:unhideWhenUsed="0"/>
    <w:lsdException w:name="Date" w:semiHidden="0" w:unhideWhenUsed="0"/>
    <w:lsdException w:name="Body Text First Indent" w:semiHidden="0" w:unhideWhenUsed="0"/>
    <w:lsdException w:name="Body Text 3" w:uiPriority="99"/>
    <w:lsdException w:name="Body Text Indent 2" w:uiPriority="99"/>
    <w:lsdException w:name="Body Text Indent 3" w:uiPriority="99"/>
    <w:lsdException w:name="Block Text" w:uiPriority="99"/>
    <w:lsdException w:name="Hyperlink" w:uiPriority="99"/>
    <w:lsdException w:name="FollowedHyperlink" w:uiPriority="99"/>
    <w:lsdException w:name="Strong" w:semiHidden="0" w:uiPriority="22" w:unhideWhenUsed="0" w:qFormat="1"/>
    <w:lsdException w:name="Emphasis" w:semiHidden="0" w:uiPriority="99" w:unhideWhenUsed="0" w:qFormat="1"/>
    <w:lsdException w:name="Plain Text" w:uiPriority="99"/>
    <w:lsdException w:name="Normal (Web)" w:uiPriority="99"/>
    <w:lsdException w:name="annotation subject" w:uiPriority="99"/>
    <w:lsdException w:name="No List" w:uiPriority="99"/>
    <w:lsdException w:name="Table Elegant" w:uiPriority="99"/>
    <w:lsdException w:name="Balloon Text" w:uiPriority="99"/>
    <w:lsdException w:name="Table Grid" w:semiHidden="0" w:uiPriority="59" w:unhideWhenUsed="0"/>
    <w:lsdException w:name="Placeholder Text" w:locked="0" w:uiPriority="99"/>
    <w:lsdException w:name="No Spacing" w:locked="0" w:semiHidden="0" w:uiPriority="1" w:unhideWhenUsed="0" w:qFormat="1"/>
    <w:lsdException w:name="Light Shading" w:locked="0" w:semiHidden="0" w:uiPriority="99" w:unhideWhenUsed="0"/>
    <w:lsdException w:name="Light List" w:locked="0" w:semiHidden="0" w:uiPriority="99" w:unhideWhenUsed="0"/>
    <w:lsdException w:name="Light Grid" w:locked="0" w:semiHidden="0" w:uiPriority="99" w:unhideWhenUsed="0"/>
    <w:lsdException w:name="Medium Shading 1" w:locked="0" w:semiHidden="0" w:uiPriority="99" w:unhideWhenUsed="0"/>
    <w:lsdException w:name="Medium Shading 2" w:locked="0" w:semiHidden="0" w:uiPriority="99" w:unhideWhenUsed="0"/>
    <w:lsdException w:name="Medium List 1" w:locked="0" w:semiHidden="0" w:uiPriority="99" w:unhideWhenUsed="0"/>
    <w:lsdException w:name="Medium List 2" w:locked="0" w:semiHidden="0" w:uiPriority="99" w:unhideWhenUsed="0"/>
    <w:lsdException w:name="Medium Grid 1" w:locked="0" w:semiHidden="0" w:uiPriority="99" w:unhideWhenUsed="0"/>
    <w:lsdException w:name="Medium Grid 2" w:locked="0" w:semiHidden="0" w:uiPriority="1" w:unhideWhenUsed="0" w:qFormat="1"/>
    <w:lsdException w:name="Medium Grid 3" w:locked="0" w:semiHidden="0" w:uiPriority="60" w:unhideWhenUsed="0"/>
    <w:lsdException w:name="Dark List" w:locked="0" w:semiHidden="0" w:uiPriority="61" w:unhideWhenUsed="0"/>
    <w:lsdException w:name="Colorful Shading" w:locked="0" w:semiHidden="0" w:uiPriority="62" w:unhideWhenUsed="0"/>
    <w:lsdException w:name="Colorful List" w:locked="0" w:semiHidden="0" w:uiPriority="63" w:unhideWhenUsed="0"/>
    <w:lsdException w:name="Colorful Grid" w:locked="0" w:semiHidden="0" w:uiPriority="64" w:unhideWhenUsed="0"/>
    <w:lsdException w:name="Light Shading Accent 1" w:locked="0" w:semiHidden="0" w:uiPriority="65" w:unhideWhenUsed="0"/>
    <w:lsdException w:name="Light List Accent 1" w:locked="0" w:semiHidden="0" w:uiPriority="66" w:unhideWhenUsed="0"/>
    <w:lsdException w:name="Light Grid Accent 1" w:locked="0" w:semiHidden="0" w:uiPriority="67" w:unhideWhenUsed="0"/>
    <w:lsdException w:name="Medium Shading 1 Accent 1" w:locked="0" w:semiHidden="0" w:uiPriority="68" w:unhideWhenUsed="0"/>
    <w:lsdException w:name="Medium Shading 2 Accent 1" w:locked="0" w:semiHidden="0" w:uiPriority="69" w:unhideWhenUsed="0"/>
    <w:lsdException w:name="Medium List 1 Accent 1" w:locked="0" w:semiHidden="0" w:uiPriority="70" w:unhideWhenUsed="0"/>
    <w:lsdException w:name="Revision" w:locked="0" w:uiPriority="99" w:unhideWhenUsed="0"/>
    <w:lsdException w:name="List Paragraph" w:locked="0" w:semiHidden="0" w:uiPriority="34" w:unhideWhenUsed="0" w:qFormat="1"/>
    <w:lsdException w:name="Quote" w:locked="0" w:semiHidden="0" w:uiPriority="73" w:unhideWhenUsed="0"/>
    <w:lsdException w:name="Intense Quote" w:locked="0" w:semiHidden="0" w:uiPriority="60" w:unhideWhenUsed="0"/>
    <w:lsdException w:name="Medium List 2 Accent 1" w:locked="0" w:semiHidden="0" w:uiPriority="61" w:unhideWhenUsed="0"/>
    <w:lsdException w:name="Medium Grid 1 Accent 1" w:locked="0" w:semiHidden="0" w:uiPriority="62" w:unhideWhenUsed="0"/>
    <w:lsdException w:name="Medium Grid 2 Accent 1" w:locked="0" w:semiHidden="0" w:uiPriority="63" w:unhideWhenUsed="0"/>
    <w:lsdException w:name="Medium Grid 3 Accent 1" w:locked="0" w:semiHidden="0" w:uiPriority="64" w:unhideWhenUsed="0"/>
    <w:lsdException w:name="Dark List Accent 1" w:locked="0" w:semiHidden="0" w:uiPriority="65" w:unhideWhenUsed="0"/>
    <w:lsdException w:name="Colorful Shading Accent 1" w:locked="0" w:semiHidden="0" w:uiPriority="99" w:unhideWhenUsed="0"/>
    <w:lsdException w:name="Colorful List Accent 1" w:locked="0" w:semiHidden="0" w:uiPriority="72" w:unhideWhenUsed="0" w:qFormat="1"/>
    <w:lsdException w:name="Colorful Grid Accent 1" w:locked="0" w:semiHidden="0" w:uiPriority="29" w:unhideWhenUsed="0" w:qFormat="1"/>
    <w:lsdException w:name="Light Shading Accent 2" w:locked="0" w:semiHidden="0" w:uiPriority="30" w:unhideWhenUsed="0" w:qFormat="1"/>
    <w:lsdException w:name="Light List Accent 2" w:locked="0" w:semiHidden="0" w:uiPriority="66" w:unhideWhenUsed="0"/>
    <w:lsdException w:name="Light Grid Accent 2" w:locked="0" w:semiHidden="0" w:uiPriority="67" w:unhideWhenUsed="0"/>
    <w:lsdException w:name="Medium Shading 1 Accent 2" w:locked="0" w:semiHidden="0" w:uiPriority="68" w:unhideWhenUsed="0"/>
    <w:lsdException w:name="Medium Shading 2 Accent 2" w:locked="0" w:semiHidden="0" w:uiPriority="69" w:unhideWhenUsed="0"/>
    <w:lsdException w:name="Medium List 1 Accent 2" w:locked="0" w:semiHidden="0" w:uiPriority="70" w:unhideWhenUsed="0"/>
    <w:lsdException w:name="Medium List 2 Accent 2" w:locked="0" w:semiHidden="0" w:uiPriority="71" w:unhideWhenUsed="0"/>
    <w:lsdException w:name="Medium Grid 1 Accent 2" w:locked="0" w:semiHidden="0" w:uiPriority="67" w:unhideWhenUsed="0"/>
    <w:lsdException w:name="Medium Grid 2 Accent 2" w:locked="0" w:semiHidden="0" w:uiPriority="73" w:unhideWhenUsed="0"/>
    <w:lsdException w:name="Medium Grid 3 Accent 2" w:locked="0" w:semiHidden="0" w:uiPriority="60" w:unhideWhenUsed="0"/>
    <w:lsdException w:name="Dark List Accent 2" w:locked="0" w:semiHidden="0" w:uiPriority="61" w:unhideWhenUsed="0"/>
    <w:lsdException w:name="Colorful Shading Accent 2" w:locked="0" w:semiHidden="0" w:uiPriority="62" w:unhideWhenUsed="0"/>
    <w:lsdException w:name="Colorful List Accent 2" w:locked="0" w:semiHidden="0" w:uiPriority="63" w:unhideWhenUsed="0"/>
    <w:lsdException w:name="Colorful Grid Accent 2" w:locked="0" w:semiHidden="0" w:uiPriority="64" w:unhideWhenUsed="0"/>
    <w:lsdException w:name="Light Shading Accent 3" w:locked="0" w:semiHidden="0" w:uiPriority="65" w:unhideWhenUsed="0"/>
    <w:lsdException w:name="Light List Accent 3" w:locked="0" w:semiHidden="0" w:uiPriority="66" w:unhideWhenUsed="0"/>
    <w:lsdException w:name="Light Grid Accent 3" w:locked="0" w:semiHidden="0" w:uiPriority="67" w:unhideWhenUsed="0"/>
    <w:lsdException w:name="Medium Shading 1 Accent 3" w:locked="0" w:semiHidden="0" w:uiPriority="68" w:unhideWhenUsed="0"/>
    <w:lsdException w:name="Medium Shading 2 Accent 3" w:locked="0" w:semiHidden="0" w:uiPriority="69" w:unhideWhenUsed="0"/>
    <w:lsdException w:name="Medium List 1 Accent 3" w:locked="0" w:semiHidden="0" w:uiPriority="70" w:unhideWhenUsed="0"/>
    <w:lsdException w:name="Medium List 2 Accent 3" w:locked="0" w:semiHidden="0" w:uiPriority="71" w:unhideWhenUsed="0"/>
    <w:lsdException w:name="Medium Grid 1 Accent 3" w:locked="0" w:semiHidden="0" w:uiPriority="72" w:unhideWhenUsed="0"/>
    <w:lsdException w:name="Medium Grid 2 Accent 3" w:locked="0" w:semiHidden="0" w:uiPriority="73" w:unhideWhenUsed="0"/>
    <w:lsdException w:name="Medium Grid 3 Accent 3" w:locked="0" w:semiHidden="0" w:uiPriority="60" w:unhideWhenUsed="0"/>
    <w:lsdException w:name="Dark List Accent 3" w:locked="0" w:semiHidden="0" w:uiPriority="61" w:unhideWhenUsed="0"/>
    <w:lsdException w:name="Colorful Shading Accent 3" w:locked="0" w:semiHidden="0" w:uiPriority="62" w:unhideWhenUsed="0"/>
    <w:lsdException w:name="Colorful List Accent 3" w:locked="0" w:semiHidden="0" w:uiPriority="63" w:unhideWhenUsed="0"/>
    <w:lsdException w:name="Colorful Grid Accent 3" w:locked="0" w:semiHidden="0" w:uiPriority="64" w:unhideWhenUsed="0"/>
    <w:lsdException w:name="Light Shading Accent 4" w:locked="0" w:semiHidden="0" w:uiPriority="65" w:unhideWhenUsed="0"/>
    <w:lsdException w:name="Light List Accent 4" w:locked="0" w:semiHidden="0" w:uiPriority="66" w:unhideWhenUsed="0"/>
    <w:lsdException w:name="Light Grid Accent 4" w:locked="0" w:semiHidden="0" w:uiPriority="67" w:unhideWhenUsed="0"/>
    <w:lsdException w:name="Medium Shading 1 Accent 4" w:locked="0" w:semiHidden="0" w:uiPriority="68" w:unhideWhenUsed="0"/>
    <w:lsdException w:name="Medium Shading 2 Accent 4" w:locked="0" w:semiHidden="0" w:uiPriority="69" w:unhideWhenUsed="0"/>
    <w:lsdException w:name="Medium List 1 Accent 4" w:locked="0" w:semiHidden="0" w:uiPriority="70" w:unhideWhenUsed="0"/>
    <w:lsdException w:name="Medium List 2 Accent 4" w:locked="0" w:semiHidden="0" w:uiPriority="71" w:unhideWhenUsed="0"/>
    <w:lsdException w:name="Medium Grid 1 Accent 4" w:locked="0" w:semiHidden="0" w:uiPriority="72" w:unhideWhenUsed="0"/>
    <w:lsdException w:name="Medium Grid 2 Accent 4" w:locked="0" w:semiHidden="0" w:uiPriority="73" w:unhideWhenUsed="0"/>
    <w:lsdException w:name="Medium Grid 3 Accent 4" w:locked="0" w:semiHidden="0" w:uiPriority="60" w:unhideWhenUsed="0"/>
    <w:lsdException w:name="Dark List Accent 4" w:locked="0" w:semiHidden="0" w:uiPriority="61" w:unhideWhenUsed="0"/>
    <w:lsdException w:name="Colorful Shading Accent 4" w:locked="0" w:semiHidden="0" w:uiPriority="62" w:unhideWhenUsed="0"/>
    <w:lsdException w:name="Colorful List Accent 4" w:locked="0" w:semiHidden="0" w:uiPriority="63" w:unhideWhenUsed="0"/>
    <w:lsdException w:name="Colorful Grid Accent 4" w:locked="0" w:semiHidden="0" w:uiPriority="64" w:unhideWhenUsed="0"/>
    <w:lsdException w:name="Light Shading Accent 5" w:locked="0" w:semiHidden="0" w:uiPriority="65" w:unhideWhenUsed="0"/>
    <w:lsdException w:name="Light List Accent 5" w:locked="0" w:semiHidden="0" w:uiPriority="66" w:unhideWhenUsed="0"/>
    <w:lsdException w:name="Light Grid Accent 5" w:locked="0" w:semiHidden="0" w:uiPriority="67" w:unhideWhenUsed="0"/>
    <w:lsdException w:name="Medium Shading 1 Accent 5" w:locked="0" w:semiHidden="0" w:uiPriority="68" w:unhideWhenUsed="0"/>
    <w:lsdException w:name="Medium Shading 2 Accent 5" w:locked="0" w:semiHidden="0" w:uiPriority="69" w:unhideWhenUsed="0"/>
    <w:lsdException w:name="Medium List 1 Accent 5" w:locked="0" w:semiHidden="0" w:uiPriority="70" w:unhideWhenUsed="0"/>
    <w:lsdException w:name="Medium List 2 Accent 5" w:locked="0" w:semiHidden="0" w:uiPriority="71" w:unhideWhenUsed="0"/>
    <w:lsdException w:name="Medium Grid 1 Accent 5" w:locked="0" w:semiHidden="0" w:uiPriority="72" w:unhideWhenUsed="0"/>
    <w:lsdException w:name="Medium Grid 2 Accent 5" w:locked="0" w:semiHidden="0" w:uiPriority="73" w:unhideWhenUsed="0"/>
    <w:lsdException w:name="Medium Grid 3 Accent 5" w:locked="0" w:semiHidden="0" w:uiPriority="60" w:unhideWhenUsed="0"/>
    <w:lsdException w:name="Dark List Accent 5" w:locked="0" w:semiHidden="0" w:uiPriority="61" w:unhideWhenUsed="0"/>
    <w:lsdException w:name="Colorful Shading Accent 5" w:locked="0" w:semiHidden="0" w:uiPriority="62" w:unhideWhenUsed="0"/>
    <w:lsdException w:name="Colorful List Accent 5" w:locked="0" w:semiHidden="0" w:uiPriority="63" w:unhideWhenUsed="0"/>
    <w:lsdException w:name="Colorful Grid Accent 5" w:locked="0" w:semiHidden="0" w:uiPriority="64" w:unhideWhenUsed="0"/>
    <w:lsdException w:name="Light Shading Accent 6" w:locked="0" w:semiHidden="0" w:uiPriority="65" w:unhideWhenUsed="0"/>
    <w:lsdException w:name="Light List Accent 6" w:locked="0" w:semiHidden="0" w:uiPriority="66" w:unhideWhenUsed="0"/>
    <w:lsdException w:name="Light Grid Accent 6" w:locked="0" w:semiHidden="0" w:uiPriority="67" w:unhideWhenUsed="0"/>
    <w:lsdException w:name="Medium Shading 1 Accent 6" w:locked="0" w:semiHidden="0" w:uiPriority="68" w:unhideWhenUsed="0"/>
    <w:lsdException w:name="Medium Shading 2 Accent 6" w:locked="0" w:semiHidden="0" w:uiPriority="69" w:unhideWhenUsed="0"/>
    <w:lsdException w:name="Medium List 1 Accent 6" w:locked="0" w:semiHidden="0" w:uiPriority="70" w:unhideWhenUsed="0"/>
    <w:lsdException w:name="Medium List 2 Accent 6" w:locked="0" w:semiHidden="0" w:uiPriority="71" w:unhideWhenUsed="0"/>
    <w:lsdException w:name="Medium Grid 1 Accent 6" w:locked="0" w:semiHidden="0" w:uiPriority="72" w:unhideWhenUsed="0"/>
    <w:lsdException w:name="Medium Grid 2 Accent 6" w:locked="0" w:semiHidden="0" w:uiPriority="73" w:unhideWhenUsed="0"/>
    <w:lsdException w:name="Medium Grid 3 Accent 6" w:locked="0" w:semiHidden="0" w:uiPriority="60" w:unhideWhenUsed="0"/>
    <w:lsdException w:name="Dark List Accent 6" w:locked="0" w:semiHidden="0" w:uiPriority="61" w:unhideWhenUsed="0"/>
    <w:lsdException w:name="Colorful Shading Accent 6" w:locked="0" w:semiHidden="0" w:uiPriority="62" w:unhideWhenUsed="0"/>
    <w:lsdException w:name="Colorful List Accent 6" w:locked="0" w:semiHidden="0" w:uiPriority="63" w:unhideWhenUsed="0"/>
    <w:lsdException w:name="Colorful Grid Accent 6" w:locked="0" w:semiHidden="0" w:uiPriority="64" w:unhideWhenUsed="0"/>
    <w:lsdException w:name="Subtle Emphasis" w:locked="0" w:semiHidden="0" w:uiPriority="19" w:unhideWhenUsed="0"/>
    <w:lsdException w:name="Intense Emphasis" w:locked="0" w:semiHidden="0" w:uiPriority="66" w:unhideWhenUsed="0"/>
    <w:lsdException w:name="Subtle Reference" w:locked="0" w:semiHidden="0" w:uiPriority="67" w:unhideWhenUsed="0"/>
    <w:lsdException w:name="Intense Reference" w:locked="0" w:semiHidden="0" w:uiPriority="68" w:unhideWhenUsed="0"/>
    <w:lsdException w:name="Book Title" w:locked="0" w:semiHidden="0" w:uiPriority="69" w:unhideWhenUsed="0"/>
    <w:lsdException w:name="Bibliography" w:locked="0" w:uiPriority="70"/>
    <w:lsdException w:name="TOC Heading" w:locked="0" w:uiPriority="39" w:qFormat="1"/>
  </w:latentStyles>
  <w:style w:type="paragraph" w:default="1" w:styleId="Normal">
    <w:name w:val="Normal"/>
    <w:qFormat/>
    <w:rsid w:val="00F258B6"/>
    <w:pPr>
      <w:spacing w:after="220"/>
      <w:jc w:val="both"/>
    </w:pPr>
    <w:rPr>
      <w:rFonts w:ascii="Calibri" w:hAnsi="Calibri"/>
      <w:lang w:eastAsia="ja-JP"/>
    </w:rPr>
  </w:style>
  <w:style w:type="paragraph" w:styleId="Heading1">
    <w:name w:val="heading 1"/>
    <w:basedOn w:val="Normal"/>
    <w:next w:val="Normal"/>
    <w:link w:val="Heading1Char"/>
    <w:uiPriority w:val="9"/>
    <w:qFormat/>
    <w:rsid w:val="006206F4"/>
    <w:pPr>
      <w:keepNext/>
      <w:keepLines/>
      <w:spacing w:before="240" w:after="0"/>
      <w:outlineLvl w:val="0"/>
    </w:pPr>
    <w:rPr>
      <w:rFonts w:eastAsiaTheme="majorEastAsia" w:cstheme="majorBidi"/>
      <w:b/>
      <w:bCs/>
      <w:color w:val="808080" w:themeColor="background1" w:themeShade="80"/>
      <w:sz w:val="28"/>
      <w:szCs w:val="28"/>
      <w:lang w:eastAsia="en-US"/>
    </w:rPr>
  </w:style>
  <w:style w:type="paragraph" w:styleId="Heading2">
    <w:name w:val="heading 2"/>
    <w:basedOn w:val="Normal"/>
    <w:next w:val="Normal"/>
    <w:link w:val="Heading2Char"/>
    <w:uiPriority w:val="9"/>
    <w:unhideWhenUsed/>
    <w:qFormat/>
    <w:rsid w:val="006206F4"/>
    <w:pPr>
      <w:keepNext/>
      <w:keepLines/>
      <w:spacing w:before="200" w:after="0"/>
      <w:outlineLvl w:val="1"/>
    </w:pPr>
    <w:rPr>
      <w:rFonts w:eastAsiaTheme="majorEastAsia" w:cstheme="majorBidi"/>
      <w:bCs/>
      <w:caps/>
      <w:color w:val="808080" w:themeColor="background1" w:themeShade="80"/>
      <w:sz w:val="24"/>
      <w:szCs w:val="26"/>
    </w:rPr>
  </w:style>
  <w:style w:type="paragraph" w:styleId="Heading3">
    <w:name w:val="heading 3"/>
    <w:basedOn w:val="Normal"/>
    <w:next w:val="Normal"/>
    <w:link w:val="Heading3Char"/>
    <w:uiPriority w:val="9"/>
    <w:unhideWhenUsed/>
    <w:qFormat/>
    <w:rsid w:val="006206F4"/>
    <w:pPr>
      <w:keepNext/>
      <w:keepLines/>
      <w:spacing w:before="200" w:after="0"/>
      <w:outlineLvl w:val="2"/>
    </w:pPr>
    <w:rPr>
      <w:rFonts w:eastAsiaTheme="majorEastAsia" w:cstheme="majorBidi"/>
      <w:b/>
      <w:bCs/>
      <w:i/>
      <w:color w:val="808080" w:themeColor="background1" w:themeShade="80"/>
      <w:sz w:val="24"/>
    </w:rPr>
  </w:style>
  <w:style w:type="paragraph" w:styleId="Heading4">
    <w:name w:val="heading 4"/>
    <w:basedOn w:val="Normal"/>
    <w:next w:val="Normal"/>
    <w:link w:val="Heading4Char"/>
    <w:uiPriority w:val="99"/>
    <w:unhideWhenUsed/>
    <w:qFormat/>
    <w:rsid w:val="006206F4"/>
    <w:pPr>
      <w:keepNext/>
      <w:keepLines/>
      <w:spacing w:before="200" w:after="0"/>
      <w:contextualSpacing/>
      <w:jc w:val="left"/>
      <w:outlineLvl w:val="3"/>
    </w:pPr>
    <w:rPr>
      <w:rFonts w:eastAsiaTheme="majorEastAsia" w:cstheme="majorBidi"/>
      <w:bCs/>
      <w:i/>
      <w:iCs/>
      <w:color w:val="808080" w:themeColor="background1" w:themeShade="80"/>
    </w:rPr>
  </w:style>
  <w:style w:type="paragraph" w:styleId="Heading5">
    <w:name w:val="heading 5"/>
    <w:basedOn w:val="Normal"/>
    <w:next w:val="Normal"/>
    <w:link w:val="Heading5Char"/>
    <w:qFormat/>
    <w:rsid w:val="00583AA8"/>
    <w:pPr>
      <w:spacing w:after="120"/>
      <w:jc w:val="center"/>
      <w:outlineLvl w:val="4"/>
    </w:pPr>
    <w:rPr>
      <w:rFonts w:eastAsiaTheme="minorEastAsia"/>
      <w:b/>
      <w:bCs/>
      <w:i/>
      <w:iCs/>
      <w:sz w:val="26"/>
      <w:szCs w:val="26"/>
    </w:rPr>
  </w:style>
  <w:style w:type="paragraph" w:styleId="Heading6">
    <w:name w:val="heading 6"/>
    <w:basedOn w:val="Normal"/>
    <w:next w:val="Normal"/>
    <w:link w:val="Heading6Char"/>
    <w:qFormat/>
    <w:rsid w:val="00583AA8"/>
    <w:pPr>
      <w:tabs>
        <w:tab w:val="num" w:pos="1152"/>
      </w:tabs>
      <w:spacing w:before="240" w:after="60" w:line="240" w:lineRule="auto"/>
      <w:ind w:left="1152" w:hanging="1152"/>
      <w:outlineLvl w:val="5"/>
    </w:pPr>
    <w:rPr>
      <w:rFonts w:eastAsiaTheme="minorEastAsia"/>
      <w:b/>
      <w:bCs/>
      <w:sz w:val="20"/>
      <w:szCs w:val="20"/>
    </w:rPr>
  </w:style>
  <w:style w:type="paragraph" w:styleId="Heading7">
    <w:name w:val="heading 7"/>
    <w:basedOn w:val="Heading3"/>
    <w:next w:val="Normal"/>
    <w:link w:val="Heading7Char"/>
    <w:uiPriority w:val="9"/>
    <w:unhideWhenUsed/>
    <w:qFormat/>
    <w:rsid w:val="00D37330"/>
    <w:pPr>
      <w:outlineLvl w:val="6"/>
    </w:pPr>
    <w:rPr>
      <w:rFonts w:eastAsia="Times New Roman"/>
      <w:lang w:val="en-CA"/>
    </w:rPr>
  </w:style>
  <w:style w:type="paragraph" w:styleId="Heading8">
    <w:name w:val="heading 8"/>
    <w:basedOn w:val="Normal"/>
    <w:next w:val="Normal"/>
    <w:link w:val="Heading8Char"/>
    <w:uiPriority w:val="9"/>
    <w:unhideWhenUsed/>
    <w:qFormat/>
    <w:rsid w:val="00583AA8"/>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unhideWhenUsed/>
    <w:qFormat/>
    <w:rsid w:val="00583AA8"/>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rsid w:val="00583AA8"/>
    <w:rPr>
      <w:color w:val="0000FF"/>
      <w:u w:val="single"/>
    </w:rPr>
  </w:style>
  <w:style w:type="character" w:styleId="FollowedHyperlink">
    <w:name w:val="FollowedHyperlink"/>
    <w:basedOn w:val="DefaultParagraphFont"/>
    <w:uiPriority w:val="99"/>
    <w:rsid w:val="00583AA8"/>
    <w:rPr>
      <w:color w:val="800080"/>
      <w:u w:val="single"/>
    </w:rPr>
  </w:style>
  <w:style w:type="character" w:styleId="Emphasis">
    <w:name w:val="Emphasis"/>
    <w:basedOn w:val="DefaultParagraphFont"/>
    <w:uiPriority w:val="99"/>
    <w:qFormat/>
    <w:locked/>
    <w:rsid w:val="00583AA8"/>
    <w:rPr>
      <w:i/>
      <w:iCs w:val="0"/>
    </w:rPr>
  </w:style>
  <w:style w:type="character" w:customStyle="1" w:styleId="Heading1Char">
    <w:name w:val="Heading 1 Char"/>
    <w:basedOn w:val="DefaultParagraphFont"/>
    <w:link w:val="Heading1"/>
    <w:uiPriority w:val="9"/>
    <w:locked/>
    <w:rsid w:val="006206F4"/>
    <w:rPr>
      <w:rFonts w:ascii="Calibri" w:eastAsiaTheme="majorEastAsia" w:hAnsi="Calibri" w:cstheme="majorBidi"/>
      <w:b/>
      <w:bCs/>
      <w:color w:val="808080" w:themeColor="background1" w:themeShade="80"/>
      <w:sz w:val="28"/>
      <w:szCs w:val="28"/>
    </w:rPr>
  </w:style>
  <w:style w:type="character" w:customStyle="1" w:styleId="Heading2Char1">
    <w:name w:val="Heading 2 Char1"/>
    <w:uiPriority w:val="9"/>
    <w:locked/>
    <w:rsid w:val="001A2430"/>
    <w:rPr>
      <w:rFonts w:asciiTheme="majorHAnsi" w:eastAsiaTheme="minorEastAsia" w:hAnsiTheme="majorHAnsi" w:cstheme="majorHAnsi"/>
      <w:b/>
      <w:bCs/>
      <w:iCs/>
      <w:sz w:val="28"/>
      <w:szCs w:val="28"/>
    </w:rPr>
  </w:style>
  <w:style w:type="character" w:customStyle="1" w:styleId="Heading2Char">
    <w:name w:val="Heading 2 Char"/>
    <w:basedOn w:val="DefaultParagraphFont"/>
    <w:link w:val="Heading2"/>
    <w:uiPriority w:val="9"/>
    <w:locked/>
    <w:rsid w:val="006206F4"/>
    <w:rPr>
      <w:rFonts w:eastAsiaTheme="majorEastAsia" w:cstheme="majorBidi"/>
      <w:bCs/>
      <w:caps/>
      <w:color w:val="808080" w:themeColor="background1" w:themeShade="80"/>
      <w:sz w:val="24"/>
      <w:szCs w:val="26"/>
      <w:lang w:eastAsia="ja-JP"/>
    </w:rPr>
  </w:style>
  <w:style w:type="character" w:customStyle="1" w:styleId="Heading3Char">
    <w:name w:val="Heading 3 Char"/>
    <w:basedOn w:val="DefaultParagraphFont"/>
    <w:link w:val="Heading3"/>
    <w:uiPriority w:val="9"/>
    <w:locked/>
    <w:rsid w:val="006206F4"/>
    <w:rPr>
      <w:rFonts w:eastAsiaTheme="majorEastAsia" w:cstheme="majorBidi"/>
      <w:b/>
      <w:bCs/>
      <w:i/>
      <w:color w:val="808080" w:themeColor="background1" w:themeShade="80"/>
      <w:sz w:val="24"/>
      <w:lang w:eastAsia="ja-JP"/>
    </w:rPr>
  </w:style>
  <w:style w:type="character" w:customStyle="1" w:styleId="Heading3Char1">
    <w:name w:val="Heading 3 Char1"/>
    <w:aliases w:val="Char1 Char1"/>
    <w:basedOn w:val="DefaultParagraphFont"/>
    <w:uiPriority w:val="99"/>
    <w:rsid w:val="00583AA8"/>
    <w:rPr>
      <w:rFonts w:asciiTheme="majorHAnsi" w:eastAsiaTheme="majorEastAsia" w:hAnsiTheme="majorHAnsi" w:cstheme="majorBidi" w:hint="default"/>
      <w:b/>
      <w:bCs/>
      <w:color w:val="4F81BD" w:themeColor="accent1"/>
      <w:sz w:val="22"/>
      <w:szCs w:val="22"/>
    </w:rPr>
  </w:style>
  <w:style w:type="character" w:customStyle="1" w:styleId="Heading4Char">
    <w:name w:val="Heading 4 Char"/>
    <w:basedOn w:val="DefaultParagraphFont"/>
    <w:link w:val="Heading4"/>
    <w:uiPriority w:val="99"/>
    <w:locked/>
    <w:rsid w:val="006206F4"/>
    <w:rPr>
      <w:rFonts w:ascii="Calibri" w:eastAsiaTheme="majorEastAsia" w:hAnsi="Calibri" w:cstheme="majorBidi"/>
      <w:bCs/>
      <w:i/>
      <w:iCs/>
      <w:color w:val="808080" w:themeColor="background1" w:themeShade="80"/>
      <w:lang w:eastAsia="ja-JP"/>
    </w:rPr>
  </w:style>
  <w:style w:type="character" w:customStyle="1" w:styleId="Heading5Char">
    <w:name w:val="Heading 5 Char"/>
    <w:basedOn w:val="DefaultParagraphFont"/>
    <w:link w:val="Heading5"/>
    <w:locked/>
    <w:rsid w:val="00583AA8"/>
    <w:rPr>
      <w:rFonts w:ascii="Calibri" w:hAnsi="Calibri" w:hint="default"/>
      <w:b/>
      <w:bCs w:val="0"/>
      <w:i/>
      <w:iCs w:val="0"/>
      <w:sz w:val="26"/>
    </w:rPr>
  </w:style>
  <w:style w:type="character" w:customStyle="1" w:styleId="Heading6Char">
    <w:name w:val="Heading 6 Char"/>
    <w:basedOn w:val="DefaultParagraphFont"/>
    <w:link w:val="Heading6"/>
    <w:locked/>
    <w:rsid w:val="00583AA8"/>
    <w:rPr>
      <w:rFonts w:ascii="Calibri" w:hAnsi="Calibri" w:hint="default"/>
      <w:b/>
      <w:bCs w:val="0"/>
    </w:rPr>
  </w:style>
  <w:style w:type="character" w:styleId="Strong">
    <w:name w:val="Strong"/>
    <w:basedOn w:val="DefaultParagraphFont"/>
    <w:uiPriority w:val="22"/>
    <w:qFormat/>
    <w:rsid w:val="00583AA8"/>
    <w:rPr>
      <w:b/>
      <w:bCs w:val="0"/>
    </w:rPr>
  </w:style>
  <w:style w:type="paragraph" w:styleId="NormalWeb">
    <w:name w:val="Normal (Web)"/>
    <w:basedOn w:val="Normal"/>
    <w:uiPriority w:val="99"/>
    <w:rsid w:val="00583AA8"/>
    <w:pPr>
      <w:spacing w:before="100" w:beforeAutospacing="1" w:after="100" w:afterAutospacing="1" w:line="240" w:lineRule="auto"/>
      <w:jc w:val="left"/>
    </w:pPr>
    <w:rPr>
      <w:rFonts w:ascii="Times New Roman" w:hAnsi="Times New Roman"/>
      <w:color w:val="000000"/>
      <w:sz w:val="24"/>
      <w:szCs w:val="24"/>
    </w:rPr>
  </w:style>
  <w:style w:type="character" w:customStyle="1" w:styleId="Heading7Char">
    <w:name w:val="Heading 7 Char"/>
    <w:basedOn w:val="DefaultParagraphFont"/>
    <w:link w:val="Heading7"/>
    <w:uiPriority w:val="9"/>
    <w:locked/>
    <w:rsid w:val="00D37330"/>
    <w:rPr>
      <w:rFonts w:ascii="Calibri" w:eastAsia="Times New Roman" w:hAnsi="Calibri" w:cstheme="majorBidi"/>
      <w:b/>
      <w:bCs/>
      <w:i/>
      <w:color w:val="808080" w:themeColor="background1" w:themeShade="80"/>
      <w:sz w:val="24"/>
      <w:lang w:val="en-CA" w:eastAsia="ja-JP"/>
    </w:rPr>
  </w:style>
  <w:style w:type="character" w:customStyle="1" w:styleId="Heading8Char">
    <w:name w:val="Heading 8 Char"/>
    <w:basedOn w:val="DefaultParagraphFont"/>
    <w:link w:val="Heading8"/>
    <w:uiPriority w:val="9"/>
    <w:locked/>
    <w:rsid w:val="00583AA8"/>
    <w:rPr>
      <w:rFonts w:asciiTheme="majorHAnsi" w:eastAsiaTheme="majorEastAsia" w:hAnsiTheme="majorHAnsi" w:cstheme="majorBidi"/>
      <w:color w:val="404040" w:themeColor="text1" w:themeTint="BF"/>
      <w:sz w:val="20"/>
      <w:szCs w:val="20"/>
      <w:lang w:eastAsia="ja-JP"/>
    </w:rPr>
  </w:style>
  <w:style w:type="character" w:customStyle="1" w:styleId="Heading9Char">
    <w:name w:val="Heading 9 Char"/>
    <w:basedOn w:val="DefaultParagraphFont"/>
    <w:link w:val="Heading9"/>
    <w:uiPriority w:val="9"/>
    <w:locked/>
    <w:rsid w:val="00583AA8"/>
    <w:rPr>
      <w:rFonts w:asciiTheme="majorHAnsi" w:eastAsiaTheme="majorEastAsia" w:hAnsiTheme="majorHAnsi" w:cstheme="majorBidi"/>
      <w:i/>
      <w:iCs/>
      <w:color w:val="404040" w:themeColor="text1" w:themeTint="BF"/>
      <w:sz w:val="20"/>
      <w:szCs w:val="20"/>
      <w:lang w:eastAsia="ja-JP"/>
    </w:rPr>
  </w:style>
  <w:style w:type="paragraph" w:styleId="Index1">
    <w:name w:val="index 1"/>
    <w:basedOn w:val="Normal"/>
    <w:next w:val="Normal"/>
    <w:autoRedefine/>
    <w:uiPriority w:val="99"/>
    <w:rsid w:val="00583AA8"/>
    <w:pPr>
      <w:spacing w:line="240" w:lineRule="auto"/>
      <w:ind w:left="240" w:hanging="240"/>
    </w:pPr>
    <w:rPr>
      <w:sz w:val="24"/>
      <w:szCs w:val="20"/>
    </w:rPr>
  </w:style>
  <w:style w:type="paragraph" w:styleId="TOC1">
    <w:name w:val="toc 1"/>
    <w:aliases w:val="TOC 1-ESCI"/>
    <w:basedOn w:val="Normal"/>
    <w:next w:val="Normal"/>
    <w:autoRedefine/>
    <w:uiPriority w:val="39"/>
    <w:qFormat/>
    <w:rsid w:val="00CB0510"/>
    <w:pPr>
      <w:tabs>
        <w:tab w:val="right" w:leader="dot" w:pos="9350"/>
      </w:tabs>
      <w:spacing w:before="120" w:after="120" w:line="240" w:lineRule="auto"/>
      <w:jc w:val="left"/>
    </w:pPr>
    <w:rPr>
      <w:b/>
      <w:bCs/>
      <w:iCs/>
      <w:noProof/>
      <w:sz w:val="24"/>
      <w:szCs w:val="24"/>
    </w:rPr>
  </w:style>
  <w:style w:type="paragraph" w:styleId="TOC2">
    <w:name w:val="toc 2"/>
    <w:aliases w:val="TOC 2-esci"/>
    <w:basedOn w:val="Normal"/>
    <w:next w:val="Normal"/>
    <w:autoRedefine/>
    <w:uiPriority w:val="39"/>
    <w:qFormat/>
    <w:rsid w:val="00CB0510"/>
    <w:pPr>
      <w:tabs>
        <w:tab w:val="right" w:leader="dot" w:pos="9350"/>
      </w:tabs>
      <w:spacing w:after="60" w:line="240" w:lineRule="auto"/>
      <w:ind w:left="216"/>
      <w:jc w:val="center"/>
    </w:pPr>
    <w:rPr>
      <w:bCs/>
      <w:noProof/>
    </w:rPr>
  </w:style>
  <w:style w:type="paragraph" w:styleId="TOC3">
    <w:name w:val="toc 3"/>
    <w:aliases w:val="TOC 3-esci"/>
    <w:basedOn w:val="Normal"/>
    <w:next w:val="Normal"/>
    <w:autoRedefine/>
    <w:uiPriority w:val="39"/>
    <w:qFormat/>
    <w:rsid w:val="00CB0510"/>
    <w:pPr>
      <w:tabs>
        <w:tab w:val="right" w:leader="dot" w:pos="9350"/>
      </w:tabs>
      <w:spacing w:after="60" w:line="240" w:lineRule="auto"/>
      <w:ind w:left="446"/>
      <w:contextualSpacing/>
      <w:jc w:val="left"/>
    </w:pPr>
    <w:rPr>
      <w:noProof/>
      <w:szCs w:val="20"/>
    </w:rPr>
  </w:style>
  <w:style w:type="paragraph" w:styleId="TOC4">
    <w:name w:val="toc 4"/>
    <w:basedOn w:val="Normal"/>
    <w:next w:val="Normal"/>
    <w:autoRedefine/>
    <w:uiPriority w:val="39"/>
    <w:rsid w:val="00583AA8"/>
    <w:pPr>
      <w:ind w:left="660"/>
      <w:jc w:val="left"/>
    </w:pPr>
    <w:rPr>
      <w:rFonts w:asciiTheme="minorHAnsi" w:hAnsiTheme="minorHAnsi"/>
      <w:sz w:val="20"/>
      <w:szCs w:val="20"/>
    </w:rPr>
  </w:style>
  <w:style w:type="paragraph" w:styleId="TOC5">
    <w:name w:val="toc 5"/>
    <w:basedOn w:val="Normal"/>
    <w:next w:val="Normal"/>
    <w:autoRedefine/>
    <w:uiPriority w:val="39"/>
    <w:rsid w:val="00583AA8"/>
    <w:pPr>
      <w:ind w:left="880"/>
      <w:jc w:val="left"/>
    </w:pPr>
    <w:rPr>
      <w:rFonts w:asciiTheme="minorHAnsi" w:hAnsiTheme="minorHAnsi"/>
      <w:sz w:val="20"/>
      <w:szCs w:val="20"/>
    </w:rPr>
  </w:style>
  <w:style w:type="paragraph" w:styleId="TOC6">
    <w:name w:val="toc 6"/>
    <w:basedOn w:val="Normal"/>
    <w:next w:val="Normal"/>
    <w:autoRedefine/>
    <w:uiPriority w:val="39"/>
    <w:rsid w:val="00583AA8"/>
    <w:pPr>
      <w:ind w:left="1100"/>
      <w:jc w:val="left"/>
    </w:pPr>
    <w:rPr>
      <w:rFonts w:asciiTheme="minorHAnsi" w:hAnsiTheme="minorHAnsi"/>
      <w:sz w:val="20"/>
      <w:szCs w:val="20"/>
    </w:rPr>
  </w:style>
  <w:style w:type="paragraph" w:styleId="TOC7">
    <w:name w:val="toc 7"/>
    <w:basedOn w:val="Normal"/>
    <w:next w:val="Normal"/>
    <w:autoRedefine/>
    <w:uiPriority w:val="39"/>
    <w:rsid w:val="00583AA8"/>
    <w:pPr>
      <w:ind w:left="1320"/>
      <w:jc w:val="left"/>
    </w:pPr>
    <w:rPr>
      <w:rFonts w:asciiTheme="minorHAnsi" w:hAnsiTheme="minorHAnsi"/>
      <w:sz w:val="20"/>
      <w:szCs w:val="20"/>
    </w:rPr>
  </w:style>
  <w:style w:type="paragraph" w:styleId="TOC8">
    <w:name w:val="toc 8"/>
    <w:basedOn w:val="Normal"/>
    <w:next w:val="Normal"/>
    <w:autoRedefine/>
    <w:uiPriority w:val="39"/>
    <w:rsid w:val="00583AA8"/>
    <w:pPr>
      <w:ind w:left="1540"/>
      <w:jc w:val="left"/>
    </w:pPr>
    <w:rPr>
      <w:rFonts w:asciiTheme="minorHAnsi" w:hAnsiTheme="minorHAnsi"/>
      <w:sz w:val="20"/>
      <w:szCs w:val="20"/>
    </w:rPr>
  </w:style>
  <w:style w:type="paragraph" w:styleId="TOC9">
    <w:name w:val="toc 9"/>
    <w:basedOn w:val="Normal"/>
    <w:next w:val="Normal"/>
    <w:autoRedefine/>
    <w:uiPriority w:val="39"/>
    <w:rsid w:val="00583AA8"/>
    <w:pPr>
      <w:ind w:left="1760"/>
      <w:jc w:val="left"/>
    </w:pPr>
    <w:rPr>
      <w:rFonts w:asciiTheme="minorHAnsi" w:hAnsiTheme="minorHAnsi"/>
      <w:sz w:val="20"/>
      <w:szCs w:val="20"/>
    </w:rPr>
  </w:style>
  <w:style w:type="paragraph" w:styleId="CommentText">
    <w:name w:val="annotation text"/>
    <w:basedOn w:val="Normal"/>
    <w:link w:val="CommentTextChar"/>
    <w:uiPriority w:val="99"/>
    <w:rsid w:val="00583AA8"/>
    <w:rPr>
      <w:sz w:val="20"/>
      <w:szCs w:val="20"/>
    </w:rPr>
  </w:style>
  <w:style w:type="character" w:customStyle="1" w:styleId="CommentTextChar">
    <w:name w:val="Comment Text Char"/>
    <w:basedOn w:val="DefaultParagraphFont"/>
    <w:link w:val="CommentText"/>
    <w:uiPriority w:val="99"/>
    <w:locked/>
    <w:rsid w:val="00583AA8"/>
    <w:rPr>
      <w:rFonts w:ascii="Arial" w:hAnsi="Arial" w:cs="Arial" w:hint="default"/>
      <w:sz w:val="20"/>
    </w:rPr>
  </w:style>
  <w:style w:type="paragraph" w:styleId="Header">
    <w:name w:val="header"/>
    <w:basedOn w:val="Normal"/>
    <w:link w:val="HeaderChar"/>
    <w:rsid w:val="00583AA8"/>
    <w:pPr>
      <w:tabs>
        <w:tab w:val="center" w:pos="4320"/>
        <w:tab w:val="right" w:pos="8640"/>
      </w:tabs>
    </w:pPr>
    <w:rPr>
      <w:sz w:val="20"/>
      <w:szCs w:val="20"/>
    </w:rPr>
  </w:style>
  <w:style w:type="character" w:customStyle="1" w:styleId="HeaderChar">
    <w:name w:val="Header Char"/>
    <w:basedOn w:val="DefaultParagraphFont"/>
    <w:link w:val="Header"/>
    <w:locked/>
    <w:rsid w:val="00583AA8"/>
    <w:rPr>
      <w:rFonts w:ascii="Arial" w:hAnsi="Arial" w:cs="Arial" w:hint="default"/>
    </w:rPr>
  </w:style>
  <w:style w:type="paragraph" w:styleId="Footer">
    <w:name w:val="footer"/>
    <w:basedOn w:val="Normal"/>
    <w:link w:val="FooterChar"/>
    <w:uiPriority w:val="99"/>
    <w:rsid w:val="00583AA8"/>
    <w:pPr>
      <w:tabs>
        <w:tab w:val="center" w:pos="4320"/>
        <w:tab w:val="right" w:pos="8640"/>
      </w:tabs>
    </w:pPr>
  </w:style>
  <w:style w:type="character" w:customStyle="1" w:styleId="FooterChar">
    <w:name w:val="Footer Char"/>
    <w:basedOn w:val="DefaultParagraphFont"/>
    <w:link w:val="Footer"/>
    <w:uiPriority w:val="99"/>
    <w:locked/>
    <w:rsid w:val="00583AA8"/>
    <w:rPr>
      <w:rFonts w:ascii="Arial" w:hAnsi="Arial" w:cs="Arial" w:hint="default"/>
      <w:sz w:val="22"/>
      <w:lang w:val="en-US" w:eastAsia="en-US"/>
    </w:rPr>
  </w:style>
  <w:style w:type="character" w:customStyle="1" w:styleId="CaptionChar">
    <w:name w:val="Caption Char"/>
    <w:aliases w:val="Char Char"/>
    <w:uiPriority w:val="35"/>
    <w:locked/>
    <w:rsid w:val="00B00894"/>
  </w:style>
  <w:style w:type="paragraph" w:styleId="TableofFigures">
    <w:name w:val="table of figures"/>
    <w:basedOn w:val="Normal"/>
    <w:next w:val="Normal"/>
    <w:uiPriority w:val="99"/>
    <w:rsid w:val="00C7448A"/>
    <w:pPr>
      <w:spacing w:after="60" w:line="240" w:lineRule="auto"/>
      <w:ind w:left="446" w:hanging="446"/>
      <w:jc w:val="left"/>
    </w:pPr>
    <w:rPr>
      <w:szCs w:val="20"/>
    </w:rPr>
  </w:style>
  <w:style w:type="paragraph" w:styleId="EndnoteText">
    <w:name w:val="endnote text"/>
    <w:basedOn w:val="Normal"/>
    <w:link w:val="EndnoteTextChar"/>
    <w:uiPriority w:val="99"/>
    <w:locked/>
    <w:rsid w:val="00583AA8"/>
    <w:pPr>
      <w:spacing w:line="240" w:lineRule="auto"/>
    </w:pPr>
    <w:rPr>
      <w:sz w:val="20"/>
      <w:szCs w:val="20"/>
    </w:rPr>
  </w:style>
  <w:style w:type="character" w:customStyle="1" w:styleId="EndnoteTextChar">
    <w:name w:val="Endnote Text Char"/>
    <w:basedOn w:val="DefaultParagraphFont"/>
    <w:link w:val="EndnoteText"/>
    <w:uiPriority w:val="99"/>
    <w:locked/>
    <w:rsid w:val="00583AA8"/>
    <w:rPr>
      <w:rFonts w:ascii="Arial" w:hAnsi="Arial" w:cs="Arial" w:hint="default"/>
    </w:rPr>
  </w:style>
  <w:style w:type="paragraph" w:styleId="ListBullet">
    <w:name w:val="List Bullet"/>
    <w:basedOn w:val="Normal"/>
    <w:uiPriority w:val="99"/>
    <w:rsid w:val="00583AA8"/>
    <w:pPr>
      <w:tabs>
        <w:tab w:val="num" w:pos="360"/>
      </w:tabs>
      <w:spacing w:before="40" w:after="100" w:afterAutospacing="1"/>
      <w:ind w:left="360" w:hanging="360"/>
    </w:pPr>
    <w:rPr>
      <w:rFonts w:cs="Arial"/>
      <w:szCs w:val="24"/>
    </w:rPr>
  </w:style>
  <w:style w:type="paragraph" w:styleId="Title">
    <w:name w:val="Title"/>
    <w:basedOn w:val="Normal"/>
    <w:link w:val="TitleChar"/>
    <w:uiPriority w:val="10"/>
    <w:qFormat/>
    <w:rsid w:val="00583AA8"/>
    <w:pPr>
      <w:jc w:val="center"/>
    </w:pPr>
    <w:rPr>
      <w:b/>
    </w:rPr>
  </w:style>
  <w:style w:type="character" w:customStyle="1" w:styleId="TitleChar">
    <w:name w:val="Title Char"/>
    <w:basedOn w:val="DefaultParagraphFont"/>
    <w:link w:val="Title"/>
    <w:uiPriority w:val="10"/>
    <w:locked/>
    <w:rsid w:val="00583AA8"/>
    <w:rPr>
      <w:rFonts w:ascii="Arial" w:hAnsi="Arial" w:cs="Arial" w:hint="default"/>
      <w:b/>
      <w:bCs w:val="0"/>
      <w:sz w:val="22"/>
      <w:lang w:val="en-US" w:eastAsia="en-US"/>
    </w:rPr>
  </w:style>
  <w:style w:type="paragraph" w:styleId="BodyText">
    <w:name w:val="Body Text"/>
    <w:basedOn w:val="Normal"/>
    <w:link w:val="BodyTextChar"/>
    <w:uiPriority w:val="99"/>
    <w:rsid w:val="00583AA8"/>
    <w:rPr>
      <w:sz w:val="20"/>
      <w:szCs w:val="20"/>
    </w:rPr>
  </w:style>
  <w:style w:type="character" w:customStyle="1" w:styleId="BodyTextChar">
    <w:name w:val="Body Text Char"/>
    <w:basedOn w:val="DefaultParagraphFont"/>
    <w:link w:val="BodyText"/>
    <w:uiPriority w:val="99"/>
    <w:locked/>
    <w:rsid w:val="00583AA8"/>
    <w:rPr>
      <w:rFonts w:ascii="Arial" w:hAnsi="Arial" w:cs="Arial" w:hint="default"/>
    </w:rPr>
  </w:style>
  <w:style w:type="paragraph" w:styleId="BodyTextIndent">
    <w:name w:val="Body Text Indent"/>
    <w:basedOn w:val="Normal"/>
    <w:link w:val="BodyTextIndentChar"/>
    <w:rsid w:val="00583AA8"/>
    <w:pPr>
      <w:spacing w:after="120"/>
      <w:ind w:left="360"/>
    </w:pPr>
    <w:rPr>
      <w:sz w:val="20"/>
      <w:szCs w:val="20"/>
    </w:rPr>
  </w:style>
  <w:style w:type="character" w:customStyle="1" w:styleId="BodyTextIndentChar">
    <w:name w:val="Body Text Indent Char"/>
    <w:basedOn w:val="DefaultParagraphFont"/>
    <w:link w:val="BodyTextIndent"/>
    <w:locked/>
    <w:rsid w:val="00583AA8"/>
    <w:rPr>
      <w:rFonts w:ascii="Arial" w:hAnsi="Arial" w:cs="Arial" w:hint="default"/>
    </w:rPr>
  </w:style>
  <w:style w:type="paragraph" w:styleId="BodyText2">
    <w:name w:val="Body Text 2"/>
    <w:basedOn w:val="Normal"/>
    <w:link w:val="BodyText2Char"/>
    <w:rsid w:val="00583AA8"/>
    <w:pPr>
      <w:spacing w:after="120" w:line="480" w:lineRule="auto"/>
    </w:pPr>
    <w:rPr>
      <w:sz w:val="20"/>
      <w:szCs w:val="20"/>
    </w:rPr>
  </w:style>
  <w:style w:type="character" w:customStyle="1" w:styleId="BodyText2Char">
    <w:name w:val="Body Text 2 Char"/>
    <w:basedOn w:val="DefaultParagraphFont"/>
    <w:link w:val="BodyText2"/>
    <w:locked/>
    <w:rsid w:val="00583AA8"/>
    <w:rPr>
      <w:rFonts w:ascii="Arial" w:hAnsi="Arial" w:cs="Arial" w:hint="default"/>
    </w:rPr>
  </w:style>
  <w:style w:type="paragraph" w:styleId="BodyText3">
    <w:name w:val="Body Text 3"/>
    <w:basedOn w:val="Normal"/>
    <w:link w:val="BodyText3Char"/>
    <w:uiPriority w:val="99"/>
    <w:rsid w:val="00583AA8"/>
    <w:pPr>
      <w:spacing w:line="240" w:lineRule="auto"/>
      <w:jc w:val="left"/>
    </w:pPr>
    <w:rPr>
      <w:sz w:val="24"/>
      <w:szCs w:val="20"/>
    </w:rPr>
  </w:style>
  <w:style w:type="character" w:customStyle="1" w:styleId="BodyText3Char">
    <w:name w:val="Body Text 3 Char"/>
    <w:basedOn w:val="DefaultParagraphFont"/>
    <w:link w:val="BodyText3"/>
    <w:uiPriority w:val="99"/>
    <w:locked/>
    <w:rsid w:val="00583AA8"/>
    <w:rPr>
      <w:rFonts w:ascii="Arial" w:hAnsi="Arial" w:cs="Arial" w:hint="default"/>
      <w:sz w:val="24"/>
      <w:lang w:val="en-US" w:eastAsia="en-US"/>
    </w:rPr>
  </w:style>
  <w:style w:type="paragraph" w:styleId="BodyTextIndent2">
    <w:name w:val="Body Text Indent 2"/>
    <w:basedOn w:val="Normal"/>
    <w:link w:val="BodyTextIndent2Char"/>
    <w:uiPriority w:val="99"/>
    <w:rsid w:val="00583AA8"/>
    <w:pPr>
      <w:spacing w:after="120" w:line="480" w:lineRule="auto"/>
      <w:ind w:left="360"/>
    </w:pPr>
    <w:rPr>
      <w:sz w:val="24"/>
      <w:szCs w:val="24"/>
    </w:rPr>
  </w:style>
  <w:style w:type="character" w:customStyle="1" w:styleId="BodyTextIndent2Char">
    <w:name w:val="Body Text Indent 2 Char"/>
    <w:basedOn w:val="DefaultParagraphFont"/>
    <w:link w:val="BodyTextIndent2"/>
    <w:uiPriority w:val="99"/>
    <w:locked/>
    <w:rsid w:val="00583AA8"/>
    <w:rPr>
      <w:rFonts w:ascii="Arial" w:hAnsi="Arial" w:cs="Arial" w:hint="default"/>
      <w:sz w:val="24"/>
    </w:rPr>
  </w:style>
  <w:style w:type="paragraph" w:styleId="BodyTextIndent3">
    <w:name w:val="Body Text Indent 3"/>
    <w:basedOn w:val="Normal"/>
    <w:link w:val="BodyTextIndent3Char"/>
    <w:uiPriority w:val="99"/>
    <w:rsid w:val="00583AA8"/>
    <w:pPr>
      <w:spacing w:after="100" w:afterAutospacing="1"/>
      <w:ind w:left="360"/>
    </w:pPr>
    <w:rPr>
      <w:sz w:val="16"/>
      <w:szCs w:val="16"/>
    </w:rPr>
  </w:style>
  <w:style w:type="character" w:customStyle="1" w:styleId="BodyTextIndent3Char">
    <w:name w:val="Body Text Indent 3 Char"/>
    <w:basedOn w:val="DefaultParagraphFont"/>
    <w:link w:val="BodyTextIndent3"/>
    <w:uiPriority w:val="99"/>
    <w:locked/>
    <w:rsid w:val="00583AA8"/>
    <w:rPr>
      <w:rFonts w:ascii="Arial" w:hAnsi="Arial" w:cs="Arial" w:hint="default"/>
      <w:sz w:val="16"/>
    </w:rPr>
  </w:style>
  <w:style w:type="paragraph" w:styleId="BlockText">
    <w:name w:val="Block Text"/>
    <w:basedOn w:val="Normal"/>
    <w:uiPriority w:val="99"/>
    <w:rsid w:val="00583AA8"/>
    <w:pPr>
      <w:spacing w:line="240" w:lineRule="auto"/>
      <w:ind w:left="720" w:right="810"/>
    </w:pPr>
    <w:rPr>
      <w:sz w:val="24"/>
      <w:szCs w:val="20"/>
    </w:rPr>
  </w:style>
  <w:style w:type="paragraph" w:styleId="PlainText">
    <w:name w:val="Plain Text"/>
    <w:basedOn w:val="Normal"/>
    <w:link w:val="PlainTextChar"/>
    <w:uiPriority w:val="99"/>
    <w:rsid w:val="00583AA8"/>
    <w:pPr>
      <w:spacing w:line="240" w:lineRule="auto"/>
      <w:jc w:val="left"/>
    </w:pPr>
    <w:rPr>
      <w:rFonts w:ascii="Courier New" w:hAnsi="Courier New"/>
      <w:sz w:val="20"/>
      <w:szCs w:val="20"/>
    </w:rPr>
  </w:style>
  <w:style w:type="character" w:customStyle="1" w:styleId="PlainTextChar">
    <w:name w:val="Plain Text Char"/>
    <w:basedOn w:val="DefaultParagraphFont"/>
    <w:link w:val="PlainText"/>
    <w:uiPriority w:val="99"/>
    <w:locked/>
    <w:rsid w:val="00583AA8"/>
    <w:rPr>
      <w:rFonts w:ascii="Courier New" w:hAnsi="Courier New" w:cs="Courier New" w:hint="default"/>
      <w:sz w:val="20"/>
    </w:rPr>
  </w:style>
  <w:style w:type="paragraph" w:styleId="CommentSubject">
    <w:name w:val="annotation subject"/>
    <w:basedOn w:val="CommentText"/>
    <w:next w:val="CommentText"/>
    <w:link w:val="CommentSubjectChar"/>
    <w:uiPriority w:val="99"/>
    <w:rsid w:val="00583AA8"/>
    <w:rPr>
      <w:b/>
      <w:bCs/>
    </w:rPr>
  </w:style>
  <w:style w:type="character" w:customStyle="1" w:styleId="CommentSubjectChar">
    <w:name w:val="Comment Subject Char"/>
    <w:basedOn w:val="CommentTextChar"/>
    <w:link w:val="CommentSubject"/>
    <w:uiPriority w:val="99"/>
    <w:locked/>
    <w:rsid w:val="00583AA8"/>
    <w:rPr>
      <w:rFonts w:ascii="Arial" w:hAnsi="Arial" w:cs="Arial" w:hint="default"/>
      <w:b/>
      <w:bCs w:val="0"/>
      <w:sz w:val="20"/>
    </w:rPr>
  </w:style>
  <w:style w:type="paragraph" w:styleId="BalloonText">
    <w:name w:val="Balloon Text"/>
    <w:basedOn w:val="Normal"/>
    <w:link w:val="BalloonTextChar"/>
    <w:uiPriority w:val="99"/>
    <w:rsid w:val="00583AA8"/>
    <w:rPr>
      <w:rFonts w:ascii="Times New Roman" w:hAnsi="Times New Roman"/>
      <w:sz w:val="24"/>
      <w:szCs w:val="20"/>
    </w:rPr>
  </w:style>
  <w:style w:type="character" w:customStyle="1" w:styleId="BalloonTextChar">
    <w:name w:val="Balloon Text Char"/>
    <w:basedOn w:val="DefaultParagraphFont"/>
    <w:link w:val="BalloonText"/>
    <w:uiPriority w:val="99"/>
    <w:locked/>
    <w:rsid w:val="00583AA8"/>
    <w:rPr>
      <w:sz w:val="24"/>
    </w:rPr>
  </w:style>
  <w:style w:type="paragraph" w:styleId="NoSpacing">
    <w:name w:val="No Spacing"/>
    <w:aliases w:val="Block Citations"/>
    <w:uiPriority w:val="1"/>
    <w:qFormat/>
    <w:rsid w:val="00B10381"/>
    <w:pPr>
      <w:spacing w:after="220" w:line="240" w:lineRule="auto"/>
      <w:ind w:left="720" w:right="720"/>
      <w:mirrorIndents/>
      <w:jc w:val="both"/>
    </w:pPr>
    <w:rPr>
      <w:rFonts w:ascii="Calibri" w:hAnsi="Calibri"/>
      <w:sz w:val="20"/>
      <w:lang w:eastAsia="ja-JP"/>
    </w:rPr>
  </w:style>
  <w:style w:type="paragraph" w:styleId="ListParagraph">
    <w:name w:val="List Paragraph"/>
    <w:basedOn w:val="Normal"/>
    <w:link w:val="ListParagraphChar"/>
    <w:uiPriority w:val="34"/>
    <w:qFormat/>
    <w:rsid w:val="00583AA8"/>
    <w:pPr>
      <w:adjustRightInd w:val="0"/>
      <w:spacing w:after="240"/>
      <w:ind w:left="720"/>
      <w:contextualSpacing/>
    </w:pPr>
  </w:style>
  <w:style w:type="paragraph" w:styleId="TOCHeading">
    <w:name w:val="TOC Heading"/>
    <w:basedOn w:val="Heading1"/>
    <w:next w:val="Normal"/>
    <w:uiPriority w:val="39"/>
    <w:unhideWhenUsed/>
    <w:qFormat/>
    <w:rsid w:val="00583AA8"/>
    <w:pPr>
      <w:spacing w:before="480"/>
      <w:outlineLvl w:val="9"/>
    </w:pPr>
    <w:rPr>
      <w:rFonts w:asciiTheme="majorHAnsi" w:hAnsiTheme="majorHAnsi"/>
      <w:color w:val="365F91" w:themeColor="accent1" w:themeShade="BF"/>
      <w:lang w:eastAsia="ja-JP"/>
    </w:rPr>
  </w:style>
  <w:style w:type="paragraph" w:customStyle="1" w:styleId="FootnoteText1">
    <w:name w:val="Footnote Text1"/>
    <w:basedOn w:val="Normal"/>
    <w:uiPriority w:val="99"/>
    <w:qFormat/>
    <w:rsid w:val="00394E17"/>
    <w:pPr>
      <w:spacing w:line="240" w:lineRule="auto"/>
    </w:pPr>
    <w:rPr>
      <w:sz w:val="20"/>
      <w:szCs w:val="20"/>
    </w:rPr>
  </w:style>
  <w:style w:type="paragraph" w:customStyle="1" w:styleId="Style1">
    <w:name w:val="Style 1"/>
    <w:basedOn w:val="Normal"/>
    <w:next w:val="Normal"/>
    <w:uiPriority w:val="99"/>
    <w:rsid w:val="00583AA8"/>
    <w:pPr>
      <w:jc w:val="center"/>
    </w:pPr>
  </w:style>
  <w:style w:type="paragraph" w:customStyle="1" w:styleId="Style10">
    <w:name w:val="Style1"/>
    <w:basedOn w:val="Heading4"/>
    <w:next w:val="Normal"/>
    <w:uiPriority w:val="99"/>
    <w:qFormat/>
    <w:rsid w:val="00583AA8"/>
    <w:pPr>
      <w:jc w:val="center"/>
    </w:pPr>
    <w:rPr>
      <w:rFonts w:eastAsia="Times New Roman"/>
    </w:rPr>
  </w:style>
  <w:style w:type="paragraph" w:customStyle="1" w:styleId="Recommendation">
    <w:name w:val="Recommendation"/>
    <w:basedOn w:val="ListBullet"/>
    <w:next w:val="Normal"/>
    <w:link w:val="RecommendationChar"/>
    <w:qFormat/>
    <w:rsid w:val="00BC1B94"/>
    <w:pPr>
      <w:tabs>
        <w:tab w:val="clear" w:pos="360"/>
      </w:tabs>
      <w:spacing w:before="0" w:after="0" w:afterAutospacing="0" w:line="240" w:lineRule="auto"/>
      <w:ind w:left="0" w:firstLine="0"/>
      <w:jc w:val="center"/>
    </w:pPr>
    <w:rPr>
      <w:rFonts w:eastAsia="Calibri" w:cs="Times New Roman"/>
      <w:sz w:val="20"/>
      <w:szCs w:val="22"/>
    </w:rPr>
  </w:style>
  <w:style w:type="character" w:customStyle="1" w:styleId="StyleCaptionCenteredChar">
    <w:name w:val="Style Caption + Centered Char"/>
    <w:link w:val="StyleCaptionCentered"/>
    <w:locked/>
    <w:rsid w:val="00583AA8"/>
    <w:rPr>
      <w:rFonts w:ascii="Arial" w:hAnsi="Arial" w:cs="Arial" w:hint="default"/>
      <w:b/>
      <w:bCs w:val="0"/>
      <w:lang w:val="en-US" w:eastAsia="en-US"/>
    </w:rPr>
  </w:style>
  <w:style w:type="paragraph" w:customStyle="1" w:styleId="StyleCaptionCentered">
    <w:name w:val="Style Caption + Centered"/>
    <w:basedOn w:val="Normal"/>
    <w:link w:val="StyleCaptionCenteredChar"/>
    <w:autoRedefine/>
    <w:uiPriority w:val="99"/>
    <w:rsid w:val="00583AA8"/>
  </w:style>
  <w:style w:type="character" w:customStyle="1" w:styleId="Style2Char">
    <w:name w:val="Style2 Char"/>
    <w:link w:val="Style2"/>
    <w:locked/>
    <w:rsid w:val="00B77183"/>
    <w:rPr>
      <w:rFonts w:ascii="Calibri" w:hAnsi="Calibri" w:cs="Arial"/>
      <w:color w:val="000000"/>
      <w:lang w:eastAsia="ja-JP"/>
    </w:rPr>
  </w:style>
  <w:style w:type="paragraph" w:customStyle="1" w:styleId="Style2">
    <w:name w:val="Style2"/>
    <w:basedOn w:val="Normal"/>
    <w:link w:val="Style2Char"/>
    <w:autoRedefine/>
    <w:qFormat/>
    <w:rsid w:val="00B77183"/>
    <w:pPr>
      <w:keepNext/>
      <w:numPr>
        <w:numId w:val="6"/>
      </w:numPr>
      <w:spacing w:after="120" w:line="240" w:lineRule="auto"/>
    </w:pPr>
    <w:rPr>
      <w:rFonts w:cs="Arial"/>
      <w:color w:val="000000"/>
    </w:rPr>
  </w:style>
  <w:style w:type="paragraph" w:customStyle="1" w:styleId="StyleCaptionCentered1">
    <w:name w:val="Style Caption + Centered1"/>
    <w:basedOn w:val="Normal"/>
    <w:autoRedefine/>
    <w:uiPriority w:val="99"/>
    <w:rsid w:val="00583AA8"/>
  </w:style>
  <w:style w:type="paragraph" w:customStyle="1" w:styleId="StyleCentered">
    <w:name w:val="Style Centered"/>
    <w:basedOn w:val="Normal"/>
    <w:autoRedefine/>
    <w:uiPriority w:val="99"/>
    <w:rsid w:val="00583AA8"/>
    <w:rPr>
      <w:rFonts w:cs="Arial"/>
      <w:color w:val="000000"/>
    </w:rPr>
  </w:style>
  <w:style w:type="paragraph" w:customStyle="1" w:styleId="StyleBoldCentered">
    <w:name w:val="Style Bold Centered"/>
    <w:basedOn w:val="Normal"/>
    <w:uiPriority w:val="99"/>
    <w:rsid w:val="00583AA8"/>
    <w:pPr>
      <w:spacing w:line="240" w:lineRule="auto"/>
      <w:jc w:val="center"/>
    </w:pPr>
    <w:rPr>
      <w:b/>
      <w:bCs/>
      <w:szCs w:val="20"/>
    </w:rPr>
  </w:style>
  <w:style w:type="paragraph" w:customStyle="1" w:styleId="Style10ptBoldBlackCenteredBefore1ptAfter0ptLi">
    <w:name w:val="Style 10 pt Bold Black Centered Before:  1 pt After:  0 pt Li..."/>
    <w:basedOn w:val="Normal"/>
    <w:uiPriority w:val="99"/>
    <w:rsid w:val="00583AA8"/>
    <w:pPr>
      <w:widowControl w:val="0"/>
      <w:spacing w:before="20" w:line="240" w:lineRule="auto"/>
      <w:contextualSpacing/>
      <w:jc w:val="center"/>
    </w:pPr>
    <w:rPr>
      <w:b/>
      <w:bCs/>
      <w:color w:val="000000"/>
      <w:sz w:val="20"/>
      <w:szCs w:val="20"/>
    </w:rPr>
  </w:style>
  <w:style w:type="paragraph" w:customStyle="1" w:styleId="Style10ptLeftLinespacingsingle">
    <w:name w:val="Style 10 pt Left Line spacing:  single"/>
    <w:basedOn w:val="Normal"/>
    <w:uiPriority w:val="99"/>
    <w:rsid w:val="00583AA8"/>
    <w:pPr>
      <w:widowControl w:val="0"/>
      <w:spacing w:before="40" w:after="40" w:line="240" w:lineRule="auto"/>
      <w:contextualSpacing/>
      <w:jc w:val="left"/>
    </w:pPr>
    <w:rPr>
      <w:sz w:val="20"/>
      <w:szCs w:val="20"/>
    </w:rPr>
  </w:style>
  <w:style w:type="paragraph" w:customStyle="1" w:styleId="Style10ptBoldUnderlineLeftLinespacingsingle">
    <w:name w:val="Style 10 pt Bold Underline Left Line spacing:  single"/>
    <w:basedOn w:val="Normal"/>
    <w:uiPriority w:val="99"/>
    <w:rsid w:val="00583AA8"/>
    <w:pPr>
      <w:widowControl w:val="0"/>
      <w:spacing w:after="60" w:line="240" w:lineRule="auto"/>
      <w:contextualSpacing/>
      <w:jc w:val="left"/>
    </w:pPr>
    <w:rPr>
      <w:b/>
      <w:bCs/>
      <w:sz w:val="20"/>
      <w:szCs w:val="20"/>
      <w:u w:val="single"/>
    </w:rPr>
  </w:style>
  <w:style w:type="paragraph" w:customStyle="1" w:styleId="xl34">
    <w:name w:val="xl34"/>
    <w:basedOn w:val="Normal"/>
    <w:uiPriority w:val="99"/>
    <w:rsid w:val="00583AA8"/>
    <w:pPr>
      <w:pBdr>
        <w:right w:val="single" w:sz="4" w:space="0" w:color="auto"/>
      </w:pBdr>
      <w:spacing w:before="100" w:after="100" w:line="240" w:lineRule="auto"/>
      <w:jc w:val="center"/>
    </w:pPr>
    <w:rPr>
      <w:rFonts w:ascii="Times New Roman" w:hAnsi="Times New Roman"/>
      <w:szCs w:val="20"/>
    </w:rPr>
  </w:style>
  <w:style w:type="paragraph" w:customStyle="1" w:styleId="StyleLeftBoxSinglesolidlineAuto225ptLinewidth">
    <w:name w:val="Style Left Box: (Single solid line Auto  2.25 pt Line width)"/>
    <w:basedOn w:val="Normal"/>
    <w:uiPriority w:val="99"/>
    <w:rsid w:val="00583AA8"/>
    <w:pPr>
      <w:pBdr>
        <w:top w:val="single" w:sz="18" w:space="1" w:color="auto"/>
        <w:left w:val="single" w:sz="18" w:space="4" w:color="auto"/>
        <w:bottom w:val="single" w:sz="18" w:space="1" w:color="auto"/>
        <w:right w:val="single" w:sz="18" w:space="4" w:color="auto"/>
      </w:pBdr>
      <w:spacing w:line="240" w:lineRule="auto"/>
    </w:pPr>
    <w:rPr>
      <w:sz w:val="24"/>
      <w:szCs w:val="20"/>
    </w:rPr>
  </w:style>
  <w:style w:type="paragraph" w:customStyle="1" w:styleId="StyleCaptionCenteredLinespacingsingle">
    <w:name w:val="Style Caption + Centered Line spacing:  single"/>
    <w:basedOn w:val="Normal"/>
    <w:autoRedefine/>
    <w:uiPriority w:val="99"/>
    <w:rsid w:val="00583AA8"/>
  </w:style>
  <w:style w:type="paragraph" w:customStyle="1" w:styleId="AFCRecommendation">
    <w:name w:val="AFC Recommendation"/>
    <w:basedOn w:val="Recommendation"/>
    <w:uiPriority w:val="99"/>
    <w:rsid w:val="00583AA8"/>
    <w:pPr>
      <w:keepLines/>
      <w:spacing w:before="240"/>
    </w:pPr>
    <w:rPr>
      <w:rFonts w:cs="Arial"/>
    </w:rPr>
  </w:style>
  <w:style w:type="character" w:customStyle="1" w:styleId="Style10ptBoldCenteredLinespacingsingleCharChar">
    <w:name w:val="Style 10 pt Bold Centered Line spacing:  single Char Char"/>
    <w:link w:val="Style10ptBoldCenteredLinespacingsingleChar"/>
    <w:locked/>
    <w:rsid w:val="00583AA8"/>
    <w:rPr>
      <w:rFonts w:ascii="Arial" w:hAnsi="Arial" w:cs="Arial" w:hint="default"/>
      <w:b/>
      <w:bCs w:val="0"/>
    </w:rPr>
  </w:style>
  <w:style w:type="paragraph" w:customStyle="1" w:styleId="Style10ptBoldCenteredLinespacingsingleChar">
    <w:name w:val="Style 10 pt Bold Centered Line spacing:  single Char"/>
    <w:basedOn w:val="Normal"/>
    <w:link w:val="Style10ptBoldCenteredLinespacingsingleCharChar"/>
    <w:rsid w:val="00583AA8"/>
    <w:pPr>
      <w:widowControl w:val="0"/>
      <w:spacing w:before="20" w:after="20" w:line="240" w:lineRule="auto"/>
      <w:jc w:val="center"/>
    </w:pPr>
    <w:rPr>
      <w:b/>
      <w:bCs/>
      <w:sz w:val="20"/>
      <w:szCs w:val="20"/>
    </w:rPr>
  </w:style>
  <w:style w:type="character" w:customStyle="1" w:styleId="ESCiBulletCharChar">
    <w:name w:val="ESCi Bullet Char Char"/>
    <w:link w:val="ESCiBulletChar"/>
    <w:locked/>
    <w:rsid w:val="00583AA8"/>
    <w:rPr>
      <w:rFonts w:ascii="Arial" w:hAnsi="Arial" w:cs="Arial" w:hint="default"/>
      <w:color w:val="000000"/>
      <w:sz w:val="24"/>
    </w:rPr>
  </w:style>
  <w:style w:type="paragraph" w:customStyle="1" w:styleId="ESCiBulletChar">
    <w:name w:val="ESCi Bullet Char"/>
    <w:basedOn w:val="Normal"/>
    <w:link w:val="ESCiBulletCharChar"/>
    <w:autoRedefine/>
    <w:rsid w:val="00583AA8"/>
    <w:pPr>
      <w:spacing w:after="240"/>
    </w:pPr>
    <w:rPr>
      <w:color w:val="000000"/>
      <w:sz w:val="24"/>
      <w:szCs w:val="24"/>
    </w:rPr>
  </w:style>
  <w:style w:type="paragraph" w:customStyle="1" w:styleId="ESCiHeading2">
    <w:name w:val="ESCi Heading 2"/>
    <w:basedOn w:val="Heading2"/>
    <w:autoRedefine/>
    <w:uiPriority w:val="99"/>
    <w:rsid w:val="00583AA8"/>
    <w:rPr>
      <w:rFonts w:eastAsia="Times New Roman"/>
      <w:bCs w:val="0"/>
      <w:iCs/>
      <w:color w:val="000080"/>
    </w:rPr>
  </w:style>
  <w:style w:type="paragraph" w:customStyle="1" w:styleId="SubHeading">
    <w:name w:val="SubHeading"/>
    <w:basedOn w:val="Heading4"/>
    <w:uiPriority w:val="99"/>
    <w:rsid w:val="00583AA8"/>
    <w:rPr>
      <w:rFonts w:eastAsia="Times New Roman" w:cs="Arial"/>
      <w:b/>
      <w:i w:val="0"/>
    </w:rPr>
  </w:style>
  <w:style w:type="paragraph" w:customStyle="1" w:styleId="xl25">
    <w:name w:val="xl25"/>
    <w:basedOn w:val="Normal"/>
    <w:uiPriority w:val="99"/>
    <w:rsid w:val="00583AA8"/>
    <w:pPr>
      <w:pBdr>
        <w:top w:val="single" w:sz="8" w:space="0" w:color="auto"/>
        <w:left w:val="single" w:sz="4" w:space="0" w:color="auto"/>
        <w:bottom w:val="single" w:sz="4" w:space="0" w:color="auto"/>
        <w:right w:val="single" w:sz="8" w:space="0" w:color="auto"/>
      </w:pBdr>
      <w:spacing w:before="100" w:beforeAutospacing="1" w:line="240" w:lineRule="auto"/>
      <w:jc w:val="center"/>
    </w:pPr>
    <w:rPr>
      <w:rFonts w:ascii="Arial Unicode MS" w:eastAsia="Arial Unicode MS" w:hAnsi="Times New Roman" w:cs="Arial Unicode MS"/>
      <w:sz w:val="24"/>
      <w:szCs w:val="24"/>
    </w:rPr>
  </w:style>
  <w:style w:type="paragraph" w:customStyle="1" w:styleId="TableSpacer">
    <w:name w:val="Table Spacer"/>
    <w:basedOn w:val="Normal"/>
    <w:uiPriority w:val="99"/>
    <w:rsid w:val="00583AA8"/>
    <w:pPr>
      <w:spacing w:line="240" w:lineRule="auto"/>
    </w:pPr>
    <w:rPr>
      <w:sz w:val="20"/>
      <w:szCs w:val="24"/>
    </w:rPr>
  </w:style>
  <w:style w:type="paragraph" w:customStyle="1" w:styleId="MinorHeading">
    <w:name w:val="Minor Heading"/>
    <w:basedOn w:val="Heading5"/>
    <w:uiPriority w:val="99"/>
    <w:rsid w:val="00583AA8"/>
    <w:pPr>
      <w:keepNext/>
      <w:spacing w:before="80" w:after="100" w:line="240" w:lineRule="auto"/>
      <w:jc w:val="left"/>
    </w:pPr>
    <w:rPr>
      <w:rFonts w:eastAsia="Times New Roman" w:cs="Times New Roman"/>
      <w:b w:val="0"/>
      <w:i w:val="0"/>
      <w:color w:val="000000"/>
      <w:u w:val="single"/>
    </w:rPr>
  </w:style>
  <w:style w:type="paragraph" w:customStyle="1" w:styleId="StyleStyleCaptionCenteredLinespacingsingleNotBold">
    <w:name w:val="Style Style Caption + Centered Line spacing:  single + Not Bold"/>
    <w:basedOn w:val="StyleCaptionCenteredLinespacingsingle"/>
    <w:uiPriority w:val="99"/>
    <w:rsid w:val="00583AA8"/>
    <w:rPr>
      <w:b/>
      <w:bCs/>
    </w:rPr>
  </w:style>
  <w:style w:type="paragraph" w:customStyle="1" w:styleId="StyleHeading2">
    <w:name w:val="Style Heading 2"/>
    <w:basedOn w:val="Heading2"/>
    <w:uiPriority w:val="99"/>
    <w:rsid w:val="00583AA8"/>
    <w:pPr>
      <w:spacing w:before="240" w:after="60"/>
    </w:pPr>
    <w:rPr>
      <w:rFonts w:eastAsia="Times New Roman"/>
      <w:iCs/>
      <w:szCs w:val="20"/>
    </w:rPr>
  </w:style>
  <w:style w:type="paragraph" w:customStyle="1" w:styleId="StyleHeading3Heading3CharCharChar11pt">
    <w:name w:val="Style Heading 3Heading 3 Char Char Char + 11 pt"/>
    <w:basedOn w:val="Heading3"/>
    <w:uiPriority w:val="99"/>
    <w:rsid w:val="00583AA8"/>
    <w:pPr>
      <w:spacing w:line="240" w:lineRule="auto"/>
    </w:pPr>
    <w:rPr>
      <w:rFonts w:eastAsia="Times New Roman"/>
      <w:bCs w:val="0"/>
      <w:color w:val="000000"/>
      <w:szCs w:val="24"/>
    </w:rPr>
  </w:style>
  <w:style w:type="paragraph" w:customStyle="1" w:styleId="StyleBodyTextTimesNewRoman">
    <w:name w:val="Style Body Text + Times New Roman"/>
    <w:basedOn w:val="BodyText"/>
    <w:uiPriority w:val="99"/>
    <w:rsid w:val="00583AA8"/>
    <w:pPr>
      <w:spacing w:line="240" w:lineRule="auto"/>
      <w:jc w:val="left"/>
    </w:pPr>
    <w:rPr>
      <w:kern w:val="28"/>
      <w:szCs w:val="22"/>
    </w:rPr>
  </w:style>
  <w:style w:type="paragraph" w:customStyle="1" w:styleId="StyleBodyTextTimesNewRomanBold">
    <w:name w:val="Style Body Text + Times New Roman Bold"/>
    <w:basedOn w:val="BodyText"/>
    <w:autoRedefine/>
    <w:uiPriority w:val="99"/>
    <w:rsid w:val="00583AA8"/>
    <w:pPr>
      <w:spacing w:line="240" w:lineRule="auto"/>
      <w:jc w:val="left"/>
    </w:pPr>
    <w:rPr>
      <w:bCs/>
      <w:kern w:val="28"/>
      <w:szCs w:val="22"/>
    </w:rPr>
  </w:style>
  <w:style w:type="paragraph" w:customStyle="1" w:styleId="StyleBodyTextLeft025Hanging05">
    <w:name w:val="Style Body Text + Left:  0.25&quot; Hanging:  0.5&quot;"/>
    <w:basedOn w:val="BodyText"/>
    <w:autoRedefine/>
    <w:uiPriority w:val="99"/>
    <w:rsid w:val="00583AA8"/>
    <w:pPr>
      <w:spacing w:line="240" w:lineRule="auto"/>
      <w:ind w:left="720" w:hanging="720"/>
    </w:pPr>
    <w:rPr>
      <w:kern w:val="28"/>
      <w:szCs w:val="22"/>
    </w:rPr>
  </w:style>
  <w:style w:type="paragraph" w:customStyle="1" w:styleId="StyleHeading3Left025Hanging05">
    <w:name w:val="Style Heading 3 + Left:  0.25&quot; Hanging:  0.5&quot;"/>
    <w:basedOn w:val="Heading3"/>
    <w:autoRedefine/>
    <w:uiPriority w:val="99"/>
    <w:rsid w:val="00583AA8"/>
    <w:pPr>
      <w:spacing w:line="240" w:lineRule="auto"/>
      <w:ind w:hanging="720"/>
    </w:pPr>
    <w:rPr>
      <w:rFonts w:eastAsia="Times New Roman"/>
      <w:color w:val="000000"/>
    </w:rPr>
  </w:style>
  <w:style w:type="paragraph" w:customStyle="1" w:styleId="StyleLeftLeft0">
    <w:name w:val="Style Left Left:  0&quot;"/>
    <w:basedOn w:val="Normal"/>
    <w:autoRedefine/>
    <w:uiPriority w:val="99"/>
    <w:rsid w:val="00583AA8"/>
    <w:pPr>
      <w:spacing w:line="240" w:lineRule="auto"/>
      <w:jc w:val="left"/>
    </w:pPr>
    <w:rPr>
      <w:sz w:val="24"/>
      <w:szCs w:val="20"/>
    </w:rPr>
  </w:style>
  <w:style w:type="paragraph" w:customStyle="1" w:styleId="StyleBodyTextBold">
    <w:name w:val="Style Body Text + Bold"/>
    <w:basedOn w:val="BodyText"/>
    <w:autoRedefine/>
    <w:uiPriority w:val="99"/>
    <w:rsid w:val="00583AA8"/>
    <w:pPr>
      <w:spacing w:line="240" w:lineRule="auto"/>
      <w:jc w:val="left"/>
    </w:pPr>
    <w:rPr>
      <w:bCs/>
      <w:kern w:val="28"/>
      <w:szCs w:val="22"/>
    </w:rPr>
  </w:style>
  <w:style w:type="paragraph" w:customStyle="1" w:styleId="StyleBodyTextBodyTextCharTimesNewRoman">
    <w:name w:val="Style Body TextBody Text Char + Times New Roman"/>
    <w:basedOn w:val="BodyText"/>
    <w:uiPriority w:val="99"/>
    <w:rsid w:val="00583AA8"/>
    <w:pPr>
      <w:tabs>
        <w:tab w:val="left" w:pos="-720"/>
      </w:tabs>
      <w:suppressAutoHyphens/>
      <w:spacing w:line="240" w:lineRule="auto"/>
    </w:pPr>
    <w:rPr>
      <w:spacing w:val="-3"/>
      <w:kern w:val="28"/>
    </w:rPr>
  </w:style>
  <w:style w:type="paragraph" w:customStyle="1" w:styleId="StyleHeading2TimesNewRomanNotItalic">
    <w:name w:val="Style Heading 2 + Times New Roman Not Italic"/>
    <w:basedOn w:val="Heading2"/>
    <w:uiPriority w:val="99"/>
    <w:rsid w:val="00583AA8"/>
    <w:pPr>
      <w:spacing w:before="240" w:after="60"/>
      <w:ind w:left="360"/>
    </w:pPr>
    <w:rPr>
      <w:rFonts w:eastAsia="Times New Roman"/>
      <w:szCs w:val="20"/>
    </w:rPr>
  </w:style>
  <w:style w:type="paragraph" w:customStyle="1" w:styleId="StyleHeading1Heading1Char-IChar-IIIIIIChar-I-IIIII">
    <w:name w:val="Style Heading 1Heading 1 Char- I Char-I.II.III Char- I-I.II.II..."/>
    <w:basedOn w:val="Heading1"/>
    <w:uiPriority w:val="99"/>
    <w:rsid w:val="00583AA8"/>
    <w:pPr>
      <w:spacing w:before="40" w:after="100" w:afterAutospacing="1"/>
    </w:pPr>
    <w:rPr>
      <w:b w:val="0"/>
      <w:szCs w:val="20"/>
    </w:rPr>
  </w:style>
  <w:style w:type="paragraph" w:customStyle="1" w:styleId="Style10ptBoldLinespacingsingle1">
    <w:name w:val="Style 10 pt Bold Line spacing:  single1"/>
    <w:basedOn w:val="Normal"/>
    <w:next w:val="Normal"/>
    <w:uiPriority w:val="99"/>
    <w:rsid w:val="00583AA8"/>
    <w:pPr>
      <w:spacing w:line="240" w:lineRule="auto"/>
    </w:pPr>
    <w:rPr>
      <w:sz w:val="24"/>
      <w:szCs w:val="20"/>
    </w:rPr>
  </w:style>
  <w:style w:type="paragraph" w:customStyle="1" w:styleId="Style10ptBoldLinespacingsingle2">
    <w:name w:val="Style 10 pt Bold Line spacing:  single2"/>
    <w:basedOn w:val="Normal"/>
    <w:uiPriority w:val="99"/>
    <w:rsid w:val="00583AA8"/>
    <w:pPr>
      <w:spacing w:line="240" w:lineRule="auto"/>
    </w:pPr>
    <w:rPr>
      <w:b/>
      <w:sz w:val="24"/>
      <w:szCs w:val="20"/>
    </w:rPr>
  </w:style>
  <w:style w:type="paragraph" w:customStyle="1" w:styleId="Style10ptBoldLinespacingsingle3">
    <w:name w:val="Style 10 pt Bold Line spacing:  single3"/>
    <w:basedOn w:val="Normal"/>
    <w:uiPriority w:val="99"/>
    <w:rsid w:val="00583AA8"/>
    <w:pPr>
      <w:spacing w:line="240" w:lineRule="auto"/>
    </w:pPr>
    <w:rPr>
      <w:b/>
      <w:sz w:val="24"/>
      <w:szCs w:val="20"/>
    </w:rPr>
  </w:style>
  <w:style w:type="paragraph" w:customStyle="1" w:styleId="Style10ptBoldLinespacingsingle4">
    <w:name w:val="Style 10 pt Bold Line spacing:  single4"/>
    <w:basedOn w:val="Normal"/>
    <w:uiPriority w:val="99"/>
    <w:rsid w:val="00583AA8"/>
    <w:pPr>
      <w:spacing w:line="240" w:lineRule="auto"/>
    </w:pPr>
    <w:rPr>
      <w:b/>
      <w:sz w:val="24"/>
      <w:szCs w:val="20"/>
    </w:rPr>
  </w:style>
  <w:style w:type="paragraph" w:customStyle="1" w:styleId="StyleHeading2Heading2Char4Heading2Char3CharHeading2Char">
    <w:name w:val="Style Heading 2Heading 2 Char4Heading 2 Char3 CharHeading 2 Char..."/>
    <w:basedOn w:val="Heading2"/>
    <w:uiPriority w:val="99"/>
    <w:rsid w:val="00583AA8"/>
    <w:rPr>
      <w:rFonts w:eastAsia="Times New Roman"/>
      <w:bCs w:val="0"/>
      <w:iCs/>
      <w:szCs w:val="20"/>
    </w:rPr>
  </w:style>
  <w:style w:type="paragraph" w:customStyle="1" w:styleId="StyleHeading1Heading1CharHeading1CharCharCharHeading1C">
    <w:name w:val="Style Heading 1Heading 1 CharHeading 1 Char Char CharHeading 1 C..."/>
    <w:basedOn w:val="Heading1"/>
    <w:uiPriority w:val="99"/>
    <w:rsid w:val="00583AA8"/>
    <w:pPr>
      <w:spacing w:before="40" w:after="100" w:afterAutospacing="1"/>
    </w:pPr>
    <w:rPr>
      <w:szCs w:val="36"/>
    </w:rPr>
  </w:style>
  <w:style w:type="paragraph" w:customStyle="1" w:styleId="StyleHeading2Heading2Char4Heading2Char3CharHeading2Char1">
    <w:name w:val="Style Heading 2Heading 2 Char4Heading 2 Char3 CharHeading 2 Char...1"/>
    <w:basedOn w:val="Heading2"/>
    <w:uiPriority w:val="99"/>
    <w:rsid w:val="00583AA8"/>
    <w:rPr>
      <w:rFonts w:eastAsia="Times New Roman"/>
      <w:bCs w:val="0"/>
      <w:szCs w:val="20"/>
    </w:rPr>
  </w:style>
  <w:style w:type="paragraph" w:customStyle="1" w:styleId="Style9ptBoldItalicAllcapsCenteredLinespacingsingle">
    <w:name w:val="Style 9 pt Bold Italic All caps Centered Line spacing:  single"/>
    <w:basedOn w:val="Normal"/>
    <w:uiPriority w:val="99"/>
    <w:rsid w:val="00583AA8"/>
    <w:pPr>
      <w:spacing w:line="240" w:lineRule="auto"/>
      <w:jc w:val="center"/>
    </w:pPr>
    <w:rPr>
      <w:b/>
      <w:bCs/>
      <w:i/>
      <w:iCs/>
      <w:sz w:val="18"/>
      <w:szCs w:val="18"/>
    </w:rPr>
  </w:style>
  <w:style w:type="paragraph" w:customStyle="1" w:styleId="Style9ptBoldItalicRedAllcapsCenteredLinespacings">
    <w:name w:val="Style 9 pt Bold Italic Red All caps Centered Line spacing:  s..."/>
    <w:basedOn w:val="Normal"/>
    <w:uiPriority w:val="99"/>
    <w:rsid w:val="00583AA8"/>
    <w:pPr>
      <w:spacing w:line="240" w:lineRule="auto"/>
      <w:jc w:val="center"/>
    </w:pPr>
    <w:rPr>
      <w:b/>
      <w:bCs/>
      <w:i/>
      <w:iCs/>
      <w:sz w:val="18"/>
      <w:szCs w:val="18"/>
    </w:rPr>
  </w:style>
  <w:style w:type="paragraph" w:customStyle="1" w:styleId="StyleHeading1Centered">
    <w:name w:val="Style Heading 1 + Centered"/>
    <w:basedOn w:val="Heading1"/>
    <w:uiPriority w:val="99"/>
    <w:rsid w:val="00583AA8"/>
    <w:pPr>
      <w:spacing w:before="40" w:after="100" w:afterAutospacing="1"/>
    </w:pPr>
    <w:rPr>
      <w:bCs w:val="0"/>
      <w:szCs w:val="20"/>
    </w:rPr>
  </w:style>
  <w:style w:type="paragraph" w:customStyle="1" w:styleId="StyleHeading2Justified">
    <w:name w:val="Style Heading 2 + Justified"/>
    <w:basedOn w:val="Heading2"/>
    <w:uiPriority w:val="99"/>
    <w:rsid w:val="00583AA8"/>
    <w:rPr>
      <w:rFonts w:eastAsia="Times New Roman"/>
      <w:bCs w:val="0"/>
      <w:iCs/>
      <w:szCs w:val="20"/>
    </w:rPr>
  </w:style>
  <w:style w:type="paragraph" w:customStyle="1" w:styleId="StyleHeading118pt">
    <w:name w:val="Style Heading 1 + 18 pt"/>
    <w:basedOn w:val="Heading1"/>
    <w:uiPriority w:val="99"/>
    <w:rsid w:val="00583AA8"/>
    <w:pPr>
      <w:spacing w:before="40" w:after="100" w:afterAutospacing="1"/>
    </w:pPr>
    <w:rPr>
      <w:bCs w:val="0"/>
      <w:szCs w:val="20"/>
    </w:rPr>
  </w:style>
  <w:style w:type="paragraph" w:customStyle="1" w:styleId="StyleHeading2LeftLeft05">
    <w:name w:val="Style Heading 2 + Left Left:  0.5&quot;"/>
    <w:basedOn w:val="Heading2"/>
    <w:uiPriority w:val="99"/>
    <w:rsid w:val="00583AA8"/>
    <w:rPr>
      <w:rFonts w:eastAsia="Times New Roman"/>
      <w:bCs w:val="0"/>
      <w:iCs/>
    </w:rPr>
  </w:style>
  <w:style w:type="paragraph" w:customStyle="1" w:styleId="Style16ptBoldCentered">
    <w:name w:val="Style 16 pt Bold Centered"/>
    <w:basedOn w:val="Heading9"/>
    <w:uiPriority w:val="99"/>
    <w:rsid w:val="00583AA8"/>
    <w:pPr>
      <w:jc w:val="center"/>
    </w:pPr>
    <w:rPr>
      <w:rFonts w:cs="Arial"/>
      <w:b/>
      <w:bCs/>
      <w:i w:val="0"/>
      <w:sz w:val="32"/>
    </w:rPr>
  </w:style>
  <w:style w:type="paragraph" w:customStyle="1" w:styleId="StyleStyleHeading2Before0ptAfter0ptItalic">
    <w:name w:val="Style Style Heading 2 + Before:  0 pt After:  0 pt + Italic"/>
    <w:basedOn w:val="Normal"/>
    <w:uiPriority w:val="99"/>
    <w:rsid w:val="00583AA8"/>
    <w:pPr>
      <w:keepNext/>
      <w:spacing w:line="240" w:lineRule="auto"/>
      <w:jc w:val="left"/>
      <w:outlineLvl w:val="1"/>
    </w:pPr>
    <w:rPr>
      <w:b/>
      <w:bCs/>
      <w:iCs/>
      <w:sz w:val="28"/>
      <w:szCs w:val="20"/>
    </w:rPr>
  </w:style>
  <w:style w:type="paragraph" w:customStyle="1" w:styleId="StyleHeading1KabelUltBTNotBoldPlum">
    <w:name w:val="Style Heading 1 + Kabel Ult BT Not Bold Plum"/>
    <w:basedOn w:val="Heading1"/>
    <w:uiPriority w:val="99"/>
    <w:rsid w:val="00583AA8"/>
    <w:pPr>
      <w:spacing w:before="40" w:after="100" w:afterAutospacing="1"/>
    </w:pPr>
    <w:rPr>
      <w:rFonts w:ascii="Kabel Ult BT" w:hAnsi="Kabel Ult BT"/>
      <w:b w:val="0"/>
      <w:color w:val="333399"/>
    </w:rPr>
  </w:style>
  <w:style w:type="paragraph" w:customStyle="1" w:styleId="StyleLinespacingDouble">
    <w:name w:val="Style Line spacing:  Double"/>
    <w:basedOn w:val="Normal"/>
    <w:uiPriority w:val="99"/>
    <w:rsid w:val="00583AA8"/>
    <w:pPr>
      <w:jc w:val="left"/>
    </w:pPr>
    <w:rPr>
      <w:sz w:val="24"/>
      <w:szCs w:val="20"/>
    </w:rPr>
  </w:style>
  <w:style w:type="paragraph" w:customStyle="1" w:styleId="StyleLatinArial11ptJustified">
    <w:name w:val="Style (Latin) Arial 11 pt Justified"/>
    <w:basedOn w:val="Normal"/>
    <w:next w:val="Normal"/>
    <w:uiPriority w:val="99"/>
    <w:rsid w:val="00583AA8"/>
    <w:pPr>
      <w:spacing w:line="240" w:lineRule="auto"/>
      <w:jc w:val="left"/>
    </w:pPr>
    <w:rPr>
      <w:sz w:val="24"/>
      <w:szCs w:val="20"/>
    </w:rPr>
  </w:style>
  <w:style w:type="paragraph" w:customStyle="1" w:styleId="StyleCaptionCentered2">
    <w:name w:val="Style Caption + Centered2"/>
    <w:basedOn w:val="Normal"/>
    <w:uiPriority w:val="99"/>
    <w:rsid w:val="00583AA8"/>
  </w:style>
  <w:style w:type="paragraph" w:customStyle="1" w:styleId="EmailStyle1421">
    <w:name w:val="EmailStyle1421"/>
    <w:basedOn w:val="Normal"/>
    <w:uiPriority w:val="99"/>
    <w:semiHidden/>
    <w:rsid w:val="00583AA8"/>
    <w:pPr>
      <w:spacing w:after="100" w:afterAutospacing="1"/>
    </w:pPr>
    <w:rPr>
      <w:szCs w:val="24"/>
    </w:rPr>
  </w:style>
  <w:style w:type="paragraph" w:customStyle="1" w:styleId="StyleLinespacingsingle">
    <w:name w:val="Style Line spacing:  single"/>
    <w:basedOn w:val="Normal"/>
    <w:uiPriority w:val="99"/>
    <w:rsid w:val="00583AA8"/>
    <w:pPr>
      <w:spacing w:line="240" w:lineRule="auto"/>
    </w:pPr>
    <w:rPr>
      <w:sz w:val="20"/>
      <w:szCs w:val="20"/>
    </w:rPr>
  </w:style>
  <w:style w:type="paragraph" w:customStyle="1" w:styleId="StyleHeading2BoxShadowedSinglesolidlineAuto3ptLin">
    <w:name w:val="Style Heading 2 + Box: (Shadowed Single solid line Auto  3 pt Lin..."/>
    <w:basedOn w:val="Heading2"/>
    <w:uiPriority w:val="99"/>
    <w:rsid w:val="00583AA8"/>
    <w:pPr>
      <w:pBdr>
        <w:top w:val="single" w:sz="24" w:space="1" w:color="auto" w:shadow="1"/>
        <w:left w:val="single" w:sz="24" w:space="4" w:color="auto" w:shadow="1"/>
        <w:bottom w:val="single" w:sz="24" w:space="1" w:color="auto" w:shadow="1"/>
        <w:right w:val="single" w:sz="24" w:space="4" w:color="auto" w:shadow="1"/>
      </w:pBdr>
      <w:shd w:val="clear" w:color="auto" w:fill="FFFF99"/>
      <w:spacing w:after="100" w:afterAutospacing="1"/>
    </w:pPr>
    <w:rPr>
      <w:rFonts w:ascii="Comic Sans MS" w:eastAsia="Times New Roman" w:hAnsi="Comic Sans MS"/>
      <w:bCs w:val="0"/>
      <w:iCs/>
    </w:rPr>
  </w:style>
  <w:style w:type="paragraph" w:customStyle="1" w:styleId="Style14ptBoldCenteredLinespacingsingle">
    <w:name w:val="Style 14 pt Bold Centered Line spacing:  single"/>
    <w:basedOn w:val="Normal"/>
    <w:uiPriority w:val="99"/>
    <w:rsid w:val="00583AA8"/>
    <w:pPr>
      <w:spacing w:line="240" w:lineRule="auto"/>
      <w:jc w:val="center"/>
    </w:pPr>
    <w:rPr>
      <w:b/>
      <w:bCs/>
      <w:sz w:val="24"/>
      <w:szCs w:val="24"/>
    </w:rPr>
  </w:style>
  <w:style w:type="character" w:customStyle="1" w:styleId="StyleBoldCenteredCharChar">
    <w:name w:val="Style Bold Centered Char Char"/>
    <w:link w:val="StyleBoldCenteredChar"/>
    <w:locked/>
    <w:rsid w:val="00583AA8"/>
    <w:rPr>
      <w:rFonts w:ascii="Arial" w:hAnsi="Arial" w:cs="Arial" w:hint="default"/>
      <w:b/>
      <w:bCs w:val="0"/>
    </w:rPr>
  </w:style>
  <w:style w:type="paragraph" w:customStyle="1" w:styleId="StyleBoldCenteredChar">
    <w:name w:val="Style Bold Centered Char"/>
    <w:basedOn w:val="Normal"/>
    <w:link w:val="StyleBoldCenteredCharChar"/>
    <w:rsid w:val="00583AA8"/>
    <w:pPr>
      <w:spacing w:before="40" w:after="40" w:line="240" w:lineRule="auto"/>
      <w:jc w:val="center"/>
    </w:pPr>
    <w:rPr>
      <w:b/>
      <w:bCs/>
      <w:sz w:val="20"/>
      <w:szCs w:val="20"/>
    </w:rPr>
  </w:style>
  <w:style w:type="character" w:customStyle="1" w:styleId="StyleCenteredBefore6ptAfterAutoLinespacingsingleCharChar">
    <w:name w:val="Style Centered Before:  6 pt After:  Auto Line spacing:  single Char Char"/>
    <w:link w:val="StyleCenteredBefore6ptAfterAutoLinespacingsingleChar"/>
    <w:locked/>
    <w:rsid w:val="00583AA8"/>
    <w:rPr>
      <w:rFonts w:ascii="Arial" w:hAnsi="Arial" w:cs="Arial" w:hint="default"/>
      <w:sz w:val="18"/>
    </w:rPr>
  </w:style>
  <w:style w:type="paragraph" w:customStyle="1" w:styleId="StyleCenteredBefore6ptAfterAutoLinespacingsingleChar">
    <w:name w:val="Style Centered Before:  6 pt After:  Auto Line spacing:  single Char"/>
    <w:basedOn w:val="Normal"/>
    <w:link w:val="StyleCenteredBefore6ptAfterAutoLinespacingsingleCharChar"/>
    <w:rsid w:val="00583AA8"/>
    <w:pPr>
      <w:spacing w:before="40" w:after="40" w:line="240" w:lineRule="auto"/>
      <w:jc w:val="center"/>
    </w:pPr>
    <w:rPr>
      <w:sz w:val="18"/>
      <w:szCs w:val="18"/>
    </w:rPr>
  </w:style>
  <w:style w:type="paragraph" w:customStyle="1" w:styleId="Style10ptBoldCentered">
    <w:name w:val="Style 10 pt Bold Centered"/>
    <w:basedOn w:val="Normal"/>
    <w:uiPriority w:val="99"/>
    <w:rsid w:val="00583AA8"/>
    <w:pPr>
      <w:spacing w:before="40" w:after="40" w:line="240" w:lineRule="auto"/>
      <w:jc w:val="center"/>
    </w:pPr>
    <w:rPr>
      <w:b/>
      <w:bCs/>
      <w:sz w:val="20"/>
      <w:szCs w:val="20"/>
    </w:rPr>
  </w:style>
  <w:style w:type="paragraph" w:customStyle="1" w:styleId="Style10ptCenteredLinespacingsingle">
    <w:name w:val="Style 10 pt Centered Line spacing:  single"/>
    <w:basedOn w:val="Normal"/>
    <w:uiPriority w:val="99"/>
    <w:rsid w:val="00583AA8"/>
    <w:pPr>
      <w:spacing w:before="40" w:after="40" w:line="240" w:lineRule="auto"/>
      <w:jc w:val="center"/>
    </w:pPr>
    <w:rPr>
      <w:sz w:val="20"/>
      <w:szCs w:val="20"/>
    </w:rPr>
  </w:style>
  <w:style w:type="character" w:customStyle="1" w:styleId="Style10ptLinespacingsingleCharChar">
    <w:name w:val="Style 10 pt Line spacing:  single Char Char"/>
    <w:link w:val="Style10ptLinespacingsingleChar"/>
    <w:locked/>
    <w:rsid w:val="00583AA8"/>
    <w:rPr>
      <w:rFonts w:ascii="Arial" w:hAnsi="Arial" w:cs="Arial" w:hint="default"/>
    </w:rPr>
  </w:style>
  <w:style w:type="paragraph" w:customStyle="1" w:styleId="Style10ptLinespacingsingleChar">
    <w:name w:val="Style 10 pt Line spacing:  single Char"/>
    <w:basedOn w:val="Normal"/>
    <w:link w:val="Style10ptLinespacingsingleCharChar"/>
    <w:rsid w:val="00583AA8"/>
    <w:pPr>
      <w:spacing w:before="40" w:after="40" w:line="240" w:lineRule="auto"/>
    </w:pPr>
    <w:rPr>
      <w:sz w:val="20"/>
      <w:szCs w:val="20"/>
    </w:rPr>
  </w:style>
  <w:style w:type="character" w:customStyle="1" w:styleId="Style10ptLeftChar">
    <w:name w:val="Style 10 pt Left Char"/>
    <w:link w:val="Style10ptLeft"/>
    <w:locked/>
    <w:rsid w:val="00583AA8"/>
    <w:rPr>
      <w:rFonts w:ascii="Arial" w:hAnsi="Arial" w:cs="Arial" w:hint="default"/>
      <w:sz w:val="24"/>
    </w:rPr>
  </w:style>
  <w:style w:type="paragraph" w:customStyle="1" w:styleId="Style10ptLeft">
    <w:name w:val="Style 10 pt Left"/>
    <w:basedOn w:val="Normal"/>
    <w:link w:val="Style10ptLeftChar"/>
    <w:rsid w:val="00583AA8"/>
    <w:pPr>
      <w:spacing w:before="20" w:after="20" w:line="240" w:lineRule="auto"/>
      <w:jc w:val="left"/>
    </w:pPr>
    <w:rPr>
      <w:sz w:val="24"/>
      <w:szCs w:val="24"/>
    </w:rPr>
  </w:style>
  <w:style w:type="paragraph" w:customStyle="1" w:styleId="Style9ptCentered">
    <w:name w:val="Style 9 pt Centered"/>
    <w:basedOn w:val="Normal"/>
    <w:uiPriority w:val="99"/>
    <w:rsid w:val="00583AA8"/>
    <w:pPr>
      <w:spacing w:before="20" w:after="20" w:line="240" w:lineRule="auto"/>
      <w:jc w:val="center"/>
    </w:pPr>
    <w:rPr>
      <w:sz w:val="20"/>
      <w:szCs w:val="20"/>
    </w:rPr>
  </w:style>
  <w:style w:type="character" w:customStyle="1" w:styleId="Style9ptCenteredLinespacingsingleCharChar">
    <w:name w:val="Style 9 pt Centered Line spacing:  single Char Char"/>
    <w:link w:val="Style9ptCenteredLinespacingsingleChar"/>
    <w:locked/>
    <w:rsid w:val="00583AA8"/>
    <w:rPr>
      <w:rFonts w:ascii="Arial" w:hAnsi="Arial" w:cs="Arial" w:hint="default"/>
    </w:rPr>
  </w:style>
  <w:style w:type="paragraph" w:customStyle="1" w:styleId="Style9ptCenteredLinespacingsingleChar">
    <w:name w:val="Style 9 pt Centered Line spacing:  single Char"/>
    <w:basedOn w:val="Normal"/>
    <w:link w:val="Style9ptCenteredLinespacingsingleCharChar"/>
    <w:rsid w:val="00583AA8"/>
    <w:pPr>
      <w:spacing w:after="100" w:afterAutospacing="1" w:line="240" w:lineRule="auto"/>
      <w:jc w:val="center"/>
    </w:pPr>
    <w:rPr>
      <w:sz w:val="20"/>
      <w:szCs w:val="20"/>
    </w:rPr>
  </w:style>
  <w:style w:type="paragraph" w:customStyle="1" w:styleId="StyleStyle10ptBoldCenteredLinespacingsingleBefore0">
    <w:name w:val="Style Style 10 pt Bold Centered Line spacing:  single + Before:  0 ..."/>
    <w:basedOn w:val="Style10ptBoldCenteredLinespacingsingleChar"/>
    <w:uiPriority w:val="99"/>
    <w:rsid w:val="00583AA8"/>
    <w:pPr>
      <w:keepNext/>
      <w:keepLines/>
      <w:widowControl/>
      <w:spacing w:before="0" w:after="0"/>
    </w:pPr>
  </w:style>
  <w:style w:type="paragraph" w:customStyle="1" w:styleId="StyleStyle9ptCenteredLeftBefore0ptAfter0pt">
    <w:name w:val="Style Style 9 pt Centered + Left Before:  0 pt After:  0 pt"/>
    <w:basedOn w:val="Style9ptCentered"/>
    <w:uiPriority w:val="99"/>
    <w:rsid w:val="00583AA8"/>
    <w:pPr>
      <w:spacing w:before="40" w:after="0"/>
      <w:jc w:val="left"/>
    </w:pPr>
  </w:style>
  <w:style w:type="paragraph" w:customStyle="1" w:styleId="Style10ptCentered">
    <w:name w:val="Style 10 pt Centered"/>
    <w:basedOn w:val="Normal"/>
    <w:uiPriority w:val="99"/>
    <w:rsid w:val="00583AA8"/>
    <w:pPr>
      <w:spacing w:after="100" w:afterAutospacing="1" w:line="240" w:lineRule="auto"/>
      <w:jc w:val="center"/>
    </w:pPr>
    <w:rPr>
      <w:sz w:val="20"/>
      <w:szCs w:val="20"/>
    </w:rPr>
  </w:style>
  <w:style w:type="paragraph" w:customStyle="1" w:styleId="StyleHeading314ptNotBoldCentered">
    <w:name w:val="Style Heading 3 + 14 pt Not Bold Centered"/>
    <w:basedOn w:val="Heading3"/>
    <w:uiPriority w:val="99"/>
    <w:rsid w:val="00583AA8"/>
    <w:pPr>
      <w:spacing w:line="240" w:lineRule="auto"/>
      <w:jc w:val="center"/>
    </w:pPr>
    <w:rPr>
      <w:rFonts w:eastAsia="Times New Roman"/>
      <w:color w:val="000000"/>
      <w:sz w:val="28"/>
    </w:rPr>
  </w:style>
  <w:style w:type="paragraph" w:customStyle="1" w:styleId="StyleHeading314ptNotBoldCentered1">
    <w:name w:val="Style Heading 3 + 14 pt Not Bold Centered1"/>
    <w:basedOn w:val="Heading3"/>
    <w:uiPriority w:val="99"/>
    <w:rsid w:val="00583AA8"/>
    <w:pPr>
      <w:spacing w:line="240" w:lineRule="auto"/>
      <w:jc w:val="center"/>
    </w:pPr>
    <w:rPr>
      <w:rFonts w:eastAsia="Times New Roman"/>
      <w:color w:val="000000"/>
      <w:sz w:val="28"/>
    </w:rPr>
  </w:style>
  <w:style w:type="paragraph" w:customStyle="1" w:styleId="StyleHeading314ptCenteredBefore0ptAfter0pt">
    <w:name w:val="Style Heading 3 + 14 pt Centered Before:  0 pt After:  0 pt"/>
    <w:basedOn w:val="Heading3"/>
    <w:uiPriority w:val="99"/>
    <w:rsid w:val="00583AA8"/>
    <w:pPr>
      <w:spacing w:line="240" w:lineRule="auto"/>
      <w:jc w:val="center"/>
    </w:pPr>
    <w:rPr>
      <w:rFonts w:eastAsia="Times New Roman"/>
      <w:bCs w:val="0"/>
      <w:color w:val="000000"/>
      <w:sz w:val="28"/>
    </w:rPr>
  </w:style>
  <w:style w:type="paragraph" w:customStyle="1" w:styleId="ESCiHeading1">
    <w:name w:val="ESCi Heading 1"/>
    <w:basedOn w:val="Heading1"/>
    <w:autoRedefine/>
    <w:uiPriority w:val="99"/>
    <w:rsid w:val="00583AA8"/>
    <w:pPr>
      <w:spacing w:before="600" w:after="360" w:line="360" w:lineRule="auto"/>
    </w:pPr>
    <w:rPr>
      <w:rFonts w:cs="Times New Roman"/>
      <w:bCs w:val="0"/>
      <w:caps/>
      <w:color w:val="800000"/>
      <w:kern w:val="28"/>
    </w:rPr>
  </w:style>
  <w:style w:type="character" w:customStyle="1" w:styleId="ESCiNormalParagraphCharChar">
    <w:name w:val="ESCi Normal Paragraph Char Char"/>
    <w:link w:val="ESCiNormalParagraphChar"/>
    <w:locked/>
    <w:rsid w:val="00583AA8"/>
    <w:rPr>
      <w:rFonts w:ascii="Arial" w:hAnsi="Arial" w:cs="Arial" w:hint="default"/>
      <w:color w:val="000000"/>
      <w:sz w:val="22"/>
    </w:rPr>
  </w:style>
  <w:style w:type="paragraph" w:customStyle="1" w:styleId="ESCiNormalParagraphChar">
    <w:name w:val="ESCi Normal Paragraph Char"/>
    <w:basedOn w:val="Normal"/>
    <w:link w:val="ESCiNormalParagraphCharChar"/>
    <w:qFormat/>
    <w:rsid w:val="00583AA8"/>
    <w:rPr>
      <w:color w:val="000000"/>
      <w:szCs w:val="20"/>
    </w:rPr>
  </w:style>
  <w:style w:type="character" w:customStyle="1" w:styleId="StyleESCiBulletBoldCharChar">
    <w:name w:val="Style ESCi Bullet + Bold Char Char"/>
    <w:link w:val="StyleESCiBulletBoldChar"/>
    <w:locked/>
    <w:rsid w:val="00583AA8"/>
    <w:rPr>
      <w:rFonts w:ascii="Arial" w:hAnsi="Arial" w:cs="Arial" w:hint="default"/>
      <w:b/>
      <w:bCs w:val="0"/>
      <w:color w:val="000000"/>
      <w:sz w:val="24"/>
    </w:rPr>
  </w:style>
  <w:style w:type="paragraph" w:customStyle="1" w:styleId="StyleESCiBulletBoldChar">
    <w:name w:val="Style ESCi Bullet + Bold Char"/>
    <w:basedOn w:val="ESCiBulletChar"/>
    <w:link w:val="StyleESCiBulletBoldCharChar"/>
    <w:rsid w:val="00583AA8"/>
    <w:rPr>
      <w:b/>
      <w:bCs/>
    </w:rPr>
  </w:style>
  <w:style w:type="paragraph" w:customStyle="1" w:styleId="ESCiHeading4">
    <w:name w:val="ESCi Heading 4"/>
    <w:basedOn w:val="Heading3"/>
    <w:uiPriority w:val="99"/>
    <w:rsid w:val="00583AA8"/>
    <w:pPr>
      <w:spacing w:before="360" w:line="240" w:lineRule="auto"/>
    </w:pPr>
    <w:rPr>
      <w:rFonts w:eastAsia="Times New Roman"/>
      <w:b w:val="0"/>
      <w:color w:val="000000"/>
    </w:rPr>
  </w:style>
  <w:style w:type="paragraph" w:customStyle="1" w:styleId="StyleHeading4Black">
    <w:name w:val="Style Heading 4 + Black"/>
    <w:basedOn w:val="Heading4"/>
    <w:autoRedefine/>
    <w:uiPriority w:val="99"/>
    <w:rsid w:val="00583AA8"/>
    <w:pPr>
      <w:pBdr>
        <w:top w:val="single" w:sz="18" w:space="1" w:color="auto" w:shadow="1"/>
        <w:left w:val="single" w:sz="18" w:space="4" w:color="auto" w:shadow="1"/>
        <w:bottom w:val="single" w:sz="18" w:space="1" w:color="auto" w:shadow="1"/>
        <w:right w:val="single" w:sz="18" w:space="4" w:color="auto" w:shadow="1"/>
      </w:pBdr>
      <w:shd w:val="clear" w:color="auto" w:fill="CCFFCC"/>
    </w:pPr>
    <w:rPr>
      <w:rFonts w:eastAsia="Times New Roman"/>
      <w:b/>
      <w:bCs w:val="0"/>
      <w:iCs w:val="0"/>
    </w:rPr>
  </w:style>
  <w:style w:type="paragraph" w:customStyle="1" w:styleId="Recommendationtext">
    <w:name w:val="Recommendation text"/>
    <w:basedOn w:val="Heading4"/>
    <w:uiPriority w:val="99"/>
    <w:rsid w:val="00583AA8"/>
    <w:pPr>
      <w:numPr>
        <w:numId w:val="1"/>
      </w:numPr>
      <w:pBdr>
        <w:top w:val="single" w:sz="18" w:space="1" w:color="auto" w:shadow="1"/>
        <w:left w:val="single" w:sz="18" w:space="4" w:color="auto" w:shadow="1"/>
        <w:bottom w:val="single" w:sz="18" w:space="1" w:color="auto" w:shadow="1"/>
        <w:right w:val="single" w:sz="18" w:space="4" w:color="auto" w:shadow="1"/>
      </w:pBdr>
      <w:shd w:val="clear" w:color="auto" w:fill="CCFFCC"/>
    </w:pPr>
    <w:rPr>
      <w:rFonts w:eastAsia="Times New Roman"/>
      <w:i w:val="0"/>
    </w:rPr>
  </w:style>
  <w:style w:type="paragraph" w:customStyle="1" w:styleId="StyleHeading3BlackJustified">
    <w:name w:val="Style Heading 3 + Black Justified"/>
    <w:basedOn w:val="Heading3"/>
    <w:autoRedefine/>
    <w:uiPriority w:val="99"/>
    <w:rsid w:val="00583AA8"/>
    <w:pPr>
      <w:spacing w:before="360" w:line="240" w:lineRule="auto"/>
    </w:pPr>
    <w:rPr>
      <w:rFonts w:eastAsia="Times New Roman"/>
      <w:bCs w:val="0"/>
      <w:color w:val="000000"/>
    </w:rPr>
  </w:style>
  <w:style w:type="paragraph" w:customStyle="1" w:styleId="StyleHeading4NotBoldNotItalicBlackJustifiedBottom">
    <w:name w:val="Style Heading 4 + Not Bold Not Italic Black Justified Bottom: (..."/>
    <w:basedOn w:val="Heading4"/>
    <w:autoRedefine/>
    <w:uiPriority w:val="99"/>
    <w:rsid w:val="00583AA8"/>
    <w:pPr>
      <w:pBdr>
        <w:top w:val="single" w:sz="18" w:space="1" w:color="auto" w:shadow="1"/>
        <w:left w:val="single" w:sz="18" w:space="4" w:color="auto" w:shadow="1"/>
        <w:bottom w:val="single" w:sz="18" w:space="0" w:color="auto" w:shadow="1"/>
        <w:right w:val="single" w:sz="18" w:space="4" w:color="auto" w:shadow="1"/>
      </w:pBdr>
      <w:shd w:val="clear" w:color="auto" w:fill="CCFFCC"/>
    </w:pPr>
    <w:rPr>
      <w:rFonts w:eastAsia="Times New Roman"/>
      <w:i w:val="0"/>
    </w:rPr>
  </w:style>
  <w:style w:type="paragraph" w:customStyle="1" w:styleId="StyleStyleHeading4Black11pt">
    <w:name w:val="Style Style Heading 4 + Black + 11 pt"/>
    <w:basedOn w:val="StyleHeading4Black"/>
    <w:autoRedefine/>
    <w:uiPriority w:val="99"/>
    <w:rsid w:val="00583AA8"/>
  </w:style>
  <w:style w:type="paragraph" w:customStyle="1" w:styleId="StyleHeading4BlackBottomShadowedSinglesolidlineAuto">
    <w:name w:val="Style Heading 4 + Black Bottom: (Shadowed Single solid line Auto..."/>
    <w:basedOn w:val="Heading4"/>
    <w:autoRedefine/>
    <w:uiPriority w:val="99"/>
    <w:rsid w:val="00583AA8"/>
    <w:pPr>
      <w:pBdr>
        <w:top w:val="single" w:sz="18" w:space="1" w:color="auto" w:shadow="1"/>
        <w:left w:val="single" w:sz="18" w:space="4" w:color="auto" w:shadow="1"/>
        <w:bottom w:val="single" w:sz="18" w:space="0" w:color="auto" w:shadow="1"/>
        <w:right w:val="single" w:sz="18" w:space="4" w:color="auto" w:shadow="1"/>
      </w:pBdr>
      <w:shd w:val="clear" w:color="auto" w:fill="CCFFCC"/>
    </w:pPr>
    <w:rPr>
      <w:rFonts w:eastAsia="Times New Roman"/>
      <w:b/>
      <w:bCs w:val="0"/>
      <w:iCs w:val="0"/>
    </w:rPr>
  </w:style>
  <w:style w:type="paragraph" w:customStyle="1" w:styleId="StyleHeading411ptNotBoldNotItalicBlackJustifiedAf">
    <w:name w:val="Style Heading 4 + 11 pt Not Bold Not Italic Black Justified Af..."/>
    <w:basedOn w:val="Heading4"/>
    <w:autoRedefine/>
    <w:uiPriority w:val="99"/>
    <w:rsid w:val="00583AA8"/>
    <w:pPr>
      <w:numPr>
        <w:numId w:val="2"/>
      </w:numPr>
      <w:pBdr>
        <w:top w:val="single" w:sz="18" w:space="1" w:color="auto" w:shadow="1"/>
        <w:left w:val="single" w:sz="18" w:space="4" w:color="auto" w:shadow="1"/>
        <w:bottom w:val="single" w:sz="18" w:space="1" w:color="auto" w:shadow="1"/>
        <w:right w:val="single" w:sz="18" w:space="4" w:color="auto" w:shadow="1"/>
      </w:pBdr>
      <w:shd w:val="clear" w:color="auto" w:fill="CCFFCC"/>
    </w:pPr>
    <w:rPr>
      <w:rFonts w:eastAsia="Times New Roman"/>
      <w:i w:val="0"/>
    </w:rPr>
  </w:style>
  <w:style w:type="paragraph" w:customStyle="1" w:styleId="StyleStyleHeading411ptNotBoldNotItalicBlackJustifiedA">
    <w:name w:val="Style Style Heading 4 + 11 pt Not Bold Not Italic Black Justified A..."/>
    <w:basedOn w:val="StyleHeading411ptNotBoldNotItalicBlackJustifiedAf"/>
    <w:uiPriority w:val="99"/>
    <w:rsid w:val="00583AA8"/>
    <w:pPr>
      <w:pBdr>
        <w:top w:val="none" w:sz="0" w:space="0" w:color="auto"/>
        <w:left w:val="none" w:sz="0" w:space="0" w:color="auto"/>
        <w:bottom w:val="none" w:sz="0" w:space="0" w:color="auto"/>
        <w:right w:val="none" w:sz="0" w:space="0" w:color="auto"/>
      </w:pBdr>
      <w:tabs>
        <w:tab w:val="num" w:pos="288"/>
      </w:tabs>
      <w:ind w:left="288" w:hanging="288"/>
    </w:pPr>
  </w:style>
  <w:style w:type="paragraph" w:customStyle="1" w:styleId="StyleStyleHeading4BlackBoxSinglesolidlineAuto15">
    <w:name w:val="Style Style Heading 4 + Black + Box: (Single solid line Auto  1.5..."/>
    <w:basedOn w:val="StyleHeading4Black"/>
    <w:uiPriority w:val="99"/>
    <w:rsid w:val="00583AA8"/>
    <w:pPr>
      <w:pBdr>
        <w:top w:val="single" w:sz="12" w:space="1" w:color="auto"/>
        <w:left w:val="single" w:sz="12" w:space="4" w:color="auto"/>
        <w:bottom w:val="single" w:sz="12" w:space="1" w:color="auto"/>
        <w:right w:val="single" w:sz="12" w:space="4" w:color="auto"/>
      </w:pBdr>
    </w:pPr>
  </w:style>
  <w:style w:type="paragraph" w:customStyle="1" w:styleId="Style9ptLinespacingsingle">
    <w:name w:val="Style 9 pt Line spacing:  single"/>
    <w:basedOn w:val="Normal"/>
    <w:uiPriority w:val="99"/>
    <w:rsid w:val="00583AA8"/>
    <w:pPr>
      <w:spacing w:before="40" w:after="40" w:line="240" w:lineRule="auto"/>
    </w:pPr>
    <w:rPr>
      <w:sz w:val="20"/>
      <w:szCs w:val="18"/>
    </w:rPr>
  </w:style>
  <w:style w:type="character" w:customStyle="1" w:styleId="StyleESCiNormalParagraphSwissRoman12ptChar">
    <w:name w:val="Style ESCi Normal Paragraph + Swiss Roman 12pt Char"/>
    <w:basedOn w:val="ESCiNormalParagraphCharChar"/>
    <w:link w:val="StyleESCiNormalParagraphSwissRoman12pt"/>
    <w:locked/>
    <w:rsid w:val="00583AA8"/>
    <w:rPr>
      <w:rFonts w:ascii="Arial" w:hAnsi="Arial" w:cs="Times New Roman" w:hint="default"/>
      <w:color w:val="000000"/>
      <w:sz w:val="22"/>
    </w:rPr>
  </w:style>
  <w:style w:type="paragraph" w:customStyle="1" w:styleId="StyleESCiNormalParagraphSwissRoman12pt">
    <w:name w:val="Style ESCi Normal Paragraph + Swiss Roman 12pt"/>
    <w:basedOn w:val="ESCiNormalParagraphChar"/>
    <w:link w:val="StyleESCiNormalParagraphSwissRoman12ptChar"/>
    <w:autoRedefine/>
    <w:rsid w:val="00583AA8"/>
  </w:style>
  <w:style w:type="paragraph" w:customStyle="1" w:styleId="StyleCaptionBlack">
    <w:name w:val="Style Caption + Black"/>
    <w:basedOn w:val="Normal"/>
    <w:uiPriority w:val="99"/>
    <w:rsid w:val="00583AA8"/>
    <w:pPr>
      <w:spacing w:before="240" w:after="120"/>
    </w:pPr>
    <w:rPr>
      <w:color w:val="000000"/>
    </w:rPr>
  </w:style>
  <w:style w:type="paragraph" w:customStyle="1" w:styleId="ESCiBullet">
    <w:name w:val="ESCi Bullet"/>
    <w:basedOn w:val="Normal"/>
    <w:autoRedefine/>
    <w:uiPriority w:val="99"/>
    <w:rsid w:val="00583AA8"/>
    <w:pPr>
      <w:tabs>
        <w:tab w:val="num" w:pos="360"/>
      </w:tabs>
      <w:spacing w:after="240" w:line="240" w:lineRule="auto"/>
      <w:ind w:left="720" w:hanging="360"/>
    </w:pPr>
    <w:rPr>
      <w:color w:val="000000"/>
      <w:szCs w:val="24"/>
    </w:rPr>
  </w:style>
  <w:style w:type="character" w:customStyle="1" w:styleId="ESCiNormalParagraphChar1">
    <w:name w:val="ESCi Normal Paragraph Char1"/>
    <w:link w:val="ESCiNormalParagraph"/>
    <w:locked/>
    <w:rsid w:val="00750710"/>
    <w:rPr>
      <w:rFonts w:asciiTheme="majorHAnsi" w:hAnsiTheme="majorHAnsi"/>
      <w:color w:val="000000"/>
      <w:sz w:val="22"/>
    </w:rPr>
  </w:style>
  <w:style w:type="paragraph" w:customStyle="1" w:styleId="ESCiNormalParagraph">
    <w:name w:val="ESCi Normal Paragraph"/>
    <w:basedOn w:val="Normal"/>
    <w:link w:val="ESCiNormalParagraphChar1"/>
    <w:rsid w:val="00750710"/>
    <w:rPr>
      <w:rFonts w:asciiTheme="majorHAnsi" w:hAnsiTheme="majorHAnsi"/>
      <w:color w:val="000000"/>
      <w:szCs w:val="20"/>
    </w:rPr>
  </w:style>
  <w:style w:type="paragraph" w:customStyle="1" w:styleId="StyleESCiBulletBold">
    <w:name w:val="Style ESCi Bullet + Bold"/>
    <w:basedOn w:val="ESCiBullet"/>
    <w:uiPriority w:val="99"/>
    <w:rsid w:val="00583AA8"/>
    <w:rPr>
      <w:b/>
      <w:bCs/>
    </w:rPr>
  </w:style>
  <w:style w:type="paragraph" w:customStyle="1" w:styleId="StyleStyleStyleHeading411ptNotBoldNotItalicBlackJusti">
    <w:name w:val="Style Style Style Heading 4 + 11 pt Not Bold Not Italic Black Justi..."/>
    <w:basedOn w:val="StyleStyleHeading411ptNotBoldNotItalicBlackJustifiedA"/>
    <w:uiPriority w:val="99"/>
    <w:rsid w:val="00583AA8"/>
    <w:pPr>
      <w:pBdr>
        <w:top w:val="single" w:sz="12" w:space="1" w:color="auto"/>
        <w:left w:val="single" w:sz="12" w:space="1" w:color="auto"/>
        <w:bottom w:val="single" w:sz="12" w:space="1" w:color="auto"/>
        <w:right w:val="single" w:sz="12" w:space="1" w:color="auto"/>
      </w:pBdr>
    </w:pPr>
    <w:rPr>
      <w:szCs w:val="20"/>
    </w:rPr>
  </w:style>
  <w:style w:type="paragraph" w:customStyle="1" w:styleId="Style10ptBlackAfter2pt">
    <w:name w:val="Style 10 pt Black After:  2 pt"/>
    <w:basedOn w:val="Normal"/>
    <w:autoRedefine/>
    <w:uiPriority w:val="99"/>
    <w:rsid w:val="00583AA8"/>
    <w:pPr>
      <w:spacing w:after="40" w:line="240" w:lineRule="auto"/>
    </w:pPr>
    <w:rPr>
      <w:sz w:val="20"/>
      <w:szCs w:val="20"/>
    </w:rPr>
  </w:style>
  <w:style w:type="paragraph" w:customStyle="1" w:styleId="StyleComicSansMS10ptCenteredLinespacingsingle">
    <w:name w:val="Style Comic Sans MS 10 pt Centered Line spacing:  single"/>
    <w:basedOn w:val="Normal"/>
    <w:uiPriority w:val="99"/>
    <w:rsid w:val="00583AA8"/>
    <w:pPr>
      <w:spacing w:line="240" w:lineRule="auto"/>
      <w:jc w:val="center"/>
    </w:pPr>
    <w:rPr>
      <w:rFonts w:ascii="Comic Sans MS" w:hAnsi="Comic Sans MS"/>
      <w:sz w:val="20"/>
      <w:szCs w:val="20"/>
    </w:rPr>
  </w:style>
  <w:style w:type="paragraph" w:customStyle="1" w:styleId="StyleStyleComicSansMS10ptCenteredLinespacingsingle11">
    <w:name w:val="Style Style Comic Sans MS 10 pt Centered Line spacing:  single + 11..."/>
    <w:basedOn w:val="StyleComicSansMS10ptCenteredLinespacingsingle"/>
    <w:uiPriority w:val="99"/>
    <w:rsid w:val="00583AA8"/>
    <w:rPr>
      <w:bCs/>
      <w:iCs/>
      <w:color w:val="000000"/>
    </w:rPr>
  </w:style>
  <w:style w:type="paragraph" w:customStyle="1" w:styleId="BulletComments">
    <w:name w:val="Bullet Comments"/>
    <w:basedOn w:val="Normal"/>
    <w:uiPriority w:val="99"/>
    <w:rsid w:val="00583AA8"/>
    <w:pPr>
      <w:numPr>
        <w:numId w:val="3"/>
      </w:numPr>
      <w:spacing w:line="240" w:lineRule="auto"/>
    </w:pPr>
    <w:rPr>
      <w:sz w:val="24"/>
      <w:szCs w:val="20"/>
    </w:rPr>
  </w:style>
  <w:style w:type="paragraph" w:customStyle="1" w:styleId="Style10ptBoldCenteredLinespacingsingle">
    <w:name w:val="Style 10 pt Bold Centered Line spacing:  single"/>
    <w:basedOn w:val="Normal"/>
    <w:uiPriority w:val="99"/>
    <w:rsid w:val="00583AA8"/>
    <w:pPr>
      <w:spacing w:before="40" w:after="40" w:line="240" w:lineRule="auto"/>
      <w:jc w:val="center"/>
    </w:pPr>
    <w:rPr>
      <w:b/>
      <w:bCs/>
      <w:sz w:val="18"/>
      <w:szCs w:val="18"/>
    </w:rPr>
  </w:style>
  <w:style w:type="paragraph" w:customStyle="1" w:styleId="Style9ptCenteredLinespacingsingle">
    <w:name w:val="Style 9 pt Centered Line spacing:  single"/>
    <w:basedOn w:val="Normal"/>
    <w:uiPriority w:val="99"/>
    <w:rsid w:val="00583AA8"/>
    <w:pPr>
      <w:spacing w:before="20" w:after="20" w:line="240" w:lineRule="auto"/>
      <w:jc w:val="center"/>
    </w:pPr>
    <w:rPr>
      <w:sz w:val="20"/>
      <w:szCs w:val="20"/>
    </w:rPr>
  </w:style>
  <w:style w:type="paragraph" w:customStyle="1" w:styleId="Style10ptLeftFirstline05Linespacingsingle1">
    <w:name w:val="Style 10 pt Left First line:  0.5&quot; Line spacing:  single1"/>
    <w:basedOn w:val="Normal"/>
    <w:uiPriority w:val="99"/>
    <w:rsid w:val="00583AA8"/>
    <w:pPr>
      <w:spacing w:before="40" w:after="80" w:line="240" w:lineRule="auto"/>
      <w:ind w:firstLine="360"/>
      <w:contextualSpacing/>
      <w:jc w:val="left"/>
    </w:pPr>
    <w:rPr>
      <w:sz w:val="20"/>
      <w:szCs w:val="20"/>
    </w:rPr>
  </w:style>
  <w:style w:type="character" w:customStyle="1" w:styleId="Style4Char">
    <w:name w:val="Style4 Char"/>
    <w:link w:val="Style4"/>
    <w:locked/>
    <w:rsid w:val="00583AA8"/>
    <w:rPr>
      <w:rFonts w:ascii="Calibri" w:hAnsi="Calibri"/>
      <w:lang w:eastAsia="ja-JP"/>
    </w:rPr>
  </w:style>
  <w:style w:type="paragraph" w:customStyle="1" w:styleId="Style4">
    <w:name w:val="Style4"/>
    <w:basedOn w:val="Normal"/>
    <w:link w:val="Style4Char"/>
    <w:rsid w:val="00583AA8"/>
    <w:pPr>
      <w:numPr>
        <w:numId w:val="4"/>
      </w:numPr>
      <w:spacing w:after="120" w:line="240" w:lineRule="auto"/>
    </w:pPr>
  </w:style>
  <w:style w:type="paragraph" w:customStyle="1" w:styleId="StyleHeading3Char1Before0ptAfter0pt">
    <w:name w:val="Style Heading 3Char1 + Before:  0 pt After:  0 pt"/>
    <w:basedOn w:val="Heading3"/>
    <w:uiPriority w:val="99"/>
    <w:rsid w:val="00583AA8"/>
    <w:rPr>
      <w:rFonts w:eastAsia="Times New Roman"/>
      <w:szCs w:val="20"/>
    </w:rPr>
  </w:style>
  <w:style w:type="character" w:customStyle="1" w:styleId="Style3Char">
    <w:name w:val="Style3 Char"/>
    <w:link w:val="Style3"/>
    <w:locked/>
    <w:rsid w:val="00583AA8"/>
    <w:rPr>
      <w:rFonts w:ascii="Arial" w:hAnsi="Arial"/>
    </w:rPr>
  </w:style>
  <w:style w:type="paragraph" w:customStyle="1" w:styleId="Style3">
    <w:name w:val="Style3"/>
    <w:link w:val="Style3Char"/>
    <w:qFormat/>
    <w:rsid w:val="00583AA8"/>
    <w:pPr>
      <w:numPr>
        <w:numId w:val="5"/>
      </w:numPr>
      <w:tabs>
        <w:tab w:val="num" w:pos="660"/>
      </w:tabs>
      <w:spacing w:after="240"/>
      <w:ind w:left="662"/>
      <w:jc w:val="both"/>
    </w:pPr>
    <w:rPr>
      <w:rFonts w:ascii="Arial" w:hAnsi="Arial"/>
    </w:rPr>
  </w:style>
  <w:style w:type="character" w:customStyle="1" w:styleId="FigureHeadingChar">
    <w:name w:val="Figure Heading Char"/>
    <w:link w:val="FigureHeading"/>
    <w:locked/>
    <w:rsid w:val="00583AA8"/>
    <w:rPr>
      <w:rFonts w:ascii="Arial" w:hAnsi="Arial" w:cs="Arial" w:hint="default"/>
      <w:b/>
      <w:bCs w:val="0"/>
      <w:lang w:val="en-US" w:eastAsia="en-US"/>
    </w:rPr>
  </w:style>
  <w:style w:type="paragraph" w:customStyle="1" w:styleId="FigureHeading">
    <w:name w:val="Figure Heading"/>
    <w:basedOn w:val="Normal"/>
    <w:link w:val="FigureHeadingChar"/>
    <w:autoRedefine/>
    <w:rsid w:val="00583AA8"/>
    <w:pPr>
      <w:keepNext/>
      <w:keepLines/>
      <w:spacing w:before="40" w:after="40" w:line="240" w:lineRule="auto"/>
      <w:jc w:val="center"/>
    </w:pPr>
    <w:rPr>
      <w:b/>
      <w:sz w:val="20"/>
      <w:szCs w:val="20"/>
    </w:rPr>
  </w:style>
  <w:style w:type="paragraph" w:customStyle="1" w:styleId="StyleBoldUnderlineBefore6pt">
    <w:name w:val="Style Bold Underline Before:  6 pt"/>
    <w:basedOn w:val="Normal"/>
    <w:uiPriority w:val="99"/>
    <w:rsid w:val="00583AA8"/>
    <w:rPr>
      <w:b/>
      <w:bCs/>
      <w:szCs w:val="20"/>
      <w:u w:val="single"/>
    </w:rPr>
  </w:style>
  <w:style w:type="paragraph" w:customStyle="1" w:styleId="Style16ptBoldCenteredBoxShadowedSinglesolidlineAuto">
    <w:name w:val="Style 16 pt Bold Centered Box: (Shadowed Single solid line Auto..."/>
    <w:basedOn w:val="Normal"/>
    <w:uiPriority w:val="99"/>
    <w:rsid w:val="00583AA8"/>
    <w:pPr>
      <w:pBdr>
        <w:top w:val="single" w:sz="8" w:space="1" w:color="auto" w:shadow="1"/>
        <w:left w:val="single" w:sz="8" w:space="4" w:color="auto" w:shadow="1"/>
        <w:bottom w:val="single" w:sz="8" w:space="1" w:color="auto" w:shadow="1"/>
        <w:right w:val="single" w:sz="8" w:space="4" w:color="auto" w:shadow="1"/>
      </w:pBdr>
      <w:shd w:val="clear" w:color="auto" w:fill="C6D9F1"/>
      <w:jc w:val="center"/>
    </w:pPr>
    <w:rPr>
      <w:b/>
      <w:bCs/>
      <w:sz w:val="32"/>
      <w:szCs w:val="20"/>
    </w:rPr>
  </w:style>
  <w:style w:type="paragraph" w:customStyle="1" w:styleId="StyleAfter6ptTopShadowedDoublesolidlinesAuto075">
    <w:name w:val="Style After:  6 pt Top: (Shadowed Double solid lines Auto  0.75 ..."/>
    <w:basedOn w:val="Normal"/>
    <w:uiPriority w:val="99"/>
    <w:rsid w:val="00583AA8"/>
    <w:pPr>
      <w:pBdr>
        <w:top w:val="double" w:sz="6" w:space="0" w:color="auto" w:shadow="1"/>
        <w:left w:val="double" w:sz="6" w:space="4" w:color="auto" w:shadow="1"/>
        <w:bottom w:val="double" w:sz="6" w:space="7" w:color="auto" w:shadow="1"/>
        <w:right w:val="double" w:sz="6" w:space="4" w:color="auto" w:shadow="1"/>
      </w:pBdr>
      <w:shd w:val="clear" w:color="auto" w:fill="FFFF99"/>
      <w:spacing w:line="240" w:lineRule="auto"/>
    </w:pPr>
    <w:rPr>
      <w:szCs w:val="20"/>
    </w:rPr>
  </w:style>
  <w:style w:type="paragraph" w:customStyle="1" w:styleId="StyleCaptionCentered3">
    <w:name w:val="Style Caption + Centered3"/>
    <w:basedOn w:val="Normal"/>
    <w:uiPriority w:val="99"/>
    <w:rsid w:val="00583AA8"/>
  </w:style>
  <w:style w:type="paragraph" w:customStyle="1" w:styleId="StyleStyleComicSansMS10ptCenteredLinespacingsingleBo">
    <w:name w:val="Style Style Comic Sans MS 10 pt Centered Line spacing:  single + Bo..."/>
    <w:basedOn w:val="StyleComicSansMS10ptCenteredLinespacingsingle"/>
    <w:uiPriority w:val="99"/>
    <w:rsid w:val="00583AA8"/>
    <w:rPr>
      <w:rFonts w:ascii="Arial" w:hAnsi="Arial"/>
      <w:bCs/>
    </w:rPr>
  </w:style>
  <w:style w:type="paragraph" w:customStyle="1" w:styleId="StyleHeading8Arial11ptBoldNotItalic">
    <w:name w:val="Style Heading 8 + Arial 11 pt Bold Not Italic"/>
    <w:basedOn w:val="Heading8"/>
    <w:uiPriority w:val="99"/>
    <w:rsid w:val="00583AA8"/>
    <w:pPr>
      <w:spacing w:before="0"/>
    </w:pPr>
    <w:rPr>
      <w:rFonts w:ascii="Arial" w:hAnsi="Arial" w:cs="Arial"/>
      <w:b/>
      <w:bCs/>
      <w:i/>
      <w:iCs/>
      <w:sz w:val="22"/>
      <w:szCs w:val="22"/>
    </w:rPr>
  </w:style>
  <w:style w:type="paragraph" w:customStyle="1" w:styleId="Kudos">
    <w:name w:val="Kudos"/>
    <w:basedOn w:val="Normal"/>
    <w:next w:val="Normal"/>
    <w:qFormat/>
    <w:rsid w:val="00583AA8"/>
    <w:pPr>
      <w:spacing w:line="240" w:lineRule="auto"/>
    </w:pPr>
    <w:rPr>
      <w:i/>
      <w:sz w:val="20"/>
      <w:szCs w:val="20"/>
    </w:rPr>
  </w:style>
  <w:style w:type="paragraph" w:customStyle="1" w:styleId="Default">
    <w:name w:val="Default"/>
    <w:rsid w:val="00583AA8"/>
    <w:pPr>
      <w:widowControl w:val="0"/>
      <w:autoSpaceDE w:val="0"/>
      <w:autoSpaceDN w:val="0"/>
      <w:adjustRightInd w:val="0"/>
    </w:pPr>
    <w:rPr>
      <w:rFonts w:ascii="Arial" w:hAnsi="Arial" w:cs="Arial"/>
      <w:color w:val="000000"/>
      <w:sz w:val="24"/>
      <w:szCs w:val="24"/>
    </w:rPr>
  </w:style>
  <w:style w:type="paragraph" w:customStyle="1" w:styleId="ESCIREPORTBODY">
    <w:name w:val="ESCI REPORT BODY"/>
    <w:basedOn w:val="Normal"/>
    <w:rsid w:val="00583AA8"/>
    <w:pPr>
      <w:spacing w:after="240"/>
    </w:pPr>
    <w:rPr>
      <w:rFonts w:eastAsia="Calibri"/>
    </w:rPr>
  </w:style>
  <w:style w:type="paragraph" w:customStyle="1" w:styleId="FootnoteText2">
    <w:name w:val="Footnote Text2"/>
    <w:aliases w:val="Char211,Char2 Char Char Char Char1,Char2 Char Char11,Char2 Char21,Char22,Char2111,Char2 Char Char Char Char11,Char2 Char Char111,Char2 Char211,Char221"/>
    <w:basedOn w:val="Normal"/>
    <w:uiPriority w:val="99"/>
    <w:rsid w:val="00583AA8"/>
  </w:style>
  <w:style w:type="character" w:styleId="FootnoteReference">
    <w:name w:val="footnote reference"/>
    <w:aliases w:val="ESCI Footnote Reference"/>
    <w:basedOn w:val="DefaultParagraphFont"/>
    <w:uiPriority w:val="99"/>
    <w:rsid w:val="00006BF1"/>
    <w:rPr>
      <w:rFonts w:cs="Arial"/>
      <w:sz w:val="20"/>
      <w:vertAlign w:val="superscript"/>
    </w:rPr>
  </w:style>
  <w:style w:type="character" w:styleId="CommentReference">
    <w:name w:val="annotation reference"/>
    <w:basedOn w:val="DefaultParagraphFont"/>
    <w:uiPriority w:val="99"/>
    <w:locked/>
    <w:rsid w:val="00583AA8"/>
    <w:rPr>
      <w:rFonts w:ascii="Arial" w:hAnsi="Arial" w:cs="Arial" w:hint="default"/>
      <w:i/>
      <w:iCs w:val="0"/>
      <w:sz w:val="20"/>
      <w:szCs w:val="18"/>
    </w:rPr>
  </w:style>
  <w:style w:type="character" w:styleId="PageNumber">
    <w:name w:val="page number"/>
    <w:basedOn w:val="DefaultParagraphFont"/>
    <w:uiPriority w:val="99"/>
    <w:locked/>
    <w:rsid w:val="00583AA8"/>
  </w:style>
  <w:style w:type="character" w:styleId="EndnoteReference">
    <w:name w:val="endnote reference"/>
    <w:basedOn w:val="DefaultParagraphFont"/>
    <w:uiPriority w:val="99"/>
    <w:locked/>
    <w:rsid w:val="00583AA8"/>
    <w:rPr>
      <w:vertAlign w:val="superscript"/>
    </w:rPr>
  </w:style>
  <w:style w:type="character" w:customStyle="1" w:styleId="FootnoteTextChar2">
    <w:name w:val="Footnote Text Char2"/>
    <w:aliases w:val="Char2 Char3,Footnote Text Char1,Char2 Char Char Char1,Char2 Char Char Char Char Char1,Footnote Text Char2 Char1,Char21 Char1 Char1,Char2 Char Char1 Char1,Char2 Char2 Char1,Char2 Char1 Char1,Char21 Char2"/>
    <w:rsid w:val="00583AA8"/>
    <w:rPr>
      <w:rFonts w:ascii="Arial" w:hAnsi="Arial" w:cs="Arial" w:hint="default"/>
      <w:sz w:val="18"/>
      <w:lang w:val="en-US" w:eastAsia="en-US"/>
    </w:rPr>
  </w:style>
  <w:style w:type="character" w:customStyle="1" w:styleId="Style8pt">
    <w:name w:val="Style 8 pt"/>
    <w:rsid w:val="00583AA8"/>
    <w:rPr>
      <w:sz w:val="22"/>
    </w:rPr>
  </w:style>
  <w:style w:type="character" w:customStyle="1" w:styleId="CharChar1">
    <w:name w:val="Char Char1"/>
    <w:aliases w:val="Caption Char1,Char Char Char"/>
    <w:rsid w:val="00583AA8"/>
    <w:rPr>
      <w:rFonts w:ascii="Arial" w:hAnsi="Arial" w:cs="Arial" w:hint="default"/>
      <w:lang w:val="en-US" w:eastAsia="en-US"/>
    </w:rPr>
  </w:style>
  <w:style w:type="character" w:customStyle="1" w:styleId="CharChar11">
    <w:name w:val="Char Char11"/>
    <w:rsid w:val="00583AA8"/>
    <w:rPr>
      <w:rFonts w:ascii="Arial" w:hAnsi="Arial" w:cs="Arial" w:hint="default"/>
      <w:b/>
      <w:bCs w:val="0"/>
      <w:sz w:val="24"/>
      <w:lang w:val="en-US" w:eastAsia="en-US"/>
    </w:rPr>
  </w:style>
  <w:style w:type="character" w:customStyle="1" w:styleId="CharChar2">
    <w:name w:val="Char Char2"/>
    <w:rsid w:val="00583AA8"/>
    <w:rPr>
      <w:rFonts w:ascii="Arial" w:hAnsi="Arial" w:cs="Arial" w:hint="default"/>
      <w:b/>
      <w:bCs w:val="0"/>
      <w:sz w:val="24"/>
      <w:lang w:val="en-US" w:eastAsia="en-US"/>
    </w:rPr>
  </w:style>
  <w:style w:type="character" w:customStyle="1" w:styleId="EmailStyle1061">
    <w:name w:val="EmailStyle1061"/>
    <w:semiHidden/>
    <w:rsid w:val="00583AA8"/>
    <w:rPr>
      <w:rFonts w:ascii="Arial" w:hAnsi="Arial" w:cs="Arial" w:hint="default"/>
      <w:color w:val="auto"/>
      <w:sz w:val="20"/>
    </w:rPr>
  </w:style>
  <w:style w:type="character" w:customStyle="1" w:styleId="StyleBoldItalicPinkAllcaps">
    <w:name w:val="Style Bold Italic Pink All caps"/>
    <w:rsid w:val="00583AA8"/>
    <w:rPr>
      <w:b/>
      <w:bCs w:val="0"/>
      <w:i/>
      <w:iCs w:val="0"/>
      <w:color w:val="auto"/>
    </w:rPr>
  </w:style>
  <w:style w:type="character" w:customStyle="1" w:styleId="StyleBoldItalicRedAllcaps">
    <w:name w:val="Style Bold Italic Red All caps"/>
    <w:rsid w:val="00583AA8"/>
    <w:rPr>
      <w:b/>
      <w:bCs w:val="0"/>
      <w:i/>
      <w:iCs w:val="0"/>
      <w:color w:val="auto"/>
    </w:rPr>
  </w:style>
  <w:style w:type="character" w:customStyle="1" w:styleId="Style10pt">
    <w:name w:val="Style 10 pt"/>
    <w:rsid w:val="00583AA8"/>
    <w:rPr>
      <w:rFonts w:ascii="Arial" w:hAnsi="Arial" w:cs="Arial" w:hint="default"/>
      <w:sz w:val="22"/>
    </w:rPr>
  </w:style>
  <w:style w:type="character" w:customStyle="1" w:styleId="StyleTimes">
    <w:name w:val="Style Times"/>
    <w:rsid w:val="00583AA8"/>
    <w:rPr>
      <w:rFonts w:ascii="Arial" w:hAnsi="Arial" w:cs="Arial" w:hint="default"/>
    </w:rPr>
  </w:style>
  <w:style w:type="character" w:customStyle="1" w:styleId="Style10ptLeftChar1">
    <w:name w:val="Style 10 pt Left Char1"/>
    <w:rsid w:val="00583AA8"/>
    <w:rPr>
      <w:rFonts w:ascii="Arial" w:hAnsi="Arial" w:cs="Arial" w:hint="default"/>
      <w:lang w:val="en-US" w:eastAsia="en-US"/>
    </w:rPr>
  </w:style>
  <w:style w:type="character" w:customStyle="1" w:styleId="Style10ptLeftChar2">
    <w:name w:val="Style 10 pt Left Char2"/>
    <w:rsid w:val="00583AA8"/>
    <w:rPr>
      <w:rFonts w:ascii="Arial" w:hAnsi="Arial" w:cs="Arial" w:hint="default"/>
      <w:sz w:val="24"/>
      <w:lang w:val="en-US" w:eastAsia="en-US"/>
    </w:rPr>
  </w:style>
  <w:style w:type="character" w:customStyle="1" w:styleId="Style10ptBlack">
    <w:name w:val="Style 10 pt Black"/>
    <w:uiPriority w:val="99"/>
    <w:rsid w:val="00583AA8"/>
    <w:rPr>
      <w:color w:val="auto"/>
      <w:sz w:val="20"/>
    </w:rPr>
  </w:style>
  <w:style w:type="character" w:customStyle="1" w:styleId="Char1CharChar">
    <w:name w:val="Char1 Char Char"/>
    <w:rsid w:val="00583AA8"/>
    <w:rPr>
      <w:rFonts w:ascii="Arial" w:hAnsi="Arial" w:cs="Arial" w:hint="default"/>
      <w:b/>
      <w:bCs w:val="0"/>
      <w:sz w:val="22"/>
      <w:u w:val="single"/>
      <w:lang w:val="en-US" w:eastAsia="en-US"/>
    </w:rPr>
  </w:style>
  <w:style w:type="character" w:customStyle="1" w:styleId="CharChar5">
    <w:name w:val="Char Char5"/>
    <w:rsid w:val="00583AA8"/>
    <w:rPr>
      <w:rFonts w:ascii="Arial" w:hAnsi="Arial" w:cs="Arial" w:hint="default"/>
      <w:b/>
      <w:bCs w:val="0"/>
    </w:rPr>
  </w:style>
  <w:style w:type="character" w:customStyle="1" w:styleId="CharChar21">
    <w:name w:val="Char Char21"/>
    <w:rsid w:val="00583AA8"/>
    <w:rPr>
      <w:rFonts w:ascii="Arial" w:hAnsi="Arial" w:cs="Arial" w:hint="default"/>
      <w:sz w:val="22"/>
    </w:rPr>
  </w:style>
  <w:style w:type="character" w:customStyle="1" w:styleId="CharChar12">
    <w:name w:val="Char Char12"/>
    <w:rsid w:val="00583AA8"/>
    <w:rPr>
      <w:rFonts w:ascii="Arial" w:hAnsi="Arial" w:cs="Arial" w:hint="default"/>
      <w:sz w:val="22"/>
    </w:rPr>
  </w:style>
  <w:style w:type="character" w:customStyle="1" w:styleId="Char2CharChar">
    <w:name w:val="Char2 Char Char"/>
    <w:rsid w:val="00583AA8"/>
    <w:rPr>
      <w:rFonts w:ascii="Arial" w:hAnsi="Arial" w:cs="Arial" w:hint="default"/>
    </w:rPr>
  </w:style>
  <w:style w:type="character" w:customStyle="1" w:styleId="RCaton">
    <w:name w:val="R Caton"/>
    <w:semiHidden/>
    <w:rsid w:val="00583AA8"/>
    <w:rPr>
      <w:rFonts w:ascii="Arial" w:hAnsi="Arial" w:cs="Arial" w:hint="default"/>
      <w:color w:val="auto"/>
      <w:sz w:val="20"/>
    </w:rPr>
  </w:style>
  <w:style w:type="character" w:customStyle="1" w:styleId="italic1">
    <w:name w:val="italic1"/>
    <w:basedOn w:val="DefaultParagraphFont"/>
    <w:rsid w:val="00583AA8"/>
    <w:rPr>
      <w:rFonts w:ascii="Verdana" w:hAnsi="Verdana" w:hint="default"/>
      <w:b w:val="0"/>
      <w:bCs w:val="0"/>
      <w:i/>
      <w:iCs/>
      <w:strike w:val="0"/>
      <w:dstrike w:val="0"/>
      <w:color w:val="000000"/>
      <w:sz w:val="18"/>
      <w:szCs w:val="18"/>
      <w:u w:val="none"/>
      <w:effect w:val="none"/>
    </w:rPr>
  </w:style>
  <w:style w:type="table" w:styleId="TableElegant">
    <w:name w:val="Table Elegant"/>
    <w:basedOn w:val="TableNormal"/>
    <w:uiPriority w:val="99"/>
    <w:rsid w:val="00583AA8"/>
    <w:pPr>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ascii="Times New Roman" w:hAnsi="Times New Roman" w:cs="Times New Roman" w:hint="default"/>
        <w:caps/>
        <w:color w:val="auto"/>
      </w:rPr>
      <w:tblPr/>
      <w:tcPr>
        <w:tcBorders>
          <w:tl2br w:val="none" w:sz="0" w:space="0" w:color="auto"/>
          <w:tr2bl w:val="none" w:sz="0" w:space="0" w:color="auto"/>
        </w:tcBorders>
      </w:tcPr>
    </w:tblStylePr>
  </w:style>
  <w:style w:type="table" w:styleId="TableGrid">
    <w:name w:val="Table Grid"/>
    <w:basedOn w:val="TableNormal"/>
    <w:uiPriority w:val="59"/>
    <w:rsid w:val="00583AA8"/>
    <w:pPr>
      <w:widowControl w:val="0"/>
      <w:spacing w:line="36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ColorfulList-Accent1">
    <w:name w:val="Colorful List Accent 1"/>
    <w:basedOn w:val="TableNormal"/>
    <w:uiPriority w:val="72"/>
    <w:qFormat/>
    <w:rsid w:val="00583AA8"/>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MediumGrid1-Accent2">
    <w:name w:val="Medium Grid 1 Accent 2"/>
    <w:basedOn w:val="TableNormal"/>
    <w:uiPriority w:val="67"/>
    <w:rsid w:val="00583AA8"/>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customStyle="1" w:styleId="ApparatusTable">
    <w:name w:val="Apparatus Table"/>
    <w:rsid w:val="00583AA8"/>
    <w:pPr>
      <w:keepLines/>
      <w:jc w:val="center"/>
    </w:pPr>
    <w:rPr>
      <w:rFonts w:ascii="Arial" w:hAnsi="Arial"/>
      <w:sz w:val="18"/>
      <w:szCs w:val="18"/>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top w:w="0" w:type="dxa"/>
        <w:left w:w="108" w:type="dxa"/>
        <w:bottom w:w="0" w:type="dxa"/>
        <w:right w:w="108" w:type="dxa"/>
      </w:tblCellMar>
    </w:tblPr>
  </w:style>
  <w:style w:type="table" w:customStyle="1" w:styleId="StationTable">
    <w:name w:val="Station Table"/>
    <w:rsid w:val="00583AA8"/>
    <w:pPr>
      <w:keepLines/>
    </w:pPr>
    <w:rPr>
      <w:sz w:val="18"/>
      <w:szCs w:val="18"/>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top w:w="29" w:type="dxa"/>
        <w:left w:w="115" w:type="dxa"/>
        <w:bottom w:w="29" w:type="dxa"/>
        <w:right w:w="115" w:type="dxa"/>
      </w:tblCellMar>
    </w:tblPr>
  </w:style>
  <w:style w:type="table" w:customStyle="1" w:styleId="RecommendationTable">
    <w:name w:val="Recommendation Table"/>
    <w:rsid w:val="00583AA8"/>
    <w:rPr>
      <w:rFonts w:ascii="Arial" w:hAnsi="Arial"/>
    </w:rPr>
    <w:tblPr>
      <w:tblBorders>
        <w:top w:val="single" w:sz="12" w:space="0" w:color="auto"/>
        <w:left w:val="single" w:sz="12" w:space="0" w:color="auto"/>
        <w:bottom w:val="single" w:sz="12" w:space="0" w:color="auto"/>
        <w:right w:val="single" w:sz="12" w:space="0" w:color="auto"/>
      </w:tblBorders>
      <w:tblCellMar>
        <w:top w:w="0" w:type="dxa"/>
        <w:left w:w="108" w:type="dxa"/>
        <w:bottom w:w="0" w:type="dxa"/>
        <w:right w:w="108" w:type="dxa"/>
      </w:tblCellMar>
    </w:tblPr>
  </w:style>
  <w:style w:type="table" w:customStyle="1" w:styleId="TableGrid2">
    <w:name w:val="Table Grid2"/>
    <w:rsid w:val="00583AA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 Grid1"/>
    <w:basedOn w:val="TableNormal"/>
    <w:uiPriority w:val="59"/>
    <w:rsid w:val="00583AA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ESCiTable">
    <w:name w:val="ESCi Table"/>
    <w:basedOn w:val="TableGrid"/>
    <w:uiPriority w:val="99"/>
    <w:rsid w:val="00583AA8"/>
    <w:pPr>
      <w:keepLines/>
      <w:widowControl/>
      <w:spacing w:line="240" w:lineRule="auto"/>
    </w:pPr>
    <w:rPr>
      <w:rFonts w:ascii="Arial" w:hAnsi="Arial"/>
    </w:rPr>
    <w:tblPr/>
  </w:style>
  <w:style w:type="numbering" w:customStyle="1" w:styleId="StyleBulleted16ptBoldBlue">
    <w:name w:val="Style Bulleted 16 pt Bold Blue"/>
    <w:rsid w:val="00583AA8"/>
    <w:pPr>
      <w:numPr>
        <w:numId w:val="7"/>
      </w:numPr>
    </w:pPr>
  </w:style>
  <w:style w:type="numbering" w:customStyle="1" w:styleId="StyleBulleted12pt">
    <w:name w:val="Style Bulleted 12 pt"/>
    <w:rsid w:val="00583AA8"/>
    <w:pPr>
      <w:numPr>
        <w:numId w:val="8"/>
      </w:numPr>
    </w:pPr>
  </w:style>
  <w:style w:type="numbering" w:customStyle="1" w:styleId="StyleBulletedTimes">
    <w:name w:val="Style Bulleted Times"/>
    <w:rsid w:val="00583AA8"/>
    <w:pPr>
      <w:numPr>
        <w:numId w:val="9"/>
      </w:numPr>
    </w:pPr>
  </w:style>
  <w:style w:type="numbering" w:customStyle="1" w:styleId="StyleBulletedBold">
    <w:name w:val="Style Bulleted Bold"/>
    <w:rsid w:val="00583AA8"/>
    <w:pPr>
      <w:numPr>
        <w:numId w:val="10"/>
      </w:numPr>
    </w:pPr>
  </w:style>
  <w:style w:type="numbering" w:customStyle="1" w:styleId="StyleOutlinenumbered">
    <w:name w:val="Style Outline numbered"/>
    <w:rsid w:val="00583AA8"/>
    <w:pPr>
      <w:numPr>
        <w:numId w:val="11"/>
      </w:numPr>
    </w:pPr>
  </w:style>
  <w:style w:type="numbering" w:customStyle="1" w:styleId="StyleNumberedArial11pt">
    <w:name w:val="Style Numbered Arial 11 pt"/>
    <w:rsid w:val="00583AA8"/>
    <w:pPr>
      <w:numPr>
        <w:numId w:val="12"/>
      </w:numPr>
    </w:pPr>
  </w:style>
  <w:style w:type="numbering" w:customStyle="1" w:styleId="StyleBulleted">
    <w:name w:val="Style Bulleted"/>
    <w:rsid w:val="00583AA8"/>
    <w:pPr>
      <w:numPr>
        <w:numId w:val="13"/>
      </w:numPr>
    </w:pPr>
  </w:style>
  <w:style w:type="numbering" w:customStyle="1" w:styleId="StyleNumbered12ptBold">
    <w:name w:val="Style Numbered 12 pt Bold"/>
    <w:rsid w:val="00583AA8"/>
    <w:pPr>
      <w:numPr>
        <w:numId w:val="14"/>
      </w:numPr>
    </w:pPr>
  </w:style>
  <w:style w:type="paragraph" w:styleId="FootnoteText">
    <w:name w:val="footnote text"/>
    <w:aliases w:val="Char21 Char1,Char2 Char1, Char2,Char2,Char2 Char Char Char Char,Char2 Char Char1,Char2 Char2,Char21,Char23"/>
    <w:basedOn w:val="Normal"/>
    <w:link w:val="FootnoteTextChar"/>
    <w:uiPriority w:val="99"/>
    <w:unhideWhenUsed/>
    <w:locked/>
    <w:rsid w:val="0014752F"/>
    <w:pPr>
      <w:spacing w:line="240" w:lineRule="auto"/>
    </w:pPr>
    <w:rPr>
      <w:sz w:val="24"/>
      <w:szCs w:val="24"/>
    </w:rPr>
  </w:style>
  <w:style w:type="character" w:customStyle="1" w:styleId="FootnoteTextChar">
    <w:name w:val="Footnote Text Char"/>
    <w:aliases w:val="Char21 Char1 Char,Char2 Char1 Char, Char2 Char,Char2 Char,Char2 Char Char Char Char Char,Char2 Char Char1 Char,Char2 Char2 Char,Char21 Char,Char23 Char"/>
    <w:basedOn w:val="DefaultParagraphFont"/>
    <w:link w:val="FootnoteText"/>
    <w:uiPriority w:val="99"/>
    <w:rsid w:val="0014752F"/>
    <w:rPr>
      <w:rFonts w:ascii="Arial" w:hAnsi="Arial"/>
      <w:sz w:val="24"/>
      <w:szCs w:val="24"/>
    </w:rPr>
  </w:style>
  <w:style w:type="character" w:styleId="PlaceholderText">
    <w:name w:val="Placeholder Text"/>
    <w:basedOn w:val="DefaultParagraphFont"/>
    <w:uiPriority w:val="99"/>
    <w:unhideWhenUsed/>
    <w:rsid w:val="005F515F"/>
    <w:rPr>
      <w:color w:val="808080"/>
    </w:rPr>
  </w:style>
  <w:style w:type="paragraph" w:styleId="Revision">
    <w:name w:val="Revision"/>
    <w:hidden/>
    <w:uiPriority w:val="99"/>
    <w:rsid w:val="005F515F"/>
    <w:rPr>
      <w:rFonts w:ascii="Arial" w:hAnsi="Arial"/>
    </w:rPr>
  </w:style>
  <w:style w:type="paragraph" w:customStyle="1" w:styleId="ESCICaption">
    <w:name w:val="ESCI Caption"/>
    <w:basedOn w:val="Normal"/>
    <w:link w:val="ESCICaptionChar"/>
    <w:autoRedefine/>
    <w:uiPriority w:val="99"/>
    <w:qFormat/>
    <w:rsid w:val="00632439"/>
    <w:pPr>
      <w:keepNext/>
      <w:keepLines/>
      <w:spacing w:after="0" w:line="240" w:lineRule="auto"/>
      <w:jc w:val="center"/>
    </w:pPr>
    <w:rPr>
      <w:rFonts w:asciiTheme="majorHAnsi" w:hAnsiTheme="majorHAnsi" w:cstheme="majorHAnsi"/>
      <w:b/>
      <w:bCs/>
      <w:sz w:val="20"/>
      <w:szCs w:val="20"/>
    </w:rPr>
  </w:style>
  <w:style w:type="paragraph" w:customStyle="1" w:styleId="ESCiBullets">
    <w:name w:val="ESCi Bullets"/>
    <w:basedOn w:val="Normal"/>
    <w:uiPriority w:val="99"/>
    <w:qFormat/>
    <w:rsid w:val="00E860F9"/>
    <w:pPr>
      <w:numPr>
        <w:numId w:val="15"/>
      </w:numPr>
      <w:tabs>
        <w:tab w:val="left" w:pos="810"/>
        <w:tab w:val="left" w:pos="1170"/>
      </w:tabs>
      <w:spacing w:after="120" w:line="240" w:lineRule="auto"/>
      <w:ind w:left="810"/>
      <w:jc w:val="left"/>
    </w:pPr>
    <w:rPr>
      <w:szCs w:val="24"/>
    </w:rPr>
  </w:style>
  <w:style w:type="paragraph" w:styleId="Caption">
    <w:name w:val="caption"/>
    <w:basedOn w:val="ESCICaption"/>
    <w:next w:val="Normal"/>
    <w:uiPriority w:val="35"/>
    <w:unhideWhenUsed/>
    <w:qFormat/>
    <w:rsid w:val="009F6573"/>
    <w:pPr>
      <w:spacing w:after="120"/>
    </w:pPr>
    <w:rPr>
      <w:rFonts w:cs="Times New Roman"/>
      <w:lang w:eastAsia="en-US"/>
    </w:rPr>
  </w:style>
  <w:style w:type="paragraph" w:customStyle="1" w:styleId="Char">
    <w:name w:val="Char"/>
    <w:basedOn w:val="Normal"/>
    <w:rsid w:val="00B313E6"/>
    <w:pPr>
      <w:keepNext/>
      <w:spacing w:after="60" w:line="240" w:lineRule="auto"/>
      <w:jc w:val="center"/>
    </w:pPr>
    <w:rPr>
      <w:b/>
      <w:sz w:val="20"/>
    </w:rPr>
  </w:style>
  <w:style w:type="paragraph" w:customStyle="1" w:styleId="NormalText">
    <w:name w:val="Normal Text"/>
    <w:basedOn w:val="Normal"/>
    <w:qFormat/>
    <w:rsid w:val="00127C1C"/>
    <w:pPr>
      <w:widowControl w:val="0"/>
      <w:adjustRightInd w:val="0"/>
      <w:spacing w:after="100" w:afterAutospacing="1" w:line="240" w:lineRule="auto"/>
      <w:jc w:val="left"/>
      <w:textAlignment w:val="baseline"/>
    </w:pPr>
  </w:style>
  <w:style w:type="character" w:customStyle="1" w:styleId="ESCICaptionChar">
    <w:name w:val="ESCI Caption Char"/>
    <w:basedOn w:val="DefaultParagraphFont"/>
    <w:link w:val="ESCICaption"/>
    <w:uiPriority w:val="99"/>
    <w:rsid w:val="00632439"/>
    <w:rPr>
      <w:rFonts w:asciiTheme="majorHAnsi" w:hAnsiTheme="majorHAnsi" w:cstheme="majorHAnsi"/>
      <w:b/>
      <w:bCs/>
      <w:sz w:val="20"/>
      <w:szCs w:val="20"/>
      <w:lang w:eastAsia="ja-JP"/>
    </w:rPr>
  </w:style>
  <w:style w:type="character" w:customStyle="1" w:styleId="CharChar22">
    <w:name w:val="Char Char22"/>
    <w:semiHidden/>
    <w:rsid w:val="00224EC6"/>
    <w:rPr>
      <w:rFonts w:ascii="Arial" w:hAnsi="Arial"/>
    </w:rPr>
  </w:style>
  <w:style w:type="paragraph" w:customStyle="1" w:styleId="Heading21">
    <w:name w:val="Heading 21"/>
    <w:next w:val="Normal"/>
    <w:rsid w:val="00134977"/>
    <w:pPr>
      <w:keepNext/>
      <w:spacing w:before="240" w:after="60" w:line="360" w:lineRule="auto"/>
      <w:outlineLvl w:val="1"/>
    </w:pPr>
    <w:rPr>
      <w:rFonts w:ascii="Arial Bold" w:eastAsia="ヒラギノ角ゴ Pro W3" w:hAnsi="Arial Bold"/>
      <w:color w:val="0000FE"/>
      <w:sz w:val="28"/>
    </w:rPr>
  </w:style>
  <w:style w:type="numbering" w:customStyle="1" w:styleId="List1">
    <w:name w:val="List 1"/>
    <w:rsid w:val="00134977"/>
  </w:style>
  <w:style w:type="numbering" w:customStyle="1" w:styleId="List21">
    <w:name w:val="List 21"/>
    <w:rsid w:val="00134977"/>
  </w:style>
  <w:style w:type="paragraph" w:customStyle="1" w:styleId="BodyText21">
    <w:name w:val="Body Text 21"/>
    <w:rsid w:val="00134977"/>
    <w:pPr>
      <w:spacing w:after="120" w:line="480" w:lineRule="auto"/>
      <w:jc w:val="both"/>
    </w:pPr>
    <w:rPr>
      <w:rFonts w:ascii="Arial" w:eastAsia="ヒラギノ角ゴ Pro W3" w:hAnsi="Arial"/>
      <w:color w:val="000000"/>
    </w:rPr>
  </w:style>
  <w:style w:type="paragraph" w:customStyle="1" w:styleId="Caption1">
    <w:name w:val="Caption1"/>
    <w:basedOn w:val="Caption"/>
    <w:next w:val="Normal"/>
    <w:rsid w:val="00B00894"/>
  </w:style>
  <w:style w:type="paragraph" w:customStyle="1" w:styleId="Heading31">
    <w:name w:val="Heading 31"/>
    <w:next w:val="Normal"/>
    <w:rsid w:val="00134977"/>
    <w:pPr>
      <w:keepNext/>
      <w:spacing w:before="240" w:after="60" w:line="360" w:lineRule="auto"/>
      <w:outlineLvl w:val="2"/>
    </w:pPr>
    <w:rPr>
      <w:rFonts w:ascii="Arial Bold" w:eastAsia="ヒラギノ角ゴ Pro W3" w:hAnsi="Arial Bold"/>
      <w:color w:val="000000"/>
      <w:u w:val="single"/>
    </w:rPr>
  </w:style>
  <w:style w:type="character" w:customStyle="1" w:styleId="EmphasisA">
    <w:name w:val="Emphasis A"/>
    <w:rsid w:val="00134977"/>
    <w:rPr>
      <w:rFonts w:ascii="Lucida Grande" w:eastAsia="ヒラギノ角ゴ Pro W3" w:hAnsi="Lucida Grande"/>
      <w:b w:val="0"/>
      <w:i w:val="0"/>
      <w:color w:val="000000"/>
      <w:sz w:val="24"/>
    </w:rPr>
  </w:style>
  <w:style w:type="numbering" w:customStyle="1" w:styleId="List31">
    <w:name w:val="List 31"/>
    <w:rsid w:val="00134977"/>
  </w:style>
  <w:style w:type="paragraph" w:customStyle="1" w:styleId="Textbullet">
    <w:name w:val="Text bullet"/>
    <w:basedOn w:val="ListParagraph"/>
    <w:link w:val="TextbulletChar"/>
    <w:rsid w:val="00012395"/>
    <w:pPr>
      <w:numPr>
        <w:numId w:val="16"/>
      </w:numPr>
      <w:tabs>
        <w:tab w:val="left" w:pos="720"/>
      </w:tabs>
      <w:adjustRightInd/>
      <w:spacing w:after="120"/>
      <w:jc w:val="left"/>
    </w:pPr>
    <w:rPr>
      <w:rFonts w:asciiTheme="minorHAnsi" w:hAnsiTheme="minorHAnsi"/>
    </w:rPr>
  </w:style>
  <w:style w:type="character" w:customStyle="1" w:styleId="ListParagraphChar">
    <w:name w:val="List Paragraph Char"/>
    <w:basedOn w:val="DefaultParagraphFont"/>
    <w:link w:val="ListParagraph"/>
    <w:uiPriority w:val="34"/>
    <w:rsid w:val="00012395"/>
    <w:rPr>
      <w:rFonts w:ascii="Calibri" w:hAnsi="Calibri"/>
      <w:sz w:val="22"/>
      <w:szCs w:val="22"/>
    </w:rPr>
  </w:style>
  <w:style w:type="character" w:customStyle="1" w:styleId="TextbulletChar">
    <w:name w:val="Text bullet Char"/>
    <w:basedOn w:val="ListParagraphChar"/>
    <w:link w:val="Textbullet"/>
    <w:rsid w:val="00012395"/>
    <w:rPr>
      <w:rFonts w:ascii="Calibri" w:hAnsi="Calibri"/>
      <w:sz w:val="22"/>
      <w:szCs w:val="22"/>
      <w:lang w:eastAsia="ja-JP"/>
    </w:rPr>
  </w:style>
  <w:style w:type="paragraph" w:customStyle="1" w:styleId="StyleStyle10ptLeftFirstline05Linespacingsingle1F">
    <w:name w:val="Style Style 10 pt Left First line:  0.5&quot; Line spacing:  single1 + F..."/>
    <w:basedOn w:val="Normal"/>
    <w:uiPriority w:val="99"/>
    <w:rsid w:val="001D2243"/>
    <w:pPr>
      <w:spacing w:before="20" w:line="240" w:lineRule="auto"/>
      <w:contextualSpacing/>
      <w:jc w:val="left"/>
    </w:pPr>
    <w:rPr>
      <w:rFonts w:ascii="Arial" w:hAnsi="Arial"/>
      <w:sz w:val="20"/>
      <w:szCs w:val="20"/>
    </w:rPr>
  </w:style>
  <w:style w:type="table" w:customStyle="1" w:styleId="TableGrid3">
    <w:name w:val="Table Grid3"/>
    <w:basedOn w:val="TableNormal"/>
    <w:next w:val="TableGrid"/>
    <w:uiPriority w:val="59"/>
    <w:rsid w:val="00326784"/>
    <w:rPr>
      <w:rFonts w:eastAsiaTheme="minorEastAsia"/>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59"/>
    <w:rsid w:val="006E2A7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next w:val="TableGrid"/>
    <w:uiPriority w:val="59"/>
    <w:rsid w:val="006E2A7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next w:val="TableGrid"/>
    <w:uiPriority w:val="59"/>
    <w:rsid w:val="006E2A7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
    <w:name w:val="Table Grid93"/>
    <w:basedOn w:val="TableNormal"/>
    <w:next w:val="TableGrid"/>
    <w:uiPriority w:val="59"/>
    <w:rsid w:val="002C1CB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59"/>
    <w:rsid w:val="002C1CB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next w:val="TableGrid"/>
    <w:uiPriority w:val="59"/>
    <w:rsid w:val="002C1CB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
    <w:name w:val="Table Grid102"/>
    <w:basedOn w:val="TableNormal"/>
    <w:next w:val="TableGrid"/>
    <w:uiPriority w:val="59"/>
    <w:rsid w:val="002C1CB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
    <w:name w:val="Table Grid103"/>
    <w:basedOn w:val="TableNormal"/>
    <w:next w:val="TableGrid"/>
    <w:uiPriority w:val="59"/>
    <w:rsid w:val="004148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4">
    <w:name w:val="Table Grid104"/>
    <w:basedOn w:val="TableNormal"/>
    <w:next w:val="TableGrid"/>
    <w:uiPriority w:val="59"/>
    <w:rsid w:val="004148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5">
    <w:name w:val="Table Grid105"/>
    <w:basedOn w:val="TableNormal"/>
    <w:next w:val="TableGrid"/>
    <w:uiPriority w:val="59"/>
    <w:rsid w:val="004148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6">
    <w:name w:val="Table Grid106"/>
    <w:basedOn w:val="TableNormal"/>
    <w:next w:val="TableGrid"/>
    <w:uiPriority w:val="59"/>
    <w:rsid w:val="004148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7">
    <w:name w:val="Table Grid107"/>
    <w:basedOn w:val="TableNormal"/>
    <w:next w:val="TableGrid"/>
    <w:uiPriority w:val="59"/>
    <w:rsid w:val="004148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59"/>
    <w:rsid w:val="003106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next w:val="TableGrid"/>
    <w:uiPriority w:val="59"/>
    <w:rsid w:val="003106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
    <w:name w:val="Table Grid142"/>
    <w:basedOn w:val="TableNormal"/>
    <w:next w:val="TableGrid"/>
    <w:uiPriority w:val="59"/>
    <w:rsid w:val="003106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uiPriority w:val="59"/>
    <w:rsid w:val="003106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59"/>
    <w:rsid w:val="007304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TableNormal"/>
    <w:next w:val="TableGrid"/>
    <w:uiPriority w:val="59"/>
    <w:rsid w:val="007304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
    <w:name w:val="Table Grid172"/>
    <w:basedOn w:val="TableNormal"/>
    <w:next w:val="TableGrid"/>
    <w:uiPriority w:val="59"/>
    <w:rsid w:val="007304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3">
    <w:name w:val="Table Grid173"/>
    <w:basedOn w:val="TableNormal"/>
    <w:next w:val="TableGrid"/>
    <w:uiPriority w:val="59"/>
    <w:rsid w:val="007304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4">
    <w:name w:val="Table Grid174"/>
    <w:basedOn w:val="TableNormal"/>
    <w:next w:val="TableGrid"/>
    <w:uiPriority w:val="59"/>
    <w:rsid w:val="007304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next w:val="TableGrid"/>
    <w:uiPriority w:val="59"/>
    <w:rsid w:val="007304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uiPriority w:val="59"/>
    <w:rsid w:val="007E430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TableNormal"/>
    <w:next w:val="TableGrid"/>
    <w:uiPriority w:val="59"/>
    <w:rsid w:val="007E430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
    <w:name w:val="Table Grid152"/>
    <w:basedOn w:val="TableNormal"/>
    <w:next w:val="TableGrid"/>
    <w:uiPriority w:val="59"/>
    <w:rsid w:val="007E430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
    <w:name w:val="Table Grid153"/>
    <w:basedOn w:val="TableNormal"/>
    <w:next w:val="TableGrid"/>
    <w:uiPriority w:val="59"/>
    <w:rsid w:val="00D852E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rsid w:val="00263F4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uiPriority w:val="59"/>
    <w:rsid w:val="000338E5"/>
    <w:pPr>
      <w:spacing w:after="0" w:line="240" w:lineRule="auto"/>
    </w:pPr>
    <w:rPr>
      <w:rFonts w:ascii="Cambria" w:eastAsia="Cambria" w:hAnsi="Cambria"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uiPriority w:val="59"/>
    <w:rsid w:val="00FD59E0"/>
    <w:pPr>
      <w:spacing w:after="0" w:line="240" w:lineRule="auto"/>
    </w:pPr>
    <w:rPr>
      <w:rFonts w:ascii="Cambria" w:eastAsia="Cambria" w:hAnsi="Cambria"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uiPriority w:val="59"/>
    <w:rsid w:val="00FD59E0"/>
    <w:pPr>
      <w:spacing w:after="0" w:line="240" w:lineRule="auto"/>
    </w:pPr>
    <w:rPr>
      <w:rFonts w:ascii="Cambria" w:eastAsia="Cambria" w:hAnsi="Cambria"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A904D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E80EC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FB02CA"/>
  </w:style>
  <w:style w:type="numbering" w:customStyle="1" w:styleId="NoList11">
    <w:name w:val="No List11"/>
    <w:next w:val="NoList"/>
    <w:uiPriority w:val="99"/>
    <w:semiHidden/>
    <w:unhideWhenUsed/>
    <w:rsid w:val="00FB02CA"/>
  </w:style>
  <w:style w:type="paragraph" w:customStyle="1" w:styleId="CaptionNew">
    <w:name w:val="Caption New"/>
    <w:basedOn w:val="Caption"/>
    <w:link w:val="CaptionNewChar"/>
    <w:autoRedefine/>
    <w:qFormat/>
    <w:rsid w:val="00FB02CA"/>
    <w:pPr>
      <w:keepNext w:val="0"/>
      <w:keepLines w:val="0"/>
    </w:pPr>
    <w:rPr>
      <w:rFonts w:ascii="Calibri" w:hAnsi="Calibri"/>
      <w:color w:val="000000"/>
      <w:szCs w:val="18"/>
    </w:rPr>
  </w:style>
  <w:style w:type="character" w:customStyle="1" w:styleId="CaptionNewChar">
    <w:name w:val="Caption New Char"/>
    <w:basedOn w:val="DefaultParagraphFont"/>
    <w:link w:val="CaptionNew"/>
    <w:rsid w:val="00FB02CA"/>
    <w:rPr>
      <w:rFonts w:ascii="Calibri" w:hAnsi="Calibri" w:cs="Times New Roman"/>
      <w:b/>
      <w:bCs/>
      <w:color w:val="000000"/>
      <w:sz w:val="20"/>
      <w:szCs w:val="18"/>
      <w:lang w:eastAsia="ja-JP"/>
    </w:rPr>
  </w:style>
  <w:style w:type="paragraph" w:customStyle="1" w:styleId="Caption2">
    <w:name w:val="Caption 2"/>
    <w:basedOn w:val="Normal"/>
    <w:link w:val="Caption2Char"/>
    <w:autoRedefine/>
    <w:qFormat/>
    <w:rsid w:val="00FB02CA"/>
    <w:pPr>
      <w:keepNext/>
      <w:spacing w:before="240" w:after="0" w:line="240" w:lineRule="auto"/>
      <w:jc w:val="center"/>
    </w:pPr>
    <w:rPr>
      <w:rFonts w:cs="Arial"/>
      <w:b/>
      <w:bCs/>
      <w:color w:val="000000"/>
      <w:sz w:val="20"/>
      <w:szCs w:val="18"/>
    </w:rPr>
  </w:style>
  <w:style w:type="character" w:customStyle="1" w:styleId="Caption2Char">
    <w:name w:val="Caption 2 Char"/>
    <w:basedOn w:val="DefaultParagraphFont"/>
    <w:link w:val="Caption2"/>
    <w:rsid w:val="00FB02CA"/>
    <w:rPr>
      <w:rFonts w:ascii="Calibri" w:hAnsi="Calibri" w:cs="Arial"/>
      <w:b/>
      <w:bCs/>
      <w:color w:val="000000"/>
      <w:sz w:val="20"/>
      <w:szCs w:val="18"/>
      <w:lang w:eastAsia="ja-JP"/>
    </w:rPr>
  </w:style>
  <w:style w:type="table" w:customStyle="1" w:styleId="TableGrid12">
    <w:name w:val="Table Grid12"/>
    <w:basedOn w:val="TableNormal"/>
    <w:next w:val="TableGrid"/>
    <w:uiPriority w:val="59"/>
    <w:rsid w:val="00FB02CA"/>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FB02C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SCiCaption0">
    <w:name w:val="ESCi Caption"/>
    <w:basedOn w:val="Caption"/>
    <w:autoRedefine/>
    <w:uiPriority w:val="99"/>
    <w:qFormat/>
    <w:rsid w:val="00FB02CA"/>
    <w:pPr>
      <w:spacing w:before="60" w:after="100"/>
    </w:pPr>
    <w:rPr>
      <w:rFonts w:ascii="Calibri" w:hAnsi="Calibri" w:cs="Arial"/>
      <w:bCs w:val="0"/>
      <w:color w:val="000000"/>
      <w:szCs w:val="18"/>
    </w:rPr>
  </w:style>
  <w:style w:type="paragraph" w:customStyle="1" w:styleId="Recommendation4">
    <w:name w:val="Recommendation 4"/>
    <w:basedOn w:val="Normal"/>
    <w:rsid w:val="00FB02CA"/>
    <w:pPr>
      <w:keepNext/>
      <w:keepLines/>
      <w:numPr>
        <w:numId w:val="18"/>
      </w:numPr>
      <w:tabs>
        <w:tab w:val="num" w:pos="720"/>
      </w:tabs>
      <w:spacing w:after="120" w:line="240" w:lineRule="auto"/>
    </w:pPr>
    <w:rPr>
      <w:lang w:eastAsia="en-US"/>
    </w:rPr>
  </w:style>
  <w:style w:type="paragraph" w:customStyle="1" w:styleId="Tabletext">
    <w:name w:val="Table text"/>
    <w:basedOn w:val="Normal"/>
    <w:link w:val="TabletextChar"/>
    <w:qFormat/>
    <w:rsid w:val="00FB02CA"/>
    <w:pPr>
      <w:autoSpaceDE w:val="0"/>
      <w:autoSpaceDN w:val="0"/>
      <w:adjustRightInd w:val="0"/>
      <w:spacing w:after="0" w:line="240" w:lineRule="auto"/>
      <w:contextualSpacing/>
      <w:jc w:val="left"/>
    </w:pPr>
    <w:rPr>
      <w:rFonts w:eastAsia="Times New Roman" w:cs="Arial"/>
      <w:color w:val="000000"/>
      <w:sz w:val="20"/>
      <w:szCs w:val="20"/>
      <w:lang w:eastAsia="en-US"/>
    </w:rPr>
  </w:style>
  <w:style w:type="character" w:customStyle="1" w:styleId="TabletextChar">
    <w:name w:val="Table text Char"/>
    <w:link w:val="Tabletext"/>
    <w:rsid w:val="00FB02CA"/>
    <w:rPr>
      <w:rFonts w:ascii="Calibri" w:eastAsia="Times New Roman" w:hAnsi="Calibri" w:cs="Arial"/>
      <w:color w:val="000000"/>
      <w:sz w:val="20"/>
      <w:szCs w:val="20"/>
    </w:rPr>
  </w:style>
  <w:style w:type="paragraph" w:customStyle="1" w:styleId="Style6">
    <w:name w:val="Style6"/>
    <w:basedOn w:val="Normal"/>
    <w:link w:val="Style6Char"/>
    <w:uiPriority w:val="99"/>
    <w:rsid w:val="00FB02CA"/>
    <w:pPr>
      <w:spacing w:after="240"/>
      <w:jc w:val="center"/>
    </w:pPr>
    <w:rPr>
      <w:rFonts w:eastAsia="Calibri" w:cs="Times New Roman"/>
      <w:b/>
      <w:bCs/>
      <w:color w:val="000080"/>
      <w:sz w:val="52"/>
      <w:szCs w:val="52"/>
      <w:lang w:eastAsia="en-US"/>
    </w:rPr>
  </w:style>
  <w:style w:type="character" w:customStyle="1" w:styleId="Style6Char">
    <w:name w:val="Style6 Char"/>
    <w:basedOn w:val="DefaultParagraphFont"/>
    <w:link w:val="Style6"/>
    <w:uiPriority w:val="99"/>
    <w:rsid w:val="00FB02CA"/>
    <w:rPr>
      <w:rFonts w:ascii="Calibri" w:eastAsia="Calibri" w:hAnsi="Calibri" w:cs="Times New Roman"/>
      <w:b/>
      <w:bCs/>
      <w:color w:val="000080"/>
      <w:sz w:val="52"/>
      <w:szCs w:val="52"/>
    </w:rPr>
  </w:style>
  <w:style w:type="paragraph" w:customStyle="1" w:styleId="BodyofDocumentText">
    <w:name w:val="Body of Document Text"/>
    <w:basedOn w:val="Normal"/>
    <w:qFormat/>
    <w:rsid w:val="00FB02CA"/>
    <w:pPr>
      <w:spacing w:after="240"/>
    </w:pPr>
    <w:rPr>
      <w:rFonts w:eastAsia="Calibri" w:cs="Times New Roman"/>
      <w:lang w:eastAsia="en-US"/>
    </w:rPr>
  </w:style>
  <w:style w:type="paragraph" w:customStyle="1" w:styleId="RecommendationCompilation">
    <w:name w:val="Recommendation Compilation"/>
    <w:basedOn w:val="Normal"/>
    <w:qFormat/>
    <w:rsid w:val="00FB02CA"/>
    <w:pPr>
      <w:spacing w:after="240" w:line="240" w:lineRule="auto"/>
    </w:pPr>
    <w:rPr>
      <w:rFonts w:eastAsia="Calibri" w:cs="Times New Roman"/>
      <w:lang w:eastAsia="en-US"/>
    </w:rPr>
  </w:style>
  <w:style w:type="numbering" w:customStyle="1" w:styleId="NoList111">
    <w:name w:val="No List111"/>
    <w:next w:val="NoList"/>
    <w:uiPriority w:val="99"/>
    <w:semiHidden/>
    <w:unhideWhenUsed/>
    <w:rsid w:val="00FB02CA"/>
  </w:style>
  <w:style w:type="table" w:customStyle="1" w:styleId="ESCiTable1">
    <w:name w:val="ESCi Table1"/>
    <w:basedOn w:val="TableGrid"/>
    <w:rsid w:val="00FB02CA"/>
    <w:pPr>
      <w:keepNext/>
      <w:keepLines/>
      <w:widowControl/>
      <w:spacing w:after="0" w:line="240" w:lineRule="auto"/>
    </w:pPr>
    <w:rPr>
      <w:rFonts w:ascii="Arial" w:eastAsia="Calibri" w:hAnsi="Arial" w:cs="Times New Roman"/>
      <w:szCs w:val="20"/>
    </w:rPr>
    <w:tblPr/>
  </w:style>
  <w:style w:type="table" w:customStyle="1" w:styleId="RecommendationTable1">
    <w:name w:val="Recommendation Table1"/>
    <w:rsid w:val="00FB02CA"/>
    <w:pPr>
      <w:spacing w:after="0" w:line="240" w:lineRule="auto"/>
    </w:pPr>
    <w:rPr>
      <w:rFonts w:ascii="Arial" w:eastAsia="Calibri" w:hAnsi="Arial" w:cs="Times New Roman"/>
      <w:szCs w:val="20"/>
    </w:rPr>
    <w:tblPr>
      <w:tblInd w:w="0" w:type="dxa"/>
      <w:tblBorders>
        <w:top w:val="single" w:sz="12" w:space="0" w:color="auto"/>
        <w:left w:val="single" w:sz="12" w:space="0" w:color="auto"/>
        <w:bottom w:val="single" w:sz="12" w:space="0" w:color="auto"/>
        <w:right w:val="single" w:sz="12" w:space="0" w:color="auto"/>
      </w:tblBorders>
      <w:tblCellMar>
        <w:top w:w="0" w:type="dxa"/>
        <w:left w:w="108" w:type="dxa"/>
        <w:bottom w:w="0" w:type="dxa"/>
        <w:right w:w="108" w:type="dxa"/>
      </w:tblCellMar>
    </w:tblPr>
    <w:tcPr>
      <w:shd w:val="clear" w:color="auto" w:fill="FFCC99"/>
    </w:tcPr>
  </w:style>
  <w:style w:type="paragraph" w:customStyle="1" w:styleId="Subheading0">
    <w:name w:val="Subheading"/>
    <w:basedOn w:val="Normal"/>
    <w:next w:val="Normal"/>
    <w:rsid w:val="00FB02CA"/>
    <w:pPr>
      <w:keepNext/>
      <w:spacing w:before="60" w:after="60" w:line="360" w:lineRule="auto"/>
      <w:jc w:val="left"/>
    </w:pPr>
    <w:rPr>
      <w:rFonts w:ascii="Arial" w:eastAsia="Calibri" w:hAnsi="Arial" w:cs="Times New Roman"/>
      <w:b/>
      <w:lang w:eastAsia="en-US"/>
    </w:rPr>
  </w:style>
  <w:style w:type="paragraph" w:customStyle="1" w:styleId="Recommendation10">
    <w:name w:val="Recommendation1"/>
    <w:basedOn w:val="ListBullet"/>
    <w:next w:val="Normal"/>
    <w:rsid w:val="00FB02CA"/>
    <w:pPr>
      <w:tabs>
        <w:tab w:val="clear" w:pos="360"/>
      </w:tabs>
      <w:spacing w:before="80" w:after="0" w:afterAutospacing="0" w:line="240" w:lineRule="auto"/>
      <w:ind w:left="0" w:firstLine="0"/>
      <w:jc w:val="left"/>
    </w:pPr>
    <w:rPr>
      <w:rFonts w:ascii="Arial" w:eastAsia="Calibri" w:hAnsi="Arial" w:cs="Times New Roman"/>
      <w:szCs w:val="22"/>
      <w:lang w:eastAsia="en-US"/>
    </w:rPr>
  </w:style>
  <w:style w:type="paragraph" w:customStyle="1" w:styleId="Recommendation2">
    <w:name w:val="Recommendation2"/>
    <w:basedOn w:val="Recommendation10"/>
    <w:rsid w:val="00FB02CA"/>
  </w:style>
  <w:style w:type="paragraph" w:customStyle="1" w:styleId="Recommendation3">
    <w:name w:val="Recommendation3"/>
    <w:basedOn w:val="Recommendation10"/>
    <w:rsid w:val="00FB02CA"/>
  </w:style>
  <w:style w:type="paragraph" w:customStyle="1" w:styleId="Recommendation40">
    <w:name w:val="Recommendation4"/>
    <w:basedOn w:val="Recommendation10"/>
    <w:uiPriority w:val="99"/>
    <w:rsid w:val="00FB02CA"/>
  </w:style>
  <w:style w:type="paragraph" w:customStyle="1" w:styleId="Recommendation5">
    <w:name w:val="Recommendation5"/>
    <w:basedOn w:val="Recommendation10"/>
    <w:rsid w:val="00FB02CA"/>
  </w:style>
  <w:style w:type="numbering" w:customStyle="1" w:styleId="NoList1111">
    <w:name w:val="No List1111"/>
    <w:next w:val="NoList"/>
    <w:uiPriority w:val="99"/>
    <w:semiHidden/>
    <w:unhideWhenUsed/>
    <w:rsid w:val="00FB02CA"/>
  </w:style>
  <w:style w:type="numbering" w:customStyle="1" w:styleId="NoList2">
    <w:name w:val="No List2"/>
    <w:next w:val="NoList"/>
    <w:uiPriority w:val="99"/>
    <w:semiHidden/>
    <w:unhideWhenUsed/>
    <w:rsid w:val="00FB02CA"/>
  </w:style>
  <w:style w:type="numbering" w:customStyle="1" w:styleId="NoList3">
    <w:name w:val="No List3"/>
    <w:next w:val="NoList"/>
    <w:uiPriority w:val="99"/>
    <w:semiHidden/>
    <w:unhideWhenUsed/>
    <w:rsid w:val="00FB02CA"/>
  </w:style>
  <w:style w:type="paragraph" w:customStyle="1" w:styleId="StyleESCICaptionLeftFirstline05">
    <w:name w:val="Style ESCI Caption + Left First line:  0.5&quot;"/>
    <w:basedOn w:val="ESCICaption"/>
    <w:rsid w:val="00FB02CA"/>
    <w:pPr>
      <w:spacing w:after="40"/>
      <w:ind w:firstLine="1296"/>
      <w:jc w:val="left"/>
    </w:pPr>
    <w:rPr>
      <w:rFonts w:ascii="Arial" w:eastAsia="Times New Roman" w:hAnsi="Arial" w:cs="Times New Roman"/>
      <w:lang w:eastAsia="en-US"/>
    </w:rPr>
  </w:style>
  <w:style w:type="paragraph" w:customStyle="1" w:styleId="StyleCaptionCharCharCharCentered">
    <w:name w:val="Style CaptionChar CharChar + Centered"/>
    <w:basedOn w:val="Caption"/>
    <w:uiPriority w:val="99"/>
    <w:rsid w:val="00FB02CA"/>
    <w:pPr>
      <w:keepLines w:val="0"/>
      <w:spacing w:before="120" w:after="240" w:line="360" w:lineRule="auto"/>
    </w:pPr>
    <w:rPr>
      <w:rFonts w:ascii="Arial" w:eastAsia="Calibri" w:hAnsi="Arial"/>
    </w:rPr>
  </w:style>
  <w:style w:type="paragraph" w:customStyle="1" w:styleId="Title1">
    <w:name w:val="Title1"/>
    <w:basedOn w:val="Normal"/>
    <w:next w:val="Normal"/>
    <w:uiPriority w:val="10"/>
    <w:qFormat/>
    <w:locked/>
    <w:rsid w:val="00FB02CA"/>
    <w:pPr>
      <w:pBdr>
        <w:bottom w:val="single" w:sz="8" w:space="4" w:color="4F81BD"/>
      </w:pBdr>
      <w:spacing w:after="300" w:line="240" w:lineRule="auto"/>
      <w:contextualSpacing/>
      <w:jc w:val="left"/>
    </w:pPr>
    <w:rPr>
      <w:rFonts w:ascii="Cambria" w:eastAsia="Times New Roman" w:hAnsi="Cambria" w:cs="Times New Roman"/>
      <w:color w:val="17365D"/>
      <w:spacing w:val="5"/>
      <w:kern w:val="28"/>
      <w:sz w:val="52"/>
      <w:szCs w:val="52"/>
      <w:lang w:eastAsia="en-US"/>
    </w:rPr>
  </w:style>
  <w:style w:type="paragraph" w:customStyle="1" w:styleId="Subtitle1">
    <w:name w:val="Subtitle1"/>
    <w:basedOn w:val="Normal"/>
    <w:next w:val="Normal"/>
    <w:uiPriority w:val="11"/>
    <w:qFormat/>
    <w:locked/>
    <w:rsid w:val="00FB02CA"/>
    <w:pPr>
      <w:numPr>
        <w:ilvl w:val="1"/>
      </w:numPr>
      <w:spacing w:after="200"/>
      <w:jc w:val="left"/>
    </w:pPr>
    <w:rPr>
      <w:rFonts w:ascii="Cambria" w:eastAsia="Times New Roman" w:hAnsi="Cambria" w:cs="Times New Roman"/>
      <w:i/>
      <w:iCs/>
      <w:color w:val="4F81BD"/>
      <w:spacing w:val="15"/>
      <w:sz w:val="24"/>
      <w:szCs w:val="24"/>
      <w:lang w:eastAsia="en-US"/>
    </w:rPr>
  </w:style>
  <w:style w:type="character" w:customStyle="1" w:styleId="SubtitleChar">
    <w:name w:val="Subtitle Char"/>
    <w:basedOn w:val="DefaultParagraphFont"/>
    <w:link w:val="Subtitle"/>
    <w:uiPriority w:val="11"/>
    <w:rsid w:val="00FB02CA"/>
    <w:rPr>
      <w:rFonts w:ascii="Cambria" w:eastAsia="Times New Roman" w:hAnsi="Cambria" w:cs="Times New Roman"/>
      <w:i/>
      <w:iCs/>
      <w:color w:val="4F81BD"/>
      <w:spacing w:val="15"/>
      <w:sz w:val="24"/>
      <w:szCs w:val="24"/>
    </w:rPr>
  </w:style>
  <w:style w:type="paragraph" w:customStyle="1" w:styleId="StyleListParagraphRight05Linespacingsingle">
    <w:name w:val="Style List Paragraph + Right:  0.5&quot; Line spacing:  single"/>
    <w:basedOn w:val="ListParagraph"/>
    <w:rsid w:val="00FB02CA"/>
    <w:pPr>
      <w:adjustRightInd/>
      <w:spacing w:after="0" w:line="240" w:lineRule="auto"/>
    </w:pPr>
    <w:rPr>
      <w:rFonts w:ascii="Arial" w:eastAsia="Times New Roman" w:hAnsi="Arial" w:cs="Times New Roman"/>
      <w:szCs w:val="20"/>
      <w:lang w:eastAsia="en-US"/>
    </w:rPr>
  </w:style>
  <w:style w:type="paragraph" w:customStyle="1" w:styleId="Style5">
    <w:name w:val="Style5"/>
    <w:basedOn w:val="Normal"/>
    <w:link w:val="Style5Char"/>
    <w:uiPriority w:val="99"/>
    <w:qFormat/>
    <w:rsid w:val="00FB02CA"/>
    <w:pPr>
      <w:keepNext/>
      <w:keepLines/>
      <w:spacing w:after="120" w:line="240" w:lineRule="auto"/>
      <w:outlineLvl w:val="4"/>
    </w:pPr>
    <w:rPr>
      <w:rFonts w:ascii="Arial" w:eastAsia="Times New Roman" w:hAnsi="Arial" w:cs="Times New Roman"/>
      <w:bCs/>
      <w:i/>
      <w:iCs/>
      <w:szCs w:val="26"/>
      <w:u w:val="single"/>
      <w:lang w:eastAsia="en-US"/>
    </w:rPr>
  </w:style>
  <w:style w:type="character" w:customStyle="1" w:styleId="apple-style-span">
    <w:name w:val="apple-style-span"/>
    <w:basedOn w:val="DefaultParagraphFont"/>
    <w:rsid w:val="00FB02CA"/>
  </w:style>
  <w:style w:type="paragraph" w:customStyle="1" w:styleId="ESCIRecommendation">
    <w:name w:val="ESCI Recommendation"/>
    <w:basedOn w:val="Normal"/>
    <w:next w:val="Normal"/>
    <w:qFormat/>
    <w:rsid w:val="00FB02CA"/>
    <w:pPr>
      <w:spacing w:after="0" w:line="240" w:lineRule="auto"/>
      <w:jc w:val="center"/>
    </w:pPr>
    <w:rPr>
      <w:rFonts w:ascii="Arial" w:eastAsia="Calibri" w:hAnsi="Arial" w:cs="Times New Roman"/>
      <w:sz w:val="20"/>
      <w:szCs w:val="20"/>
      <w:lang w:eastAsia="en-US"/>
    </w:rPr>
  </w:style>
  <w:style w:type="numbering" w:customStyle="1" w:styleId="NoList4">
    <w:name w:val="No List4"/>
    <w:next w:val="NoList"/>
    <w:uiPriority w:val="99"/>
    <w:semiHidden/>
    <w:unhideWhenUsed/>
    <w:rsid w:val="00FB02CA"/>
  </w:style>
  <w:style w:type="numbering" w:customStyle="1" w:styleId="NoList11111">
    <w:name w:val="No List11111"/>
    <w:next w:val="NoList"/>
    <w:uiPriority w:val="99"/>
    <w:semiHidden/>
    <w:unhideWhenUsed/>
    <w:rsid w:val="00FB02CA"/>
  </w:style>
  <w:style w:type="numbering" w:customStyle="1" w:styleId="NoList21">
    <w:name w:val="No List21"/>
    <w:next w:val="NoList"/>
    <w:uiPriority w:val="99"/>
    <w:semiHidden/>
    <w:unhideWhenUsed/>
    <w:rsid w:val="00FB02CA"/>
  </w:style>
  <w:style w:type="numbering" w:customStyle="1" w:styleId="NoList31">
    <w:name w:val="No List31"/>
    <w:next w:val="NoList"/>
    <w:uiPriority w:val="99"/>
    <w:semiHidden/>
    <w:unhideWhenUsed/>
    <w:rsid w:val="00FB02CA"/>
  </w:style>
  <w:style w:type="numbering" w:customStyle="1" w:styleId="NoList111111">
    <w:name w:val="No List111111"/>
    <w:next w:val="NoList"/>
    <w:uiPriority w:val="99"/>
    <w:semiHidden/>
    <w:unhideWhenUsed/>
    <w:rsid w:val="00FB02CA"/>
  </w:style>
  <w:style w:type="numbering" w:customStyle="1" w:styleId="NoList5">
    <w:name w:val="No List5"/>
    <w:next w:val="NoList"/>
    <w:uiPriority w:val="99"/>
    <w:semiHidden/>
    <w:unhideWhenUsed/>
    <w:rsid w:val="00FB02CA"/>
  </w:style>
  <w:style w:type="table" w:customStyle="1" w:styleId="TableGrid21">
    <w:name w:val="Table Grid21"/>
    <w:basedOn w:val="TableNormal"/>
    <w:next w:val="TableGrid"/>
    <w:rsid w:val="00FB02CA"/>
    <w:pPr>
      <w:spacing w:after="0" w:line="240" w:lineRule="auto"/>
      <w:jc w:val="both"/>
    </w:pPr>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next w:val="TableGrid"/>
    <w:rsid w:val="00FB02CA"/>
    <w:pPr>
      <w:spacing w:after="0" w:line="240" w:lineRule="auto"/>
    </w:pPr>
    <w:rPr>
      <w:rFonts w:ascii="Arial" w:eastAsia="Times New Roman" w:hAnsi="Arial" w:cs="Arial"/>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dex3">
    <w:name w:val="index 3"/>
    <w:basedOn w:val="Normal"/>
    <w:next w:val="Normal"/>
    <w:autoRedefine/>
    <w:uiPriority w:val="99"/>
    <w:unhideWhenUsed/>
    <w:locked/>
    <w:rsid w:val="00FB02CA"/>
    <w:pPr>
      <w:keepNext/>
      <w:keepLines/>
      <w:spacing w:after="0" w:line="360" w:lineRule="auto"/>
      <w:outlineLvl w:val="3"/>
    </w:pPr>
    <w:rPr>
      <w:rFonts w:ascii="Arial" w:eastAsia="Calibri" w:hAnsi="Arial" w:cs="Times New Roman"/>
      <w:b/>
      <w:bCs/>
      <w:iCs/>
      <w:color w:val="000000"/>
      <w:lang w:eastAsia="x-none"/>
    </w:rPr>
  </w:style>
  <w:style w:type="paragraph" w:styleId="ListNumber3">
    <w:name w:val="List Number 3"/>
    <w:basedOn w:val="Normal"/>
    <w:uiPriority w:val="99"/>
    <w:unhideWhenUsed/>
    <w:locked/>
    <w:rsid w:val="00FB02CA"/>
    <w:pPr>
      <w:numPr>
        <w:numId w:val="19"/>
      </w:numPr>
      <w:tabs>
        <w:tab w:val="clear" w:pos="1080"/>
      </w:tabs>
      <w:spacing w:after="0" w:line="360" w:lineRule="auto"/>
      <w:ind w:left="0" w:firstLine="0"/>
      <w:contextualSpacing/>
    </w:pPr>
    <w:rPr>
      <w:rFonts w:ascii="Arial" w:eastAsia="Calibri" w:hAnsi="Arial" w:cs="Times New Roman"/>
      <w:lang w:eastAsia="en-US"/>
    </w:rPr>
  </w:style>
  <w:style w:type="numbering" w:customStyle="1" w:styleId="NoList12">
    <w:name w:val="No List12"/>
    <w:next w:val="NoList"/>
    <w:uiPriority w:val="99"/>
    <w:semiHidden/>
    <w:unhideWhenUsed/>
    <w:rsid w:val="00FB02CA"/>
  </w:style>
  <w:style w:type="numbering" w:customStyle="1" w:styleId="NoList112">
    <w:name w:val="No List112"/>
    <w:next w:val="NoList"/>
    <w:uiPriority w:val="99"/>
    <w:semiHidden/>
    <w:unhideWhenUsed/>
    <w:rsid w:val="00FB02CA"/>
  </w:style>
  <w:style w:type="table" w:customStyle="1" w:styleId="TableGrid31">
    <w:name w:val="Table Grid31"/>
    <w:basedOn w:val="TableNormal"/>
    <w:next w:val="TableGrid"/>
    <w:rsid w:val="00FB02CA"/>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59"/>
    <w:rsid w:val="00FB02CA"/>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leChar1">
    <w:name w:val="Title Char1"/>
    <w:basedOn w:val="DefaultParagraphFont"/>
    <w:rsid w:val="00FB02CA"/>
    <w:rPr>
      <w:rFonts w:ascii="Cambria" w:eastAsia="Times New Roman" w:hAnsi="Cambria" w:cs="Times New Roman"/>
      <w:color w:val="17365D"/>
      <w:spacing w:val="5"/>
      <w:kern w:val="28"/>
      <w:sz w:val="52"/>
      <w:szCs w:val="52"/>
    </w:rPr>
  </w:style>
  <w:style w:type="paragraph" w:styleId="Subtitle">
    <w:name w:val="Subtitle"/>
    <w:basedOn w:val="Normal"/>
    <w:next w:val="Normal"/>
    <w:link w:val="SubtitleChar"/>
    <w:uiPriority w:val="11"/>
    <w:qFormat/>
    <w:locked/>
    <w:rsid w:val="00FB02CA"/>
    <w:pPr>
      <w:numPr>
        <w:ilvl w:val="1"/>
      </w:numPr>
      <w:spacing w:after="240"/>
    </w:pPr>
    <w:rPr>
      <w:rFonts w:ascii="Cambria" w:eastAsia="Times New Roman" w:hAnsi="Cambria" w:cs="Times New Roman"/>
      <w:i/>
      <w:iCs/>
      <w:color w:val="4F81BD"/>
      <w:spacing w:val="15"/>
      <w:sz w:val="24"/>
      <w:szCs w:val="24"/>
      <w:lang w:eastAsia="en-US"/>
    </w:rPr>
  </w:style>
  <w:style w:type="character" w:customStyle="1" w:styleId="SubtitleChar1">
    <w:name w:val="Subtitle Char1"/>
    <w:basedOn w:val="DefaultParagraphFont"/>
    <w:rsid w:val="00FB02CA"/>
    <w:rPr>
      <w:rFonts w:asciiTheme="majorHAnsi" w:eastAsiaTheme="majorEastAsia" w:hAnsiTheme="majorHAnsi" w:cstheme="majorBidi"/>
      <w:i/>
      <w:iCs/>
      <w:color w:val="4F81BD" w:themeColor="accent1"/>
      <w:spacing w:val="15"/>
      <w:sz w:val="24"/>
      <w:szCs w:val="24"/>
      <w:lang w:eastAsia="ja-JP"/>
    </w:rPr>
  </w:style>
  <w:style w:type="paragraph" w:customStyle="1" w:styleId="Recommendation1">
    <w:name w:val="Recommendation 1"/>
    <w:basedOn w:val="Normal"/>
    <w:rsid w:val="00FB02CA"/>
    <w:pPr>
      <w:keepNext/>
      <w:keepLines/>
      <w:numPr>
        <w:numId w:val="20"/>
      </w:numPr>
      <w:spacing w:after="120" w:line="240" w:lineRule="auto"/>
    </w:pPr>
  </w:style>
  <w:style w:type="paragraph" w:customStyle="1" w:styleId="Recommendation20">
    <w:name w:val="Recommendation 2"/>
    <w:basedOn w:val="Recommendation1"/>
    <w:rsid w:val="00FB02CA"/>
    <w:pPr>
      <w:numPr>
        <w:numId w:val="0"/>
      </w:numPr>
    </w:pPr>
  </w:style>
  <w:style w:type="paragraph" w:customStyle="1" w:styleId="Recommendation30">
    <w:name w:val="Recommendation 3"/>
    <w:basedOn w:val="Recommendation1"/>
    <w:rsid w:val="00FB02CA"/>
    <w:pPr>
      <w:numPr>
        <w:numId w:val="0"/>
      </w:numPr>
    </w:pPr>
  </w:style>
  <w:style w:type="paragraph" w:customStyle="1" w:styleId="Recommendation50">
    <w:name w:val="Recommendation 5"/>
    <w:basedOn w:val="Recommendation1"/>
    <w:rsid w:val="00FB02CA"/>
    <w:pPr>
      <w:numPr>
        <w:numId w:val="0"/>
      </w:numPr>
    </w:pPr>
  </w:style>
  <w:style w:type="table" w:customStyle="1" w:styleId="TableGrid51">
    <w:name w:val="Table Grid51"/>
    <w:basedOn w:val="TableNormal"/>
    <w:next w:val="TableGrid"/>
    <w:uiPriority w:val="59"/>
    <w:rsid w:val="00FB02C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ItalicLeft05Right05">
    <w:name w:val="Style Italic Left:  0.5&quot; Right:  0.5&quot;"/>
    <w:basedOn w:val="Normal"/>
    <w:uiPriority w:val="99"/>
    <w:rsid w:val="00FB02CA"/>
    <w:pPr>
      <w:widowControl w:val="0"/>
      <w:spacing w:after="0" w:line="240" w:lineRule="auto"/>
      <w:ind w:left="720" w:right="720"/>
    </w:pPr>
    <w:rPr>
      <w:rFonts w:ascii="Arial" w:eastAsia="Times New Roman" w:hAnsi="Arial" w:cs="Arial"/>
      <w:i/>
      <w:iCs/>
      <w:lang w:eastAsia="en-US"/>
    </w:rPr>
  </w:style>
  <w:style w:type="paragraph" w:customStyle="1" w:styleId="StyleHeading311pt">
    <w:name w:val="Style Heading 3 + 11 pt"/>
    <w:basedOn w:val="Heading3"/>
    <w:link w:val="StyleHeading311ptChar"/>
    <w:uiPriority w:val="99"/>
    <w:rsid w:val="00FB02CA"/>
    <w:pPr>
      <w:keepLines w:val="0"/>
      <w:spacing w:before="120" w:line="360" w:lineRule="auto"/>
      <w:jc w:val="left"/>
    </w:pPr>
    <w:rPr>
      <w:rFonts w:ascii="Arial" w:eastAsia="Calibri" w:hAnsi="Arial" w:cs="Times New Roman"/>
      <w:b w:val="0"/>
      <w:i w:val="0"/>
      <w:color w:val="auto"/>
      <w:sz w:val="22"/>
      <w:szCs w:val="20"/>
      <w:u w:val="single"/>
      <w:lang w:val="x-none" w:eastAsia="x-none"/>
    </w:rPr>
  </w:style>
  <w:style w:type="character" w:customStyle="1" w:styleId="StyleHeading311ptChar">
    <w:name w:val="Style Heading 3 + 11 pt Char"/>
    <w:link w:val="StyleHeading311pt"/>
    <w:uiPriority w:val="99"/>
    <w:locked/>
    <w:rsid w:val="00FB02CA"/>
    <w:rPr>
      <w:rFonts w:ascii="Arial" w:eastAsia="Calibri" w:hAnsi="Arial" w:cs="Times New Roman"/>
      <w:bCs/>
      <w:szCs w:val="20"/>
      <w:u w:val="single"/>
      <w:lang w:val="x-none" w:eastAsia="x-none"/>
    </w:rPr>
  </w:style>
  <w:style w:type="character" w:customStyle="1" w:styleId="StyleWordunderline">
    <w:name w:val="Style Word underline"/>
    <w:uiPriority w:val="99"/>
    <w:rsid w:val="00FB02CA"/>
    <w:rPr>
      <w:rFonts w:cs="Times New Roman"/>
      <w:sz w:val="20"/>
      <w:szCs w:val="20"/>
      <w:u w:val="words"/>
    </w:rPr>
  </w:style>
  <w:style w:type="character" w:customStyle="1" w:styleId="CharChar3">
    <w:name w:val="Char Char3"/>
    <w:uiPriority w:val="99"/>
    <w:rsid w:val="00FB02CA"/>
    <w:rPr>
      <w:rFonts w:ascii="Arial" w:hAnsi="Arial" w:cs="Arial"/>
      <w:b/>
      <w:bCs/>
    </w:rPr>
  </w:style>
  <w:style w:type="character" w:customStyle="1" w:styleId="StyleArial11pt">
    <w:name w:val="Style Arial 11 pt"/>
    <w:uiPriority w:val="99"/>
    <w:rsid w:val="00FB02CA"/>
    <w:rPr>
      <w:rFonts w:ascii="Arial" w:hAnsi="Arial" w:cs="Arial"/>
      <w:sz w:val="22"/>
      <w:szCs w:val="22"/>
      <w:bdr w:val="none" w:sz="0" w:space="0" w:color="auto" w:frame="1"/>
    </w:rPr>
  </w:style>
  <w:style w:type="paragraph" w:customStyle="1" w:styleId="StyleHeading1Black">
    <w:name w:val="Style Heading 1 + Black"/>
    <w:basedOn w:val="Heading1"/>
    <w:uiPriority w:val="99"/>
    <w:rsid w:val="00FB02CA"/>
    <w:pPr>
      <w:keepLines w:val="0"/>
      <w:spacing w:before="0" w:line="240" w:lineRule="auto"/>
      <w:jc w:val="center"/>
    </w:pPr>
    <w:rPr>
      <w:rFonts w:ascii="Arial" w:eastAsia="Times New Roman" w:hAnsi="Arial" w:cs="Arial"/>
      <w:color w:val="000000"/>
      <w:kern w:val="32"/>
      <w:sz w:val="32"/>
      <w:szCs w:val="32"/>
      <w:lang w:val="x-none" w:eastAsia="x-none"/>
    </w:rPr>
  </w:style>
  <w:style w:type="paragraph" w:customStyle="1" w:styleId="Style10ptBoldBlackCenteredAfter0ptLinespacingsi">
    <w:name w:val="Style 10 pt Bold Black Centered After:  0 pt Line spacing:  si..."/>
    <w:basedOn w:val="Normal"/>
    <w:uiPriority w:val="99"/>
    <w:rsid w:val="00FB02CA"/>
    <w:pPr>
      <w:widowControl w:val="0"/>
      <w:spacing w:before="20" w:after="20" w:line="240" w:lineRule="auto"/>
      <w:jc w:val="center"/>
    </w:pPr>
    <w:rPr>
      <w:rFonts w:ascii="Arial" w:eastAsia="Times New Roman" w:hAnsi="Arial" w:cs="Arial"/>
      <w:b/>
      <w:bCs/>
      <w:color w:val="000000"/>
      <w:sz w:val="20"/>
      <w:szCs w:val="20"/>
      <w:lang w:eastAsia="en-US"/>
    </w:rPr>
  </w:style>
  <w:style w:type="paragraph" w:customStyle="1" w:styleId="Style10ptBoldBlackRightRight02After0ptLines">
    <w:name w:val="Style 10 pt Bold Black Right Right:  0.2&quot; After:  0 pt Line s..."/>
    <w:basedOn w:val="Normal"/>
    <w:uiPriority w:val="99"/>
    <w:rsid w:val="00FB02CA"/>
    <w:pPr>
      <w:widowControl w:val="0"/>
      <w:spacing w:before="20" w:after="20" w:line="240" w:lineRule="auto"/>
      <w:ind w:right="288" w:firstLineChars="200" w:firstLine="200"/>
      <w:jc w:val="right"/>
    </w:pPr>
    <w:rPr>
      <w:rFonts w:ascii="Arial" w:eastAsia="Times New Roman" w:hAnsi="Arial" w:cs="Arial"/>
      <w:b/>
      <w:bCs/>
      <w:color w:val="000000"/>
      <w:sz w:val="20"/>
      <w:szCs w:val="20"/>
      <w:lang w:eastAsia="en-US"/>
    </w:rPr>
  </w:style>
  <w:style w:type="paragraph" w:customStyle="1" w:styleId="Style10ptBlackRightRight02After0ptLinespacing1">
    <w:name w:val="Style 10 pt Black Right Right:  0.2&quot; After:  0 pt Line spacing...1"/>
    <w:basedOn w:val="Normal"/>
    <w:uiPriority w:val="99"/>
    <w:rsid w:val="00FB02CA"/>
    <w:pPr>
      <w:widowControl w:val="0"/>
      <w:spacing w:before="20" w:after="20" w:line="240" w:lineRule="auto"/>
      <w:ind w:right="288" w:firstLineChars="200" w:firstLine="200"/>
      <w:jc w:val="right"/>
    </w:pPr>
    <w:rPr>
      <w:rFonts w:ascii="Arial" w:eastAsia="Times New Roman" w:hAnsi="Arial" w:cs="Arial"/>
      <w:color w:val="000000"/>
      <w:sz w:val="20"/>
      <w:szCs w:val="20"/>
      <w:lang w:eastAsia="en-US"/>
    </w:rPr>
  </w:style>
  <w:style w:type="paragraph" w:customStyle="1" w:styleId="StyleCaptionCharCharCharCentered1">
    <w:name w:val="Style CaptionChar CharChar + Centered1"/>
    <w:basedOn w:val="Normal"/>
    <w:uiPriority w:val="99"/>
    <w:rsid w:val="00FB02CA"/>
    <w:pPr>
      <w:keepNext/>
      <w:keepLines/>
      <w:spacing w:before="120" w:after="40" w:line="240" w:lineRule="auto"/>
      <w:jc w:val="center"/>
    </w:pPr>
    <w:rPr>
      <w:rFonts w:ascii="Arial" w:eastAsia="Times New Roman" w:hAnsi="Arial" w:cs="Arial"/>
      <w:b/>
      <w:bCs/>
      <w:sz w:val="20"/>
      <w:szCs w:val="20"/>
      <w:lang w:eastAsia="en-US"/>
    </w:rPr>
  </w:style>
  <w:style w:type="paragraph" w:customStyle="1" w:styleId="StyleStyleCaptionCharCharCharCentered11pt">
    <w:name w:val="Style Style CaptionChar CharChar + Centered + 11 pt"/>
    <w:basedOn w:val="StyleCaptionCharCharCharCentered"/>
    <w:uiPriority w:val="99"/>
    <w:rsid w:val="00FB02CA"/>
    <w:pPr>
      <w:keepLines/>
      <w:spacing w:after="40" w:line="240" w:lineRule="auto"/>
    </w:pPr>
    <w:rPr>
      <w:rFonts w:eastAsia="Times New Roman" w:cs="Arial"/>
    </w:rPr>
  </w:style>
  <w:style w:type="paragraph" w:customStyle="1" w:styleId="StyleListParagraphLinespacingsingle">
    <w:name w:val="Style List Paragraph + Line spacing:  single"/>
    <w:basedOn w:val="ListParagraph"/>
    <w:uiPriority w:val="99"/>
    <w:rsid w:val="00FB02CA"/>
    <w:pPr>
      <w:adjustRightInd/>
      <w:spacing w:after="180" w:line="240" w:lineRule="auto"/>
      <w:contextualSpacing w:val="0"/>
    </w:pPr>
    <w:rPr>
      <w:rFonts w:ascii="Arial" w:eastAsia="Times New Roman" w:hAnsi="Arial" w:cs="Arial"/>
      <w:lang w:eastAsia="en-US"/>
    </w:rPr>
  </w:style>
  <w:style w:type="paragraph" w:customStyle="1" w:styleId="Style10ptLinespacingsingle">
    <w:name w:val="Style 10 pt Line spacing:  single"/>
    <w:basedOn w:val="Normal"/>
    <w:uiPriority w:val="99"/>
    <w:rsid w:val="00FB02CA"/>
    <w:pPr>
      <w:spacing w:before="40" w:after="40" w:line="360" w:lineRule="auto"/>
    </w:pPr>
    <w:rPr>
      <w:rFonts w:ascii="Arial" w:eastAsia="Calibri" w:hAnsi="Arial" w:cs="Times New Roman"/>
      <w:sz w:val="20"/>
      <w:szCs w:val="20"/>
      <w:lang w:val="x-none" w:eastAsia="x-none"/>
    </w:rPr>
  </w:style>
  <w:style w:type="paragraph" w:customStyle="1" w:styleId="StyleBoldUnderlineJustified">
    <w:name w:val="Style Bold Underline Justified"/>
    <w:basedOn w:val="Normal"/>
    <w:uiPriority w:val="99"/>
    <w:rsid w:val="00FB02CA"/>
    <w:pPr>
      <w:spacing w:after="0" w:line="240" w:lineRule="auto"/>
    </w:pPr>
    <w:rPr>
      <w:rFonts w:ascii="Arial" w:eastAsia="Calibri" w:hAnsi="Arial" w:cs="Arial"/>
      <w:b/>
      <w:bCs/>
      <w:u w:val="single"/>
      <w:lang w:eastAsia="en-US"/>
    </w:rPr>
  </w:style>
  <w:style w:type="character" w:customStyle="1" w:styleId="Style5Char">
    <w:name w:val="Style5 Char"/>
    <w:link w:val="Style5"/>
    <w:uiPriority w:val="99"/>
    <w:locked/>
    <w:rsid w:val="00FB02CA"/>
    <w:rPr>
      <w:rFonts w:ascii="Arial" w:eastAsia="Times New Roman" w:hAnsi="Arial" w:cs="Times New Roman"/>
      <w:bCs/>
      <w:i/>
      <w:iCs/>
      <w:szCs w:val="26"/>
      <w:u w:val="single"/>
    </w:rPr>
  </w:style>
  <w:style w:type="character" w:customStyle="1" w:styleId="CharCharChar1">
    <w:name w:val="Char Char Char1"/>
    <w:aliases w:val="Char Char Char2"/>
    <w:uiPriority w:val="99"/>
    <w:locked/>
    <w:rsid w:val="00FB02CA"/>
    <w:rPr>
      <w:rFonts w:ascii="Arial" w:hAnsi="Arial" w:cs="Arial"/>
      <w:b/>
      <w:bCs/>
      <w:lang w:val="en-US" w:eastAsia="en-US"/>
    </w:rPr>
  </w:style>
  <w:style w:type="character" w:customStyle="1" w:styleId="Char2Char11">
    <w:name w:val="Char2 Char11"/>
    <w:uiPriority w:val="99"/>
    <w:locked/>
    <w:rsid w:val="00FB02CA"/>
    <w:rPr>
      <w:rFonts w:cs="Times New Roman"/>
      <w:sz w:val="18"/>
      <w:szCs w:val="18"/>
    </w:rPr>
  </w:style>
  <w:style w:type="character" w:customStyle="1" w:styleId="BodyTextIndentChar1">
    <w:name w:val="Body Text Indent Char1"/>
    <w:basedOn w:val="DefaultParagraphFont"/>
    <w:uiPriority w:val="99"/>
    <w:semiHidden/>
    <w:rsid w:val="00FB02CA"/>
    <w:rPr>
      <w:lang w:eastAsia="ja-JP"/>
    </w:rPr>
  </w:style>
  <w:style w:type="character" w:customStyle="1" w:styleId="StyleCalibri">
    <w:name w:val="Style Calibri"/>
    <w:rsid w:val="00FB02CA"/>
    <w:rPr>
      <w:rFonts w:ascii="Calibri" w:hAnsi="Calibri"/>
      <w:sz w:val="24"/>
    </w:rPr>
  </w:style>
  <w:style w:type="paragraph" w:customStyle="1" w:styleId="Bodywithnoindent">
    <w:name w:val="Body with no indent"/>
    <w:basedOn w:val="Normal"/>
    <w:rsid w:val="00FB02CA"/>
    <w:pPr>
      <w:numPr>
        <w:numId w:val="21"/>
      </w:numPr>
      <w:tabs>
        <w:tab w:val="clear" w:pos="1440"/>
      </w:tabs>
      <w:spacing w:after="120" w:line="240" w:lineRule="auto"/>
      <w:ind w:left="0" w:firstLine="0"/>
    </w:pPr>
    <w:rPr>
      <w:rFonts w:ascii="Times New Roman" w:eastAsia="Times New Roman" w:hAnsi="Times New Roman" w:cs="Times New Roman"/>
      <w:sz w:val="24"/>
      <w:szCs w:val="20"/>
      <w:lang w:eastAsia="en-US"/>
    </w:rPr>
  </w:style>
  <w:style w:type="paragraph" w:customStyle="1" w:styleId="PolicyProcedures">
    <w:name w:val="Policy &amp; Procedures"/>
    <w:basedOn w:val="Normal"/>
    <w:next w:val="Normal"/>
    <w:uiPriority w:val="99"/>
    <w:rsid w:val="00FB02CA"/>
    <w:pPr>
      <w:autoSpaceDE w:val="0"/>
      <w:autoSpaceDN w:val="0"/>
      <w:adjustRightInd w:val="0"/>
      <w:spacing w:after="0" w:line="240" w:lineRule="auto"/>
      <w:jc w:val="left"/>
    </w:pPr>
    <w:rPr>
      <w:rFonts w:ascii="Arial" w:eastAsia="Calibri" w:hAnsi="Arial" w:cs="Arial"/>
      <w:sz w:val="24"/>
      <w:szCs w:val="24"/>
      <w:lang w:eastAsia="en-US"/>
    </w:rPr>
  </w:style>
  <w:style w:type="paragraph" w:customStyle="1" w:styleId="PolicyProcedure">
    <w:name w:val="Policy &amp; Procedure"/>
    <w:basedOn w:val="Default"/>
    <w:next w:val="Default"/>
    <w:uiPriority w:val="99"/>
    <w:rsid w:val="00FB02CA"/>
    <w:pPr>
      <w:widowControl/>
      <w:spacing w:after="0" w:line="240" w:lineRule="auto"/>
    </w:pPr>
    <w:rPr>
      <w:rFonts w:eastAsia="Calibri"/>
      <w:color w:val="auto"/>
    </w:rPr>
  </w:style>
  <w:style w:type="character" w:customStyle="1" w:styleId="SubtleEmphasis1">
    <w:name w:val="Subtle Emphasis1"/>
    <w:basedOn w:val="DefaultParagraphFont"/>
    <w:uiPriority w:val="19"/>
    <w:rsid w:val="00FB02CA"/>
    <w:rPr>
      <w:i/>
      <w:iCs/>
      <w:color w:val="808080"/>
    </w:rPr>
  </w:style>
  <w:style w:type="paragraph" w:customStyle="1" w:styleId="msolistparagraph0">
    <w:name w:val="msolistparagraph"/>
    <w:basedOn w:val="Normal"/>
    <w:uiPriority w:val="99"/>
    <w:rsid w:val="00FB02CA"/>
    <w:pPr>
      <w:spacing w:after="240" w:line="360" w:lineRule="auto"/>
      <w:ind w:left="720"/>
    </w:pPr>
    <w:rPr>
      <w:rFonts w:ascii="Arial" w:eastAsia="Calibri" w:hAnsi="Arial" w:cs="Arial"/>
      <w:lang w:eastAsia="en-US"/>
    </w:rPr>
  </w:style>
  <w:style w:type="paragraph" w:customStyle="1" w:styleId="Discussion">
    <w:name w:val="Discussion"/>
    <w:basedOn w:val="Normal"/>
    <w:link w:val="DiscussionChar"/>
    <w:qFormat/>
    <w:rsid w:val="00FB02CA"/>
    <w:pPr>
      <w:spacing w:before="240" w:after="120"/>
    </w:pPr>
    <w:rPr>
      <w:rFonts w:cs="Cambria"/>
      <w:b/>
    </w:rPr>
  </w:style>
  <w:style w:type="character" w:customStyle="1" w:styleId="DiscussionChar">
    <w:name w:val="Discussion Char"/>
    <w:basedOn w:val="DefaultParagraphFont"/>
    <w:link w:val="Discussion"/>
    <w:rsid w:val="00FB02CA"/>
    <w:rPr>
      <w:rFonts w:ascii="Calibri" w:hAnsi="Calibri" w:cs="Cambria"/>
      <w:b/>
      <w:lang w:eastAsia="ja-JP"/>
    </w:rPr>
  </w:style>
  <w:style w:type="character" w:customStyle="1" w:styleId="RecommendationChar">
    <w:name w:val="Recommendation Char"/>
    <w:link w:val="Recommendation"/>
    <w:rsid w:val="00FB02CA"/>
    <w:rPr>
      <w:rFonts w:ascii="Calibri" w:eastAsia="Calibri" w:hAnsi="Calibri" w:cs="Times New Roman"/>
      <w:sz w:val="20"/>
      <w:lang w:eastAsia="ja-JP"/>
    </w:rPr>
  </w:style>
  <w:style w:type="paragraph" w:customStyle="1" w:styleId="RecomPriority3">
    <w:name w:val="RecomPriority3"/>
    <w:basedOn w:val="Recommendation"/>
    <w:next w:val="Recommendation"/>
    <w:link w:val="RecomPriority3Char"/>
    <w:rsid w:val="00FB02CA"/>
    <w:pPr>
      <w:numPr>
        <w:numId w:val="22"/>
      </w:numPr>
      <w:spacing w:before="80"/>
      <w:jc w:val="left"/>
    </w:pPr>
    <w:rPr>
      <w:rFonts w:ascii="Arial" w:eastAsia="Times New Roman" w:hAnsi="Arial"/>
    </w:rPr>
  </w:style>
  <w:style w:type="paragraph" w:customStyle="1" w:styleId="RecomPriority4">
    <w:name w:val="RecomPriority4"/>
    <w:basedOn w:val="RecomPriority3"/>
    <w:next w:val="Recommendation"/>
    <w:link w:val="RecomPriority4Char"/>
    <w:autoRedefine/>
    <w:rsid w:val="00FB02CA"/>
  </w:style>
  <w:style w:type="character" w:customStyle="1" w:styleId="RecomPriority4Char">
    <w:name w:val="RecomPriority4 Char"/>
    <w:basedOn w:val="RecommendationChar"/>
    <w:link w:val="RecomPriority4"/>
    <w:rsid w:val="00FB02CA"/>
    <w:rPr>
      <w:rFonts w:ascii="Arial" w:eastAsia="Times New Roman" w:hAnsi="Arial" w:cs="Times New Roman"/>
      <w:sz w:val="20"/>
      <w:lang w:eastAsia="ja-JP"/>
    </w:rPr>
  </w:style>
  <w:style w:type="paragraph" w:customStyle="1" w:styleId="RecomPriority1">
    <w:name w:val="RecomPriority1"/>
    <w:basedOn w:val="Recommendation"/>
    <w:next w:val="Recommendation"/>
    <w:rsid w:val="00FB02CA"/>
    <w:pPr>
      <w:numPr>
        <w:numId w:val="23"/>
      </w:numPr>
      <w:spacing w:before="80"/>
      <w:jc w:val="left"/>
    </w:pPr>
    <w:rPr>
      <w:rFonts w:ascii="Arial" w:eastAsia="Times New Roman" w:hAnsi="Arial"/>
      <w:sz w:val="22"/>
      <w:lang w:eastAsia="en-US"/>
    </w:rPr>
  </w:style>
  <w:style w:type="paragraph" w:customStyle="1" w:styleId="RecomPriority2">
    <w:name w:val="RecomPriority2"/>
    <w:basedOn w:val="RecomPriority3"/>
    <w:next w:val="Recommendation"/>
    <w:autoRedefine/>
    <w:rsid w:val="00FB02CA"/>
    <w:pPr>
      <w:numPr>
        <w:numId w:val="24"/>
      </w:numPr>
      <w:tabs>
        <w:tab w:val="clear" w:pos="360"/>
      </w:tabs>
      <w:ind w:left="360"/>
    </w:pPr>
  </w:style>
  <w:style w:type="character" w:customStyle="1" w:styleId="RecomPriority3Char">
    <w:name w:val="RecomPriority3 Char"/>
    <w:basedOn w:val="RecommendationChar"/>
    <w:link w:val="RecomPriority3"/>
    <w:rsid w:val="00FB02CA"/>
    <w:rPr>
      <w:rFonts w:ascii="Arial" w:eastAsia="Times New Roman" w:hAnsi="Arial" w:cs="Times New Roman"/>
      <w:sz w:val="20"/>
      <w:lang w:eastAsia="ja-JP"/>
    </w:rPr>
  </w:style>
  <w:style w:type="character" w:styleId="SubtleEmphasis">
    <w:name w:val="Subtle Emphasis"/>
    <w:basedOn w:val="DefaultParagraphFont"/>
    <w:uiPriority w:val="19"/>
    <w:rsid w:val="00FB02CA"/>
    <w:rPr>
      <w:i/>
      <w:iCs/>
      <w:color w:val="808080" w:themeColor="text1" w:themeTint="7F"/>
    </w:rPr>
  </w:style>
  <w:style w:type="numbering" w:customStyle="1" w:styleId="NoList6">
    <w:name w:val="No List6"/>
    <w:next w:val="NoList"/>
    <w:uiPriority w:val="99"/>
    <w:semiHidden/>
    <w:unhideWhenUsed/>
    <w:rsid w:val="00C50793"/>
  </w:style>
  <w:style w:type="table" w:customStyle="1" w:styleId="TableElegant1">
    <w:name w:val="Table Elegant1"/>
    <w:basedOn w:val="TableNormal"/>
    <w:next w:val="TableElegant"/>
    <w:uiPriority w:val="99"/>
    <w:rsid w:val="00C50793"/>
    <w:pPr>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ascii="Times New Roman" w:hAnsi="Times New Roman" w:cs="Times New Roman" w:hint="default"/>
        <w:caps/>
        <w:color w:val="auto"/>
      </w:rPr>
      <w:tblPr/>
      <w:tcPr>
        <w:tcBorders>
          <w:tl2br w:val="none" w:sz="0" w:space="0" w:color="auto"/>
          <w:tr2bl w:val="none" w:sz="0" w:space="0" w:color="auto"/>
        </w:tcBorders>
      </w:tcPr>
    </w:tblStylePr>
  </w:style>
  <w:style w:type="table" w:customStyle="1" w:styleId="TableGrid7">
    <w:name w:val="Table Grid7"/>
    <w:basedOn w:val="TableNormal"/>
    <w:next w:val="TableGrid"/>
    <w:uiPriority w:val="59"/>
    <w:rsid w:val="00C50793"/>
    <w:pPr>
      <w:widowControl w:val="0"/>
      <w:spacing w:line="36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olorfulList-Accent11">
    <w:name w:val="Colorful List - Accent 11"/>
    <w:basedOn w:val="TableNormal"/>
    <w:next w:val="ColorfulList-Accent1"/>
    <w:uiPriority w:val="72"/>
    <w:qFormat/>
    <w:rsid w:val="00C50793"/>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customStyle="1" w:styleId="MediumGrid1-Accent21">
    <w:name w:val="Medium Grid 1 - Accent 21"/>
    <w:basedOn w:val="TableNormal"/>
    <w:next w:val="MediumGrid1-Accent2"/>
    <w:uiPriority w:val="67"/>
    <w:rsid w:val="00C50793"/>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customStyle="1" w:styleId="ApparatusTable1">
    <w:name w:val="Apparatus Table1"/>
    <w:rsid w:val="00C50793"/>
    <w:pPr>
      <w:keepLines/>
      <w:jc w:val="center"/>
    </w:pPr>
    <w:rPr>
      <w:rFonts w:ascii="Arial" w:hAnsi="Arial"/>
      <w:sz w:val="18"/>
      <w:szCs w:val="18"/>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top w:w="0" w:type="dxa"/>
        <w:left w:w="108" w:type="dxa"/>
        <w:bottom w:w="0" w:type="dxa"/>
        <w:right w:w="108" w:type="dxa"/>
      </w:tblCellMar>
    </w:tblPr>
  </w:style>
  <w:style w:type="table" w:customStyle="1" w:styleId="StationTable1">
    <w:name w:val="Station Table1"/>
    <w:rsid w:val="00C50793"/>
    <w:pPr>
      <w:keepLines/>
    </w:pPr>
    <w:rPr>
      <w:sz w:val="18"/>
      <w:szCs w:val="18"/>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top w:w="29" w:type="dxa"/>
        <w:left w:w="115" w:type="dxa"/>
        <w:bottom w:w="29" w:type="dxa"/>
        <w:right w:w="115" w:type="dxa"/>
      </w:tblCellMar>
    </w:tblPr>
  </w:style>
  <w:style w:type="table" w:customStyle="1" w:styleId="RecommendationTable2">
    <w:name w:val="Recommendation Table2"/>
    <w:rsid w:val="00C50793"/>
    <w:rPr>
      <w:rFonts w:ascii="Arial" w:hAnsi="Arial"/>
    </w:rPr>
    <w:tblPr>
      <w:tblBorders>
        <w:top w:val="single" w:sz="12" w:space="0" w:color="auto"/>
        <w:left w:val="single" w:sz="12" w:space="0" w:color="auto"/>
        <w:bottom w:val="single" w:sz="12" w:space="0" w:color="auto"/>
        <w:right w:val="single" w:sz="12" w:space="0" w:color="auto"/>
      </w:tblBorders>
      <w:tblCellMar>
        <w:top w:w="0" w:type="dxa"/>
        <w:left w:w="108" w:type="dxa"/>
        <w:bottom w:w="0" w:type="dxa"/>
        <w:right w:w="108" w:type="dxa"/>
      </w:tblCellMar>
    </w:tblPr>
  </w:style>
  <w:style w:type="table" w:customStyle="1" w:styleId="TableGrid22">
    <w:name w:val="Table Grid22"/>
    <w:rsid w:val="00C5079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
    <w:name w:val="Table Grid13"/>
    <w:basedOn w:val="TableNormal"/>
    <w:rsid w:val="00C5079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ESCiTable2">
    <w:name w:val="ESCi Table2"/>
    <w:basedOn w:val="TableGrid"/>
    <w:uiPriority w:val="99"/>
    <w:rsid w:val="00C50793"/>
    <w:pPr>
      <w:keepLines/>
      <w:widowControl/>
      <w:spacing w:line="240" w:lineRule="auto"/>
    </w:pPr>
    <w:rPr>
      <w:rFonts w:ascii="Arial" w:hAnsi="Arial"/>
    </w:rPr>
    <w:tblPr/>
  </w:style>
  <w:style w:type="numbering" w:customStyle="1" w:styleId="List11">
    <w:name w:val="List 11"/>
    <w:rsid w:val="00C50793"/>
  </w:style>
  <w:style w:type="numbering" w:customStyle="1" w:styleId="List211">
    <w:name w:val="List 211"/>
    <w:rsid w:val="00C50793"/>
  </w:style>
  <w:style w:type="numbering" w:customStyle="1" w:styleId="List311">
    <w:name w:val="List 311"/>
    <w:rsid w:val="00C50793"/>
  </w:style>
  <w:style w:type="table" w:customStyle="1" w:styleId="TableGrid32">
    <w:name w:val="Table Grid32"/>
    <w:basedOn w:val="TableNormal"/>
    <w:next w:val="TableGrid"/>
    <w:uiPriority w:val="59"/>
    <w:rsid w:val="00C50793"/>
    <w:rPr>
      <w:rFonts w:eastAsiaTheme="minorEastAsia"/>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
    <w:name w:val="No List13"/>
    <w:next w:val="NoList"/>
    <w:uiPriority w:val="99"/>
    <w:semiHidden/>
    <w:unhideWhenUsed/>
    <w:rsid w:val="00C50793"/>
  </w:style>
  <w:style w:type="table" w:customStyle="1" w:styleId="TableGrid42">
    <w:name w:val="Table Grid42"/>
    <w:basedOn w:val="TableNormal"/>
    <w:next w:val="TableGrid"/>
    <w:uiPriority w:val="59"/>
    <w:rsid w:val="00C5079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APTION-TABLE">
    <w:name w:val="CAPTION-TABLE"/>
    <w:basedOn w:val="Normal"/>
    <w:uiPriority w:val="1"/>
    <w:qFormat/>
    <w:rsid w:val="00C50793"/>
    <w:pPr>
      <w:spacing w:after="40" w:line="240" w:lineRule="auto"/>
      <w:jc w:val="center"/>
    </w:pPr>
    <w:rPr>
      <w:b/>
      <w:color w:val="365F91"/>
      <w:sz w:val="20"/>
      <w:lang w:eastAsia="en-US"/>
    </w:rPr>
  </w:style>
  <w:style w:type="table" w:customStyle="1" w:styleId="TableGrid52">
    <w:name w:val="Table Grid52"/>
    <w:basedOn w:val="TableNormal"/>
    <w:next w:val="TableGrid"/>
    <w:uiPriority w:val="59"/>
    <w:rsid w:val="00C5079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next w:val="TableGrid"/>
    <w:uiPriority w:val="59"/>
    <w:rsid w:val="00C5079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next w:val="TableGrid"/>
    <w:uiPriority w:val="59"/>
    <w:rsid w:val="00C5079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C5079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4">
    <w:name w:val="Table Grid94"/>
    <w:basedOn w:val="TableNormal"/>
    <w:next w:val="TableGrid"/>
    <w:uiPriority w:val="59"/>
    <w:rsid w:val="00C5079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8">
    <w:name w:val="Table Grid108"/>
    <w:basedOn w:val="TableNormal"/>
    <w:next w:val="TableGrid"/>
    <w:uiPriority w:val="59"/>
    <w:rsid w:val="00C5079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next w:val="TableGrid"/>
    <w:uiPriority w:val="59"/>
    <w:rsid w:val="00C5079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uiPriority w:val="59"/>
    <w:rsid w:val="00C50793"/>
    <w:pPr>
      <w:spacing w:after="0" w:line="240" w:lineRule="auto"/>
    </w:pPr>
    <w:rPr>
      <w:rFonts w:ascii="Cambria" w:eastAsia="Cambria" w:hAnsi="Cambria"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
    <w:name w:val="No List22"/>
    <w:next w:val="NoList"/>
    <w:uiPriority w:val="99"/>
    <w:semiHidden/>
    <w:unhideWhenUsed/>
    <w:rsid w:val="00C50793"/>
  </w:style>
  <w:style w:type="table" w:customStyle="1" w:styleId="TableGrid121">
    <w:name w:val="Table Grid121"/>
    <w:basedOn w:val="TableNormal"/>
    <w:next w:val="TableGrid"/>
    <w:uiPriority w:val="59"/>
    <w:rsid w:val="00C5079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
    <w:name w:val="No List7"/>
    <w:next w:val="NoList"/>
    <w:uiPriority w:val="99"/>
    <w:semiHidden/>
    <w:unhideWhenUsed/>
    <w:rsid w:val="00FC585A"/>
  </w:style>
  <w:style w:type="numbering" w:customStyle="1" w:styleId="NoList14">
    <w:name w:val="No List14"/>
    <w:next w:val="NoList"/>
    <w:uiPriority w:val="99"/>
    <w:semiHidden/>
    <w:unhideWhenUsed/>
    <w:rsid w:val="00FC585A"/>
  </w:style>
  <w:style w:type="table" w:customStyle="1" w:styleId="TableGrid19">
    <w:name w:val="Table Grid19"/>
    <w:basedOn w:val="TableNormal"/>
    <w:next w:val="TableGrid"/>
    <w:uiPriority w:val="59"/>
    <w:rsid w:val="00FC585A"/>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59"/>
    <w:rsid w:val="00FC585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
    <w:name w:val="No List113"/>
    <w:next w:val="NoList"/>
    <w:uiPriority w:val="99"/>
    <w:semiHidden/>
    <w:unhideWhenUsed/>
    <w:rsid w:val="00FC585A"/>
  </w:style>
  <w:style w:type="table" w:customStyle="1" w:styleId="ESCiTable3">
    <w:name w:val="ESCi Table3"/>
    <w:basedOn w:val="TableGrid"/>
    <w:rsid w:val="00FC585A"/>
    <w:pPr>
      <w:keepNext/>
      <w:keepLines/>
      <w:widowControl/>
      <w:spacing w:after="0" w:line="240" w:lineRule="auto"/>
    </w:pPr>
    <w:rPr>
      <w:rFonts w:ascii="Arial" w:eastAsia="Calibri" w:hAnsi="Arial" w:cs="Times New Roman"/>
      <w:szCs w:val="20"/>
    </w:rPr>
    <w:tblPr/>
  </w:style>
  <w:style w:type="table" w:customStyle="1" w:styleId="RecommendationTable3">
    <w:name w:val="Recommendation Table3"/>
    <w:rsid w:val="00FC585A"/>
    <w:pPr>
      <w:spacing w:after="0" w:line="240" w:lineRule="auto"/>
    </w:pPr>
    <w:rPr>
      <w:rFonts w:ascii="Arial" w:eastAsia="Calibri" w:hAnsi="Arial" w:cs="Times New Roman"/>
      <w:szCs w:val="20"/>
    </w:rPr>
    <w:tblPr>
      <w:tblInd w:w="0" w:type="dxa"/>
      <w:tblBorders>
        <w:top w:val="single" w:sz="12" w:space="0" w:color="auto"/>
        <w:left w:val="single" w:sz="12" w:space="0" w:color="auto"/>
        <w:bottom w:val="single" w:sz="12" w:space="0" w:color="auto"/>
        <w:right w:val="single" w:sz="12" w:space="0" w:color="auto"/>
      </w:tblBorders>
      <w:tblCellMar>
        <w:top w:w="0" w:type="dxa"/>
        <w:left w:w="108" w:type="dxa"/>
        <w:bottom w:w="0" w:type="dxa"/>
        <w:right w:w="108" w:type="dxa"/>
      </w:tblCellMar>
    </w:tblPr>
    <w:tcPr>
      <w:shd w:val="clear" w:color="auto" w:fill="FFCC99"/>
    </w:tcPr>
  </w:style>
  <w:style w:type="numbering" w:customStyle="1" w:styleId="NoList1112">
    <w:name w:val="No List1112"/>
    <w:next w:val="NoList"/>
    <w:uiPriority w:val="99"/>
    <w:semiHidden/>
    <w:unhideWhenUsed/>
    <w:rsid w:val="00FC585A"/>
  </w:style>
  <w:style w:type="numbering" w:customStyle="1" w:styleId="NoList23">
    <w:name w:val="No List23"/>
    <w:next w:val="NoList"/>
    <w:uiPriority w:val="99"/>
    <w:semiHidden/>
    <w:unhideWhenUsed/>
    <w:rsid w:val="00FC585A"/>
  </w:style>
  <w:style w:type="numbering" w:customStyle="1" w:styleId="NoList32">
    <w:name w:val="No List32"/>
    <w:next w:val="NoList"/>
    <w:uiPriority w:val="99"/>
    <w:semiHidden/>
    <w:unhideWhenUsed/>
    <w:rsid w:val="00FC585A"/>
  </w:style>
  <w:style w:type="numbering" w:customStyle="1" w:styleId="NoList41">
    <w:name w:val="No List41"/>
    <w:next w:val="NoList"/>
    <w:uiPriority w:val="99"/>
    <w:semiHidden/>
    <w:unhideWhenUsed/>
    <w:rsid w:val="00FC585A"/>
  </w:style>
  <w:style w:type="table" w:customStyle="1" w:styleId="ESCiTable11">
    <w:name w:val="ESCi Table11"/>
    <w:basedOn w:val="TableGrid"/>
    <w:rsid w:val="00FC585A"/>
    <w:pPr>
      <w:keepNext/>
      <w:keepLines/>
      <w:widowControl/>
      <w:spacing w:after="0" w:line="240" w:lineRule="auto"/>
    </w:pPr>
    <w:rPr>
      <w:rFonts w:ascii="Arial" w:eastAsia="Calibri" w:hAnsi="Arial" w:cs="Times New Roman"/>
      <w:szCs w:val="20"/>
    </w:rPr>
    <w:tblPr/>
  </w:style>
  <w:style w:type="table" w:customStyle="1" w:styleId="RecommendationTable11">
    <w:name w:val="Recommendation Table11"/>
    <w:rsid w:val="00FC585A"/>
    <w:pPr>
      <w:spacing w:after="0" w:line="240" w:lineRule="auto"/>
    </w:pPr>
    <w:rPr>
      <w:rFonts w:ascii="Arial" w:eastAsia="Calibri" w:hAnsi="Arial" w:cs="Times New Roman"/>
      <w:szCs w:val="20"/>
    </w:rPr>
    <w:tblPr>
      <w:tblInd w:w="0" w:type="dxa"/>
      <w:tblBorders>
        <w:top w:val="single" w:sz="12" w:space="0" w:color="auto"/>
        <w:left w:val="single" w:sz="12" w:space="0" w:color="auto"/>
        <w:bottom w:val="single" w:sz="12" w:space="0" w:color="auto"/>
        <w:right w:val="single" w:sz="12" w:space="0" w:color="auto"/>
      </w:tblBorders>
      <w:tblCellMar>
        <w:top w:w="0" w:type="dxa"/>
        <w:left w:w="108" w:type="dxa"/>
        <w:bottom w:w="0" w:type="dxa"/>
        <w:right w:w="108" w:type="dxa"/>
      </w:tblCellMar>
    </w:tblPr>
    <w:tcPr>
      <w:shd w:val="clear" w:color="auto" w:fill="FFCC99"/>
    </w:tcPr>
  </w:style>
  <w:style w:type="numbering" w:customStyle="1" w:styleId="NoList11112">
    <w:name w:val="No List11112"/>
    <w:next w:val="NoList"/>
    <w:uiPriority w:val="99"/>
    <w:semiHidden/>
    <w:unhideWhenUsed/>
    <w:rsid w:val="00FC585A"/>
  </w:style>
  <w:style w:type="numbering" w:customStyle="1" w:styleId="NoList211">
    <w:name w:val="No List211"/>
    <w:next w:val="NoList"/>
    <w:uiPriority w:val="99"/>
    <w:semiHidden/>
    <w:unhideWhenUsed/>
    <w:rsid w:val="00FC585A"/>
  </w:style>
  <w:style w:type="numbering" w:customStyle="1" w:styleId="NoList311">
    <w:name w:val="No List311"/>
    <w:next w:val="NoList"/>
    <w:uiPriority w:val="99"/>
    <w:semiHidden/>
    <w:unhideWhenUsed/>
    <w:rsid w:val="00FC585A"/>
  </w:style>
  <w:style w:type="numbering" w:customStyle="1" w:styleId="NoList111112">
    <w:name w:val="No List111112"/>
    <w:next w:val="NoList"/>
    <w:uiPriority w:val="99"/>
    <w:semiHidden/>
    <w:unhideWhenUsed/>
    <w:rsid w:val="00FC585A"/>
  </w:style>
  <w:style w:type="numbering" w:customStyle="1" w:styleId="NoList51">
    <w:name w:val="No List51"/>
    <w:next w:val="NoList"/>
    <w:uiPriority w:val="99"/>
    <w:semiHidden/>
    <w:unhideWhenUsed/>
    <w:rsid w:val="00FC585A"/>
  </w:style>
  <w:style w:type="table" w:customStyle="1" w:styleId="TableGrid23">
    <w:name w:val="Table Grid23"/>
    <w:basedOn w:val="TableNormal"/>
    <w:next w:val="TableGrid"/>
    <w:rsid w:val="00FC585A"/>
    <w:pPr>
      <w:spacing w:after="0" w:line="240" w:lineRule="auto"/>
      <w:jc w:val="both"/>
    </w:pPr>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next w:val="TableGrid"/>
    <w:rsid w:val="00FC585A"/>
    <w:pPr>
      <w:spacing w:after="0" w:line="240" w:lineRule="auto"/>
    </w:pPr>
    <w:rPr>
      <w:rFonts w:ascii="Arial" w:eastAsia="Times New Roman" w:hAnsi="Arial" w:cs="Arial"/>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
    <w:name w:val="No List121"/>
    <w:next w:val="NoList"/>
    <w:uiPriority w:val="99"/>
    <w:semiHidden/>
    <w:unhideWhenUsed/>
    <w:rsid w:val="00FC585A"/>
  </w:style>
  <w:style w:type="numbering" w:customStyle="1" w:styleId="NoList1121">
    <w:name w:val="No List1121"/>
    <w:next w:val="NoList"/>
    <w:uiPriority w:val="99"/>
    <w:semiHidden/>
    <w:unhideWhenUsed/>
    <w:rsid w:val="00FC585A"/>
  </w:style>
  <w:style w:type="table" w:customStyle="1" w:styleId="TableGrid33">
    <w:name w:val="Table Grid33"/>
    <w:basedOn w:val="TableNormal"/>
    <w:next w:val="TableGrid"/>
    <w:rsid w:val="00FC585A"/>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next w:val="TableGrid"/>
    <w:uiPriority w:val="59"/>
    <w:rsid w:val="00FC585A"/>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next w:val="TableGrid"/>
    <w:uiPriority w:val="59"/>
    <w:rsid w:val="00FC585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next w:val="TableGrid"/>
    <w:uiPriority w:val="59"/>
    <w:rsid w:val="00C803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next w:val="TableGrid"/>
    <w:uiPriority w:val="59"/>
    <w:rsid w:val="0013162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59"/>
    <w:rsid w:val="0013162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next w:val="TableGrid"/>
    <w:uiPriority w:val="59"/>
    <w:rsid w:val="0013162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59"/>
    <w:rsid w:val="0013162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uiPriority w:val="59"/>
    <w:rsid w:val="00A841C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
    <w:name w:val="Table Grid54"/>
    <w:basedOn w:val="TableNormal"/>
    <w:next w:val="TableGrid"/>
    <w:uiPriority w:val="59"/>
    <w:rsid w:val="00021755"/>
    <w:pPr>
      <w:widowControl w:val="0"/>
      <w:spacing w:after="0" w:line="36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0" w:defSemiHidden="1" w:defUnhideWhenUsed="1" w:defQFormat="0" w:count="267">
    <w:lsdException w:name="Normal" w:semiHidden="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9" w:unhideWhenUsed="0" w:qFormat="1"/>
    <w:lsdException w:name="heading 5" w:semiHidden="0" w:unhideWhenUsed="0" w:qFormat="1"/>
    <w:lsdException w:name="heading 6" w:semiHidden="0" w:unhideWhenUsed="0" w:qFormat="1"/>
    <w:lsdException w:name="heading 7" w:locked="0" w:uiPriority="9" w:qFormat="1"/>
    <w:lsdException w:name="heading 8" w:locked="0" w:uiPriority="9" w:qFormat="1"/>
    <w:lsdException w:name="heading 9" w:locked="0" w:uiPriority="9" w:qFormat="1"/>
    <w:lsdException w:name="index 1" w:uiPriority="99"/>
    <w:lsdException w:name="index 3" w:uiPriority="99"/>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footer" w:uiPriority="99"/>
    <w:lsdException w:name="caption" w:locked="0" w:uiPriority="35" w:qFormat="1"/>
    <w:lsdException w:name="table of figures" w:uiPriority="99"/>
    <w:lsdException w:name="footnote reference" w:uiPriority="99"/>
    <w:lsdException w:name="annotation reference" w:uiPriority="99"/>
    <w:lsdException w:name="page number" w:uiPriority="99"/>
    <w:lsdException w:name="endnote reference" w:uiPriority="99"/>
    <w:lsdException w:name="endnote text" w:uiPriority="99"/>
    <w:lsdException w:name="List Bullet" w:uiPriority="99"/>
    <w:lsdException w:name="List Number" w:semiHidden="0" w:unhideWhenUsed="0"/>
    <w:lsdException w:name="List 4" w:semiHidden="0" w:unhideWhenUsed="0"/>
    <w:lsdException w:name="List 5" w:semiHidden="0" w:unhideWhenUsed="0"/>
    <w:lsdException w:name="List Number 3" w:uiPriority="99"/>
    <w:lsdException w:name="Title" w:semiHidden="0" w:uiPriority="10" w:unhideWhenUsed="0" w:qFormat="1"/>
    <w:lsdException w:name="Default Paragraph Font" w:uiPriority="1"/>
    <w:lsdException w:name="Body Text" w:uiPriority="99"/>
    <w:lsdException w:name="Subtitle" w:semiHidden="0" w:uiPriority="11" w:unhideWhenUsed="0" w:qFormat="1"/>
    <w:lsdException w:name="Salutation" w:semiHidden="0" w:unhideWhenUsed="0"/>
    <w:lsdException w:name="Date" w:semiHidden="0" w:unhideWhenUsed="0"/>
    <w:lsdException w:name="Body Text First Indent" w:semiHidden="0" w:unhideWhenUsed="0"/>
    <w:lsdException w:name="Body Text 3" w:uiPriority="99"/>
    <w:lsdException w:name="Body Text Indent 2" w:uiPriority="99"/>
    <w:lsdException w:name="Body Text Indent 3" w:uiPriority="99"/>
    <w:lsdException w:name="Block Text" w:uiPriority="99"/>
    <w:lsdException w:name="Hyperlink" w:uiPriority="99"/>
    <w:lsdException w:name="FollowedHyperlink" w:uiPriority="99"/>
    <w:lsdException w:name="Strong" w:semiHidden="0" w:uiPriority="22" w:unhideWhenUsed="0" w:qFormat="1"/>
    <w:lsdException w:name="Emphasis" w:semiHidden="0" w:uiPriority="99" w:unhideWhenUsed="0" w:qFormat="1"/>
    <w:lsdException w:name="Plain Text" w:uiPriority="99"/>
    <w:lsdException w:name="Normal (Web)" w:uiPriority="99"/>
    <w:lsdException w:name="annotation subject" w:uiPriority="99"/>
    <w:lsdException w:name="No List" w:uiPriority="99"/>
    <w:lsdException w:name="Table Elegant" w:uiPriority="99"/>
    <w:lsdException w:name="Balloon Text" w:uiPriority="99"/>
    <w:lsdException w:name="Table Grid" w:semiHidden="0" w:uiPriority="59" w:unhideWhenUsed="0"/>
    <w:lsdException w:name="Placeholder Text" w:locked="0" w:uiPriority="99"/>
    <w:lsdException w:name="No Spacing" w:locked="0" w:semiHidden="0" w:uiPriority="1" w:unhideWhenUsed="0" w:qFormat="1"/>
    <w:lsdException w:name="Light Shading" w:locked="0" w:semiHidden="0" w:uiPriority="99" w:unhideWhenUsed="0"/>
    <w:lsdException w:name="Light List" w:locked="0" w:semiHidden="0" w:uiPriority="99" w:unhideWhenUsed="0"/>
    <w:lsdException w:name="Light Grid" w:locked="0" w:semiHidden="0" w:uiPriority="99" w:unhideWhenUsed="0"/>
    <w:lsdException w:name="Medium Shading 1" w:locked="0" w:semiHidden="0" w:uiPriority="99" w:unhideWhenUsed="0"/>
    <w:lsdException w:name="Medium Shading 2" w:locked="0" w:semiHidden="0" w:uiPriority="99" w:unhideWhenUsed="0"/>
    <w:lsdException w:name="Medium List 1" w:locked="0" w:semiHidden="0" w:uiPriority="99" w:unhideWhenUsed="0"/>
    <w:lsdException w:name="Medium List 2" w:locked="0" w:semiHidden="0" w:uiPriority="99" w:unhideWhenUsed="0"/>
    <w:lsdException w:name="Medium Grid 1" w:locked="0" w:semiHidden="0" w:uiPriority="99" w:unhideWhenUsed="0"/>
    <w:lsdException w:name="Medium Grid 2" w:locked="0" w:semiHidden="0" w:uiPriority="1" w:unhideWhenUsed="0" w:qFormat="1"/>
    <w:lsdException w:name="Medium Grid 3" w:locked="0" w:semiHidden="0" w:uiPriority="60" w:unhideWhenUsed="0"/>
    <w:lsdException w:name="Dark List" w:locked="0" w:semiHidden="0" w:uiPriority="61" w:unhideWhenUsed="0"/>
    <w:lsdException w:name="Colorful Shading" w:locked="0" w:semiHidden="0" w:uiPriority="62" w:unhideWhenUsed="0"/>
    <w:lsdException w:name="Colorful List" w:locked="0" w:semiHidden="0" w:uiPriority="63" w:unhideWhenUsed="0"/>
    <w:lsdException w:name="Colorful Grid" w:locked="0" w:semiHidden="0" w:uiPriority="64" w:unhideWhenUsed="0"/>
    <w:lsdException w:name="Light Shading Accent 1" w:locked="0" w:semiHidden="0" w:uiPriority="65" w:unhideWhenUsed="0"/>
    <w:lsdException w:name="Light List Accent 1" w:locked="0" w:semiHidden="0" w:uiPriority="66" w:unhideWhenUsed="0"/>
    <w:lsdException w:name="Light Grid Accent 1" w:locked="0" w:semiHidden="0" w:uiPriority="67" w:unhideWhenUsed="0"/>
    <w:lsdException w:name="Medium Shading 1 Accent 1" w:locked="0" w:semiHidden="0" w:uiPriority="68" w:unhideWhenUsed="0"/>
    <w:lsdException w:name="Medium Shading 2 Accent 1" w:locked="0" w:semiHidden="0" w:uiPriority="69" w:unhideWhenUsed="0"/>
    <w:lsdException w:name="Medium List 1 Accent 1" w:locked="0" w:semiHidden="0" w:uiPriority="70" w:unhideWhenUsed="0"/>
    <w:lsdException w:name="Revision" w:locked="0" w:uiPriority="99" w:unhideWhenUsed="0"/>
    <w:lsdException w:name="List Paragraph" w:locked="0" w:semiHidden="0" w:uiPriority="34" w:unhideWhenUsed="0" w:qFormat="1"/>
    <w:lsdException w:name="Quote" w:locked="0" w:semiHidden="0" w:uiPriority="73" w:unhideWhenUsed="0"/>
    <w:lsdException w:name="Intense Quote" w:locked="0" w:semiHidden="0" w:uiPriority="60" w:unhideWhenUsed="0"/>
    <w:lsdException w:name="Medium List 2 Accent 1" w:locked="0" w:semiHidden="0" w:uiPriority="61" w:unhideWhenUsed="0"/>
    <w:lsdException w:name="Medium Grid 1 Accent 1" w:locked="0" w:semiHidden="0" w:uiPriority="62" w:unhideWhenUsed="0"/>
    <w:lsdException w:name="Medium Grid 2 Accent 1" w:locked="0" w:semiHidden="0" w:uiPriority="63" w:unhideWhenUsed="0"/>
    <w:lsdException w:name="Medium Grid 3 Accent 1" w:locked="0" w:semiHidden="0" w:uiPriority="64" w:unhideWhenUsed="0"/>
    <w:lsdException w:name="Dark List Accent 1" w:locked="0" w:semiHidden="0" w:uiPriority="65" w:unhideWhenUsed="0"/>
    <w:lsdException w:name="Colorful Shading Accent 1" w:locked="0" w:semiHidden="0" w:uiPriority="99" w:unhideWhenUsed="0"/>
    <w:lsdException w:name="Colorful List Accent 1" w:locked="0" w:semiHidden="0" w:uiPriority="72" w:unhideWhenUsed="0" w:qFormat="1"/>
    <w:lsdException w:name="Colorful Grid Accent 1" w:locked="0" w:semiHidden="0" w:uiPriority="29" w:unhideWhenUsed="0" w:qFormat="1"/>
    <w:lsdException w:name="Light Shading Accent 2" w:locked="0" w:semiHidden="0" w:uiPriority="30" w:unhideWhenUsed="0" w:qFormat="1"/>
    <w:lsdException w:name="Light List Accent 2" w:locked="0" w:semiHidden="0" w:uiPriority="66" w:unhideWhenUsed="0"/>
    <w:lsdException w:name="Light Grid Accent 2" w:locked="0" w:semiHidden="0" w:uiPriority="67" w:unhideWhenUsed="0"/>
    <w:lsdException w:name="Medium Shading 1 Accent 2" w:locked="0" w:semiHidden="0" w:uiPriority="68" w:unhideWhenUsed="0"/>
    <w:lsdException w:name="Medium Shading 2 Accent 2" w:locked="0" w:semiHidden="0" w:uiPriority="69" w:unhideWhenUsed="0"/>
    <w:lsdException w:name="Medium List 1 Accent 2" w:locked="0" w:semiHidden="0" w:uiPriority="70" w:unhideWhenUsed="0"/>
    <w:lsdException w:name="Medium List 2 Accent 2" w:locked="0" w:semiHidden="0" w:uiPriority="71" w:unhideWhenUsed="0"/>
    <w:lsdException w:name="Medium Grid 1 Accent 2" w:locked="0" w:semiHidden="0" w:uiPriority="67" w:unhideWhenUsed="0"/>
    <w:lsdException w:name="Medium Grid 2 Accent 2" w:locked="0" w:semiHidden="0" w:uiPriority="73" w:unhideWhenUsed="0"/>
    <w:lsdException w:name="Medium Grid 3 Accent 2" w:locked="0" w:semiHidden="0" w:uiPriority="60" w:unhideWhenUsed="0"/>
    <w:lsdException w:name="Dark List Accent 2" w:locked="0" w:semiHidden="0" w:uiPriority="61" w:unhideWhenUsed="0"/>
    <w:lsdException w:name="Colorful Shading Accent 2" w:locked="0" w:semiHidden="0" w:uiPriority="62" w:unhideWhenUsed="0"/>
    <w:lsdException w:name="Colorful List Accent 2" w:locked="0" w:semiHidden="0" w:uiPriority="63" w:unhideWhenUsed="0"/>
    <w:lsdException w:name="Colorful Grid Accent 2" w:locked="0" w:semiHidden="0" w:uiPriority="64" w:unhideWhenUsed="0"/>
    <w:lsdException w:name="Light Shading Accent 3" w:locked="0" w:semiHidden="0" w:uiPriority="65" w:unhideWhenUsed="0"/>
    <w:lsdException w:name="Light List Accent 3" w:locked="0" w:semiHidden="0" w:uiPriority="66" w:unhideWhenUsed="0"/>
    <w:lsdException w:name="Light Grid Accent 3" w:locked="0" w:semiHidden="0" w:uiPriority="67" w:unhideWhenUsed="0"/>
    <w:lsdException w:name="Medium Shading 1 Accent 3" w:locked="0" w:semiHidden="0" w:uiPriority="68" w:unhideWhenUsed="0"/>
    <w:lsdException w:name="Medium Shading 2 Accent 3" w:locked="0" w:semiHidden="0" w:uiPriority="69" w:unhideWhenUsed="0"/>
    <w:lsdException w:name="Medium List 1 Accent 3" w:locked="0" w:semiHidden="0" w:uiPriority="70" w:unhideWhenUsed="0"/>
    <w:lsdException w:name="Medium List 2 Accent 3" w:locked="0" w:semiHidden="0" w:uiPriority="71" w:unhideWhenUsed="0"/>
    <w:lsdException w:name="Medium Grid 1 Accent 3" w:locked="0" w:semiHidden="0" w:uiPriority="72" w:unhideWhenUsed="0"/>
    <w:lsdException w:name="Medium Grid 2 Accent 3" w:locked="0" w:semiHidden="0" w:uiPriority="73" w:unhideWhenUsed="0"/>
    <w:lsdException w:name="Medium Grid 3 Accent 3" w:locked="0" w:semiHidden="0" w:uiPriority="60" w:unhideWhenUsed="0"/>
    <w:lsdException w:name="Dark List Accent 3" w:locked="0" w:semiHidden="0" w:uiPriority="61" w:unhideWhenUsed="0"/>
    <w:lsdException w:name="Colorful Shading Accent 3" w:locked="0" w:semiHidden="0" w:uiPriority="62" w:unhideWhenUsed="0"/>
    <w:lsdException w:name="Colorful List Accent 3" w:locked="0" w:semiHidden="0" w:uiPriority="63" w:unhideWhenUsed="0"/>
    <w:lsdException w:name="Colorful Grid Accent 3" w:locked="0" w:semiHidden="0" w:uiPriority="64" w:unhideWhenUsed="0"/>
    <w:lsdException w:name="Light Shading Accent 4" w:locked="0" w:semiHidden="0" w:uiPriority="65" w:unhideWhenUsed="0"/>
    <w:lsdException w:name="Light List Accent 4" w:locked="0" w:semiHidden="0" w:uiPriority="66" w:unhideWhenUsed="0"/>
    <w:lsdException w:name="Light Grid Accent 4" w:locked="0" w:semiHidden="0" w:uiPriority="67" w:unhideWhenUsed="0"/>
    <w:lsdException w:name="Medium Shading 1 Accent 4" w:locked="0" w:semiHidden="0" w:uiPriority="68" w:unhideWhenUsed="0"/>
    <w:lsdException w:name="Medium Shading 2 Accent 4" w:locked="0" w:semiHidden="0" w:uiPriority="69" w:unhideWhenUsed="0"/>
    <w:lsdException w:name="Medium List 1 Accent 4" w:locked="0" w:semiHidden="0" w:uiPriority="70" w:unhideWhenUsed="0"/>
    <w:lsdException w:name="Medium List 2 Accent 4" w:locked="0" w:semiHidden="0" w:uiPriority="71" w:unhideWhenUsed="0"/>
    <w:lsdException w:name="Medium Grid 1 Accent 4" w:locked="0" w:semiHidden="0" w:uiPriority="72" w:unhideWhenUsed="0"/>
    <w:lsdException w:name="Medium Grid 2 Accent 4" w:locked="0" w:semiHidden="0" w:uiPriority="73" w:unhideWhenUsed="0"/>
    <w:lsdException w:name="Medium Grid 3 Accent 4" w:locked="0" w:semiHidden="0" w:uiPriority="60" w:unhideWhenUsed="0"/>
    <w:lsdException w:name="Dark List Accent 4" w:locked="0" w:semiHidden="0" w:uiPriority="61" w:unhideWhenUsed="0"/>
    <w:lsdException w:name="Colorful Shading Accent 4" w:locked="0" w:semiHidden="0" w:uiPriority="62" w:unhideWhenUsed="0"/>
    <w:lsdException w:name="Colorful List Accent 4" w:locked="0" w:semiHidden="0" w:uiPriority="63" w:unhideWhenUsed="0"/>
    <w:lsdException w:name="Colorful Grid Accent 4" w:locked="0" w:semiHidden="0" w:uiPriority="64" w:unhideWhenUsed="0"/>
    <w:lsdException w:name="Light Shading Accent 5" w:locked="0" w:semiHidden="0" w:uiPriority="65" w:unhideWhenUsed="0"/>
    <w:lsdException w:name="Light List Accent 5" w:locked="0" w:semiHidden="0" w:uiPriority="66" w:unhideWhenUsed="0"/>
    <w:lsdException w:name="Light Grid Accent 5" w:locked="0" w:semiHidden="0" w:uiPriority="67" w:unhideWhenUsed="0"/>
    <w:lsdException w:name="Medium Shading 1 Accent 5" w:locked="0" w:semiHidden="0" w:uiPriority="68" w:unhideWhenUsed="0"/>
    <w:lsdException w:name="Medium Shading 2 Accent 5" w:locked="0" w:semiHidden="0" w:uiPriority="69" w:unhideWhenUsed="0"/>
    <w:lsdException w:name="Medium List 1 Accent 5" w:locked="0" w:semiHidden="0" w:uiPriority="70" w:unhideWhenUsed="0"/>
    <w:lsdException w:name="Medium List 2 Accent 5" w:locked="0" w:semiHidden="0" w:uiPriority="71" w:unhideWhenUsed="0"/>
    <w:lsdException w:name="Medium Grid 1 Accent 5" w:locked="0" w:semiHidden="0" w:uiPriority="72" w:unhideWhenUsed="0"/>
    <w:lsdException w:name="Medium Grid 2 Accent 5" w:locked="0" w:semiHidden="0" w:uiPriority="73" w:unhideWhenUsed="0"/>
    <w:lsdException w:name="Medium Grid 3 Accent 5" w:locked="0" w:semiHidden="0" w:uiPriority="60" w:unhideWhenUsed="0"/>
    <w:lsdException w:name="Dark List Accent 5" w:locked="0" w:semiHidden="0" w:uiPriority="61" w:unhideWhenUsed="0"/>
    <w:lsdException w:name="Colorful Shading Accent 5" w:locked="0" w:semiHidden="0" w:uiPriority="62" w:unhideWhenUsed="0"/>
    <w:lsdException w:name="Colorful List Accent 5" w:locked="0" w:semiHidden="0" w:uiPriority="63" w:unhideWhenUsed="0"/>
    <w:lsdException w:name="Colorful Grid Accent 5" w:locked="0" w:semiHidden="0" w:uiPriority="64" w:unhideWhenUsed="0"/>
    <w:lsdException w:name="Light Shading Accent 6" w:locked="0" w:semiHidden="0" w:uiPriority="65" w:unhideWhenUsed="0"/>
    <w:lsdException w:name="Light List Accent 6" w:locked="0" w:semiHidden="0" w:uiPriority="66" w:unhideWhenUsed="0"/>
    <w:lsdException w:name="Light Grid Accent 6" w:locked="0" w:semiHidden="0" w:uiPriority="67" w:unhideWhenUsed="0"/>
    <w:lsdException w:name="Medium Shading 1 Accent 6" w:locked="0" w:semiHidden="0" w:uiPriority="68" w:unhideWhenUsed="0"/>
    <w:lsdException w:name="Medium Shading 2 Accent 6" w:locked="0" w:semiHidden="0" w:uiPriority="69" w:unhideWhenUsed="0"/>
    <w:lsdException w:name="Medium List 1 Accent 6" w:locked="0" w:semiHidden="0" w:uiPriority="70" w:unhideWhenUsed="0"/>
    <w:lsdException w:name="Medium List 2 Accent 6" w:locked="0" w:semiHidden="0" w:uiPriority="71" w:unhideWhenUsed="0"/>
    <w:lsdException w:name="Medium Grid 1 Accent 6" w:locked="0" w:semiHidden="0" w:uiPriority="72" w:unhideWhenUsed="0"/>
    <w:lsdException w:name="Medium Grid 2 Accent 6" w:locked="0" w:semiHidden="0" w:uiPriority="73" w:unhideWhenUsed="0"/>
    <w:lsdException w:name="Medium Grid 3 Accent 6" w:locked="0" w:semiHidden="0" w:uiPriority="60" w:unhideWhenUsed="0"/>
    <w:lsdException w:name="Dark List Accent 6" w:locked="0" w:semiHidden="0" w:uiPriority="61" w:unhideWhenUsed="0"/>
    <w:lsdException w:name="Colorful Shading Accent 6" w:locked="0" w:semiHidden="0" w:uiPriority="62" w:unhideWhenUsed="0"/>
    <w:lsdException w:name="Colorful List Accent 6" w:locked="0" w:semiHidden="0" w:uiPriority="63" w:unhideWhenUsed="0"/>
    <w:lsdException w:name="Colorful Grid Accent 6" w:locked="0" w:semiHidden="0" w:uiPriority="64" w:unhideWhenUsed="0"/>
    <w:lsdException w:name="Subtle Emphasis" w:locked="0" w:semiHidden="0" w:uiPriority="19" w:unhideWhenUsed="0"/>
    <w:lsdException w:name="Intense Emphasis" w:locked="0" w:semiHidden="0" w:uiPriority="66" w:unhideWhenUsed="0"/>
    <w:lsdException w:name="Subtle Reference" w:locked="0" w:semiHidden="0" w:uiPriority="67" w:unhideWhenUsed="0"/>
    <w:lsdException w:name="Intense Reference" w:locked="0" w:semiHidden="0" w:uiPriority="68" w:unhideWhenUsed="0"/>
    <w:lsdException w:name="Book Title" w:locked="0" w:semiHidden="0" w:uiPriority="69" w:unhideWhenUsed="0"/>
    <w:lsdException w:name="Bibliography" w:locked="0" w:uiPriority="70"/>
    <w:lsdException w:name="TOC Heading" w:locked="0" w:uiPriority="39" w:qFormat="1"/>
  </w:latentStyles>
  <w:style w:type="paragraph" w:default="1" w:styleId="Normal">
    <w:name w:val="Normal"/>
    <w:qFormat/>
    <w:rsid w:val="00F258B6"/>
    <w:pPr>
      <w:spacing w:after="220"/>
      <w:jc w:val="both"/>
    </w:pPr>
    <w:rPr>
      <w:rFonts w:ascii="Calibri" w:hAnsi="Calibri"/>
      <w:lang w:eastAsia="ja-JP"/>
    </w:rPr>
  </w:style>
  <w:style w:type="paragraph" w:styleId="Heading1">
    <w:name w:val="heading 1"/>
    <w:basedOn w:val="Normal"/>
    <w:next w:val="Normal"/>
    <w:link w:val="Heading1Char"/>
    <w:uiPriority w:val="9"/>
    <w:qFormat/>
    <w:rsid w:val="006206F4"/>
    <w:pPr>
      <w:keepNext/>
      <w:keepLines/>
      <w:spacing w:before="240" w:after="0"/>
      <w:outlineLvl w:val="0"/>
    </w:pPr>
    <w:rPr>
      <w:rFonts w:eastAsiaTheme="majorEastAsia" w:cstheme="majorBidi"/>
      <w:b/>
      <w:bCs/>
      <w:color w:val="808080" w:themeColor="background1" w:themeShade="80"/>
      <w:sz w:val="28"/>
      <w:szCs w:val="28"/>
      <w:lang w:eastAsia="en-US"/>
    </w:rPr>
  </w:style>
  <w:style w:type="paragraph" w:styleId="Heading2">
    <w:name w:val="heading 2"/>
    <w:basedOn w:val="Normal"/>
    <w:next w:val="Normal"/>
    <w:link w:val="Heading2Char"/>
    <w:uiPriority w:val="9"/>
    <w:unhideWhenUsed/>
    <w:qFormat/>
    <w:rsid w:val="006206F4"/>
    <w:pPr>
      <w:keepNext/>
      <w:keepLines/>
      <w:spacing w:before="200" w:after="0"/>
      <w:outlineLvl w:val="1"/>
    </w:pPr>
    <w:rPr>
      <w:rFonts w:eastAsiaTheme="majorEastAsia" w:cstheme="majorBidi"/>
      <w:bCs/>
      <w:caps/>
      <w:color w:val="808080" w:themeColor="background1" w:themeShade="80"/>
      <w:sz w:val="24"/>
      <w:szCs w:val="26"/>
    </w:rPr>
  </w:style>
  <w:style w:type="paragraph" w:styleId="Heading3">
    <w:name w:val="heading 3"/>
    <w:basedOn w:val="Normal"/>
    <w:next w:val="Normal"/>
    <w:link w:val="Heading3Char"/>
    <w:uiPriority w:val="9"/>
    <w:unhideWhenUsed/>
    <w:qFormat/>
    <w:rsid w:val="006206F4"/>
    <w:pPr>
      <w:keepNext/>
      <w:keepLines/>
      <w:spacing w:before="200" w:after="0"/>
      <w:outlineLvl w:val="2"/>
    </w:pPr>
    <w:rPr>
      <w:rFonts w:eastAsiaTheme="majorEastAsia" w:cstheme="majorBidi"/>
      <w:b/>
      <w:bCs/>
      <w:i/>
      <w:color w:val="808080" w:themeColor="background1" w:themeShade="80"/>
      <w:sz w:val="24"/>
    </w:rPr>
  </w:style>
  <w:style w:type="paragraph" w:styleId="Heading4">
    <w:name w:val="heading 4"/>
    <w:basedOn w:val="Normal"/>
    <w:next w:val="Normal"/>
    <w:link w:val="Heading4Char"/>
    <w:uiPriority w:val="99"/>
    <w:unhideWhenUsed/>
    <w:qFormat/>
    <w:rsid w:val="006206F4"/>
    <w:pPr>
      <w:keepNext/>
      <w:keepLines/>
      <w:spacing w:before="200" w:after="0"/>
      <w:contextualSpacing/>
      <w:jc w:val="left"/>
      <w:outlineLvl w:val="3"/>
    </w:pPr>
    <w:rPr>
      <w:rFonts w:eastAsiaTheme="majorEastAsia" w:cstheme="majorBidi"/>
      <w:bCs/>
      <w:i/>
      <w:iCs/>
      <w:color w:val="808080" w:themeColor="background1" w:themeShade="80"/>
    </w:rPr>
  </w:style>
  <w:style w:type="paragraph" w:styleId="Heading5">
    <w:name w:val="heading 5"/>
    <w:basedOn w:val="Normal"/>
    <w:next w:val="Normal"/>
    <w:link w:val="Heading5Char"/>
    <w:qFormat/>
    <w:rsid w:val="00583AA8"/>
    <w:pPr>
      <w:spacing w:after="120"/>
      <w:jc w:val="center"/>
      <w:outlineLvl w:val="4"/>
    </w:pPr>
    <w:rPr>
      <w:rFonts w:eastAsiaTheme="minorEastAsia"/>
      <w:b/>
      <w:bCs/>
      <w:i/>
      <w:iCs/>
      <w:sz w:val="26"/>
      <w:szCs w:val="26"/>
    </w:rPr>
  </w:style>
  <w:style w:type="paragraph" w:styleId="Heading6">
    <w:name w:val="heading 6"/>
    <w:basedOn w:val="Normal"/>
    <w:next w:val="Normal"/>
    <w:link w:val="Heading6Char"/>
    <w:qFormat/>
    <w:rsid w:val="00583AA8"/>
    <w:pPr>
      <w:tabs>
        <w:tab w:val="num" w:pos="1152"/>
      </w:tabs>
      <w:spacing w:before="240" w:after="60" w:line="240" w:lineRule="auto"/>
      <w:ind w:left="1152" w:hanging="1152"/>
      <w:outlineLvl w:val="5"/>
    </w:pPr>
    <w:rPr>
      <w:rFonts w:eastAsiaTheme="minorEastAsia"/>
      <w:b/>
      <w:bCs/>
      <w:sz w:val="20"/>
      <w:szCs w:val="20"/>
    </w:rPr>
  </w:style>
  <w:style w:type="paragraph" w:styleId="Heading7">
    <w:name w:val="heading 7"/>
    <w:basedOn w:val="Heading3"/>
    <w:next w:val="Normal"/>
    <w:link w:val="Heading7Char"/>
    <w:uiPriority w:val="9"/>
    <w:unhideWhenUsed/>
    <w:qFormat/>
    <w:rsid w:val="00D37330"/>
    <w:pPr>
      <w:outlineLvl w:val="6"/>
    </w:pPr>
    <w:rPr>
      <w:rFonts w:eastAsia="Times New Roman"/>
      <w:lang w:val="en-CA"/>
    </w:rPr>
  </w:style>
  <w:style w:type="paragraph" w:styleId="Heading8">
    <w:name w:val="heading 8"/>
    <w:basedOn w:val="Normal"/>
    <w:next w:val="Normal"/>
    <w:link w:val="Heading8Char"/>
    <w:uiPriority w:val="9"/>
    <w:unhideWhenUsed/>
    <w:qFormat/>
    <w:rsid w:val="00583AA8"/>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unhideWhenUsed/>
    <w:qFormat/>
    <w:rsid w:val="00583AA8"/>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rsid w:val="00583AA8"/>
    <w:rPr>
      <w:color w:val="0000FF"/>
      <w:u w:val="single"/>
    </w:rPr>
  </w:style>
  <w:style w:type="character" w:styleId="FollowedHyperlink">
    <w:name w:val="FollowedHyperlink"/>
    <w:basedOn w:val="DefaultParagraphFont"/>
    <w:uiPriority w:val="99"/>
    <w:rsid w:val="00583AA8"/>
    <w:rPr>
      <w:color w:val="800080"/>
      <w:u w:val="single"/>
    </w:rPr>
  </w:style>
  <w:style w:type="character" w:styleId="Emphasis">
    <w:name w:val="Emphasis"/>
    <w:basedOn w:val="DefaultParagraphFont"/>
    <w:uiPriority w:val="99"/>
    <w:qFormat/>
    <w:locked/>
    <w:rsid w:val="00583AA8"/>
    <w:rPr>
      <w:i/>
      <w:iCs w:val="0"/>
    </w:rPr>
  </w:style>
  <w:style w:type="character" w:customStyle="1" w:styleId="Heading1Char">
    <w:name w:val="Heading 1 Char"/>
    <w:basedOn w:val="DefaultParagraphFont"/>
    <w:link w:val="Heading1"/>
    <w:uiPriority w:val="9"/>
    <w:locked/>
    <w:rsid w:val="006206F4"/>
    <w:rPr>
      <w:rFonts w:ascii="Calibri" w:eastAsiaTheme="majorEastAsia" w:hAnsi="Calibri" w:cstheme="majorBidi"/>
      <w:b/>
      <w:bCs/>
      <w:color w:val="808080" w:themeColor="background1" w:themeShade="80"/>
      <w:sz w:val="28"/>
      <w:szCs w:val="28"/>
    </w:rPr>
  </w:style>
  <w:style w:type="character" w:customStyle="1" w:styleId="Heading2Char1">
    <w:name w:val="Heading 2 Char1"/>
    <w:uiPriority w:val="9"/>
    <w:locked/>
    <w:rsid w:val="001A2430"/>
    <w:rPr>
      <w:rFonts w:asciiTheme="majorHAnsi" w:eastAsiaTheme="minorEastAsia" w:hAnsiTheme="majorHAnsi" w:cstheme="majorHAnsi"/>
      <w:b/>
      <w:bCs/>
      <w:iCs/>
      <w:sz w:val="28"/>
      <w:szCs w:val="28"/>
    </w:rPr>
  </w:style>
  <w:style w:type="character" w:customStyle="1" w:styleId="Heading2Char">
    <w:name w:val="Heading 2 Char"/>
    <w:basedOn w:val="DefaultParagraphFont"/>
    <w:link w:val="Heading2"/>
    <w:uiPriority w:val="9"/>
    <w:locked/>
    <w:rsid w:val="006206F4"/>
    <w:rPr>
      <w:rFonts w:eastAsiaTheme="majorEastAsia" w:cstheme="majorBidi"/>
      <w:bCs/>
      <w:caps/>
      <w:color w:val="808080" w:themeColor="background1" w:themeShade="80"/>
      <w:sz w:val="24"/>
      <w:szCs w:val="26"/>
      <w:lang w:eastAsia="ja-JP"/>
    </w:rPr>
  </w:style>
  <w:style w:type="character" w:customStyle="1" w:styleId="Heading3Char">
    <w:name w:val="Heading 3 Char"/>
    <w:basedOn w:val="DefaultParagraphFont"/>
    <w:link w:val="Heading3"/>
    <w:uiPriority w:val="9"/>
    <w:locked/>
    <w:rsid w:val="006206F4"/>
    <w:rPr>
      <w:rFonts w:eastAsiaTheme="majorEastAsia" w:cstheme="majorBidi"/>
      <w:b/>
      <w:bCs/>
      <w:i/>
      <w:color w:val="808080" w:themeColor="background1" w:themeShade="80"/>
      <w:sz w:val="24"/>
      <w:lang w:eastAsia="ja-JP"/>
    </w:rPr>
  </w:style>
  <w:style w:type="character" w:customStyle="1" w:styleId="Heading3Char1">
    <w:name w:val="Heading 3 Char1"/>
    <w:aliases w:val="Char1 Char1"/>
    <w:basedOn w:val="DefaultParagraphFont"/>
    <w:uiPriority w:val="99"/>
    <w:rsid w:val="00583AA8"/>
    <w:rPr>
      <w:rFonts w:asciiTheme="majorHAnsi" w:eastAsiaTheme="majorEastAsia" w:hAnsiTheme="majorHAnsi" w:cstheme="majorBidi" w:hint="default"/>
      <w:b/>
      <w:bCs/>
      <w:color w:val="4F81BD" w:themeColor="accent1"/>
      <w:sz w:val="22"/>
      <w:szCs w:val="22"/>
    </w:rPr>
  </w:style>
  <w:style w:type="character" w:customStyle="1" w:styleId="Heading4Char">
    <w:name w:val="Heading 4 Char"/>
    <w:basedOn w:val="DefaultParagraphFont"/>
    <w:link w:val="Heading4"/>
    <w:uiPriority w:val="99"/>
    <w:locked/>
    <w:rsid w:val="006206F4"/>
    <w:rPr>
      <w:rFonts w:ascii="Calibri" w:eastAsiaTheme="majorEastAsia" w:hAnsi="Calibri" w:cstheme="majorBidi"/>
      <w:bCs/>
      <w:i/>
      <w:iCs/>
      <w:color w:val="808080" w:themeColor="background1" w:themeShade="80"/>
      <w:lang w:eastAsia="ja-JP"/>
    </w:rPr>
  </w:style>
  <w:style w:type="character" w:customStyle="1" w:styleId="Heading5Char">
    <w:name w:val="Heading 5 Char"/>
    <w:basedOn w:val="DefaultParagraphFont"/>
    <w:link w:val="Heading5"/>
    <w:locked/>
    <w:rsid w:val="00583AA8"/>
    <w:rPr>
      <w:rFonts w:ascii="Calibri" w:hAnsi="Calibri" w:hint="default"/>
      <w:b/>
      <w:bCs w:val="0"/>
      <w:i/>
      <w:iCs w:val="0"/>
      <w:sz w:val="26"/>
    </w:rPr>
  </w:style>
  <w:style w:type="character" w:customStyle="1" w:styleId="Heading6Char">
    <w:name w:val="Heading 6 Char"/>
    <w:basedOn w:val="DefaultParagraphFont"/>
    <w:link w:val="Heading6"/>
    <w:locked/>
    <w:rsid w:val="00583AA8"/>
    <w:rPr>
      <w:rFonts w:ascii="Calibri" w:hAnsi="Calibri" w:hint="default"/>
      <w:b/>
      <w:bCs w:val="0"/>
    </w:rPr>
  </w:style>
  <w:style w:type="character" w:styleId="Strong">
    <w:name w:val="Strong"/>
    <w:basedOn w:val="DefaultParagraphFont"/>
    <w:uiPriority w:val="22"/>
    <w:qFormat/>
    <w:rsid w:val="00583AA8"/>
    <w:rPr>
      <w:b/>
      <w:bCs w:val="0"/>
    </w:rPr>
  </w:style>
  <w:style w:type="paragraph" w:styleId="NormalWeb">
    <w:name w:val="Normal (Web)"/>
    <w:basedOn w:val="Normal"/>
    <w:uiPriority w:val="99"/>
    <w:rsid w:val="00583AA8"/>
    <w:pPr>
      <w:spacing w:before="100" w:beforeAutospacing="1" w:after="100" w:afterAutospacing="1" w:line="240" w:lineRule="auto"/>
      <w:jc w:val="left"/>
    </w:pPr>
    <w:rPr>
      <w:rFonts w:ascii="Times New Roman" w:hAnsi="Times New Roman"/>
      <w:color w:val="000000"/>
      <w:sz w:val="24"/>
      <w:szCs w:val="24"/>
    </w:rPr>
  </w:style>
  <w:style w:type="character" w:customStyle="1" w:styleId="Heading7Char">
    <w:name w:val="Heading 7 Char"/>
    <w:basedOn w:val="DefaultParagraphFont"/>
    <w:link w:val="Heading7"/>
    <w:uiPriority w:val="9"/>
    <w:locked/>
    <w:rsid w:val="00D37330"/>
    <w:rPr>
      <w:rFonts w:ascii="Calibri" w:eastAsia="Times New Roman" w:hAnsi="Calibri" w:cstheme="majorBidi"/>
      <w:b/>
      <w:bCs/>
      <w:i/>
      <w:color w:val="808080" w:themeColor="background1" w:themeShade="80"/>
      <w:sz w:val="24"/>
      <w:lang w:val="en-CA" w:eastAsia="ja-JP"/>
    </w:rPr>
  </w:style>
  <w:style w:type="character" w:customStyle="1" w:styleId="Heading8Char">
    <w:name w:val="Heading 8 Char"/>
    <w:basedOn w:val="DefaultParagraphFont"/>
    <w:link w:val="Heading8"/>
    <w:uiPriority w:val="9"/>
    <w:locked/>
    <w:rsid w:val="00583AA8"/>
    <w:rPr>
      <w:rFonts w:asciiTheme="majorHAnsi" w:eastAsiaTheme="majorEastAsia" w:hAnsiTheme="majorHAnsi" w:cstheme="majorBidi"/>
      <w:color w:val="404040" w:themeColor="text1" w:themeTint="BF"/>
      <w:sz w:val="20"/>
      <w:szCs w:val="20"/>
      <w:lang w:eastAsia="ja-JP"/>
    </w:rPr>
  </w:style>
  <w:style w:type="character" w:customStyle="1" w:styleId="Heading9Char">
    <w:name w:val="Heading 9 Char"/>
    <w:basedOn w:val="DefaultParagraphFont"/>
    <w:link w:val="Heading9"/>
    <w:uiPriority w:val="9"/>
    <w:locked/>
    <w:rsid w:val="00583AA8"/>
    <w:rPr>
      <w:rFonts w:asciiTheme="majorHAnsi" w:eastAsiaTheme="majorEastAsia" w:hAnsiTheme="majorHAnsi" w:cstheme="majorBidi"/>
      <w:i/>
      <w:iCs/>
      <w:color w:val="404040" w:themeColor="text1" w:themeTint="BF"/>
      <w:sz w:val="20"/>
      <w:szCs w:val="20"/>
      <w:lang w:eastAsia="ja-JP"/>
    </w:rPr>
  </w:style>
  <w:style w:type="paragraph" w:styleId="Index1">
    <w:name w:val="index 1"/>
    <w:basedOn w:val="Normal"/>
    <w:next w:val="Normal"/>
    <w:autoRedefine/>
    <w:uiPriority w:val="99"/>
    <w:rsid w:val="00583AA8"/>
    <w:pPr>
      <w:spacing w:line="240" w:lineRule="auto"/>
      <w:ind w:left="240" w:hanging="240"/>
    </w:pPr>
    <w:rPr>
      <w:sz w:val="24"/>
      <w:szCs w:val="20"/>
    </w:rPr>
  </w:style>
  <w:style w:type="paragraph" w:styleId="TOC1">
    <w:name w:val="toc 1"/>
    <w:aliases w:val="TOC 1-ESCI"/>
    <w:basedOn w:val="Normal"/>
    <w:next w:val="Normal"/>
    <w:autoRedefine/>
    <w:uiPriority w:val="39"/>
    <w:qFormat/>
    <w:rsid w:val="00CB0510"/>
    <w:pPr>
      <w:tabs>
        <w:tab w:val="right" w:leader="dot" w:pos="9350"/>
      </w:tabs>
      <w:spacing w:before="120" w:after="120" w:line="240" w:lineRule="auto"/>
      <w:jc w:val="left"/>
    </w:pPr>
    <w:rPr>
      <w:b/>
      <w:bCs/>
      <w:iCs/>
      <w:noProof/>
      <w:sz w:val="24"/>
      <w:szCs w:val="24"/>
    </w:rPr>
  </w:style>
  <w:style w:type="paragraph" w:styleId="TOC2">
    <w:name w:val="toc 2"/>
    <w:aliases w:val="TOC 2-esci"/>
    <w:basedOn w:val="Normal"/>
    <w:next w:val="Normal"/>
    <w:autoRedefine/>
    <w:uiPriority w:val="39"/>
    <w:qFormat/>
    <w:rsid w:val="00CB0510"/>
    <w:pPr>
      <w:tabs>
        <w:tab w:val="right" w:leader="dot" w:pos="9350"/>
      </w:tabs>
      <w:spacing w:after="60" w:line="240" w:lineRule="auto"/>
      <w:ind w:left="216"/>
      <w:jc w:val="center"/>
    </w:pPr>
    <w:rPr>
      <w:bCs/>
      <w:noProof/>
    </w:rPr>
  </w:style>
  <w:style w:type="paragraph" w:styleId="TOC3">
    <w:name w:val="toc 3"/>
    <w:aliases w:val="TOC 3-esci"/>
    <w:basedOn w:val="Normal"/>
    <w:next w:val="Normal"/>
    <w:autoRedefine/>
    <w:uiPriority w:val="39"/>
    <w:qFormat/>
    <w:rsid w:val="00CB0510"/>
    <w:pPr>
      <w:tabs>
        <w:tab w:val="right" w:leader="dot" w:pos="9350"/>
      </w:tabs>
      <w:spacing w:after="60" w:line="240" w:lineRule="auto"/>
      <w:ind w:left="446"/>
      <w:contextualSpacing/>
      <w:jc w:val="left"/>
    </w:pPr>
    <w:rPr>
      <w:noProof/>
      <w:szCs w:val="20"/>
    </w:rPr>
  </w:style>
  <w:style w:type="paragraph" w:styleId="TOC4">
    <w:name w:val="toc 4"/>
    <w:basedOn w:val="Normal"/>
    <w:next w:val="Normal"/>
    <w:autoRedefine/>
    <w:uiPriority w:val="39"/>
    <w:rsid w:val="00583AA8"/>
    <w:pPr>
      <w:ind w:left="660"/>
      <w:jc w:val="left"/>
    </w:pPr>
    <w:rPr>
      <w:rFonts w:asciiTheme="minorHAnsi" w:hAnsiTheme="minorHAnsi"/>
      <w:sz w:val="20"/>
      <w:szCs w:val="20"/>
    </w:rPr>
  </w:style>
  <w:style w:type="paragraph" w:styleId="TOC5">
    <w:name w:val="toc 5"/>
    <w:basedOn w:val="Normal"/>
    <w:next w:val="Normal"/>
    <w:autoRedefine/>
    <w:uiPriority w:val="39"/>
    <w:rsid w:val="00583AA8"/>
    <w:pPr>
      <w:ind w:left="880"/>
      <w:jc w:val="left"/>
    </w:pPr>
    <w:rPr>
      <w:rFonts w:asciiTheme="minorHAnsi" w:hAnsiTheme="minorHAnsi"/>
      <w:sz w:val="20"/>
      <w:szCs w:val="20"/>
    </w:rPr>
  </w:style>
  <w:style w:type="paragraph" w:styleId="TOC6">
    <w:name w:val="toc 6"/>
    <w:basedOn w:val="Normal"/>
    <w:next w:val="Normal"/>
    <w:autoRedefine/>
    <w:uiPriority w:val="39"/>
    <w:rsid w:val="00583AA8"/>
    <w:pPr>
      <w:ind w:left="1100"/>
      <w:jc w:val="left"/>
    </w:pPr>
    <w:rPr>
      <w:rFonts w:asciiTheme="minorHAnsi" w:hAnsiTheme="minorHAnsi"/>
      <w:sz w:val="20"/>
      <w:szCs w:val="20"/>
    </w:rPr>
  </w:style>
  <w:style w:type="paragraph" w:styleId="TOC7">
    <w:name w:val="toc 7"/>
    <w:basedOn w:val="Normal"/>
    <w:next w:val="Normal"/>
    <w:autoRedefine/>
    <w:uiPriority w:val="39"/>
    <w:rsid w:val="00583AA8"/>
    <w:pPr>
      <w:ind w:left="1320"/>
      <w:jc w:val="left"/>
    </w:pPr>
    <w:rPr>
      <w:rFonts w:asciiTheme="minorHAnsi" w:hAnsiTheme="minorHAnsi"/>
      <w:sz w:val="20"/>
      <w:szCs w:val="20"/>
    </w:rPr>
  </w:style>
  <w:style w:type="paragraph" w:styleId="TOC8">
    <w:name w:val="toc 8"/>
    <w:basedOn w:val="Normal"/>
    <w:next w:val="Normal"/>
    <w:autoRedefine/>
    <w:uiPriority w:val="39"/>
    <w:rsid w:val="00583AA8"/>
    <w:pPr>
      <w:ind w:left="1540"/>
      <w:jc w:val="left"/>
    </w:pPr>
    <w:rPr>
      <w:rFonts w:asciiTheme="minorHAnsi" w:hAnsiTheme="minorHAnsi"/>
      <w:sz w:val="20"/>
      <w:szCs w:val="20"/>
    </w:rPr>
  </w:style>
  <w:style w:type="paragraph" w:styleId="TOC9">
    <w:name w:val="toc 9"/>
    <w:basedOn w:val="Normal"/>
    <w:next w:val="Normal"/>
    <w:autoRedefine/>
    <w:uiPriority w:val="39"/>
    <w:rsid w:val="00583AA8"/>
    <w:pPr>
      <w:ind w:left="1760"/>
      <w:jc w:val="left"/>
    </w:pPr>
    <w:rPr>
      <w:rFonts w:asciiTheme="minorHAnsi" w:hAnsiTheme="minorHAnsi"/>
      <w:sz w:val="20"/>
      <w:szCs w:val="20"/>
    </w:rPr>
  </w:style>
  <w:style w:type="paragraph" w:styleId="CommentText">
    <w:name w:val="annotation text"/>
    <w:basedOn w:val="Normal"/>
    <w:link w:val="CommentTextChar"/>
    <w:uiPriority w:val="99"/>
    <w:rsid w:val="00583AA8"/>
    <w:rPr>
      <w:sz w:val="20"/>
      <w:szCs w:val="20"/>
    </w:rPr>
  </w:style>
  <w:style w:type="character" w:customStyle="1" w:styleId="CommentTextChar">
    <w:name w:val="Comment Text Char"/>
    <w:basedOn w:val="DefaultParagraphFont"/>
    <w:link w:val="CommentText"/>
    <w:uiPriority w:val="99"/>
    <w:locked/>
    <w:rsid w:val="00583AA8"/>
    <w:rPr>
      <w:rFonts w:ascii="Arial" w:hAnsi="Arial" w:cs="Arial" w:hint="default"/>
      <w:sz w:val="20"/>
    </w:rPr>
  </w:style>
  <w:style w:type="paragraph" w:styleId="Header">
    <w:name w:val="header"/>
    <w:basedOn w:val="Normal"/>
    <w:link w:val="HeaderChar"/>
    <w:rsid w:val="00583AA8"/>
    <w:pPr>
      <w:tabs>
        <w:tab w:val="center" w:pos="4320"/>
        <w:tab w:val="right" w:pos="8640"/>
      </w:tabs>
    </w:pPr>
    <w:rPr>
      <w:sz w:val="20"/>
      <w:szCs w:val="20"/>
    </w:rPr>
  </w:style>
  <w:style w:type="character" w:customStyle="1" w:styleId="HeaderChar">
    <w:name w:val="Header Char"/>
    <w:basedOn w:val="DefaultParagraphFont"/>
    <w:link w:val="Header"/>
    <w:locked/>
    <w:rsid w:val="00583AA8"/>
    <w:rPr>
      <w:rFonts w:ascii="Arial" w:hAnsi="Arial" w:cs="Arial" w:hint="default"/>
    </w:rPr>
  </w:style>
  <w:style w:type="paragraph" w:styleId="Footer">
    <w:name w:val="footer"/>
    <w:basedOn w:val="Normal"/>
    <w:link w:val="FooterChar"/>
    <w:uiPriority w:val="99"/>
    <w:rsid w:val="00583AA8"/>
    <w:pPr>
      <w:tabs>
        <w:tab w:val="center" w:pos="4320"/>
        <w:tab w:val="right" w:pos="8640"/>
      </w:tabs>
    </w:pPr>
  </w:style>
  <w:style w:type="character" w:customStyle="1" w:styleId="FooterChar">
    <w:name w:val="Footer Char"/>
    <w:basedOn w:val="DefaultParagraphFont"/>
    <w:link w:val="Footer"/>
    <w:uiPriority w:val="99"/>
    <w:locked/>
    <w:rsid w:val="00583AA8"/>
    <w:rPr>
      <w:rFonts w:ascii="Arial" w:hAnsi="Arial" w:cs="Arial" w:hint="default"/>
      <w:sz w:val="22"/>
      <w:lang w:val="en-US" w:eastAsia="en-US"/>
    </w:rPr>
  </w:style>
  <w:style w:type="character" w:customStyle="1" w:styleId="CaptionChar">
    <w:name w:val="Caption Char"/>
    <w:aliases w:val="Char Char"/>
    <w:uiPriority w:val="35"/>
    <w:locked/>
    <w:rsid w:val="00B00894"/>
  </w:style>
  <w:style w:type="paragraph" w:styleId="TableofFigures">
    <w:name w:val="table of figures"/>
    <w:basedOn w:val="Normal"/>
    <w:next w:val="Normal"/>
    <w:uiPriority w:val="99"/>
    <w:rsid w:val="00C7448A"/>
    <w:pPr>
      <w:spacing w:after="60" w:line="240" w:lineRule="auto"/>
      <w:ind w:left="446" w:hanging="446"/>
      <w:jc w:val="left"/>
    </w:pPr>
    <w:rPr>
      <w:szCs w:val="20"/>
    </w:rPr>
  </w:style>
  <w:style w:type="paragraph" w:styleId="EndnoteText">
    <w:name w:val="endnote text"/>
    <w:basedOn w:val="Normal"/>
    <w:link w:val="EndnoteTextChar"/>
    <w:uiPriority w:val="99"/>
    <w:locked/>
    <w:rsid w:val="00583AA8"/>
    <w:pPr>
      <w:spacing w:line="240" w:lineRule="auto"/>
    </w:pPr>
    <w:rPr>
      <w:sz w:val="20"/>
      <w:szCs w:val="20"/>
    </w:rPr>
  </w:style>
  <w:style w:type="character" w:customStyle="1" w:styleId="EndnoteTextChar">
    <w:name w:val="Endnote Text Char"/>
    <w:basedOn w:val="DefaultParagraphFont"/>
    <w:link w:val="EndnoteText"/>
    <w:uiPriority w:val="99"/>
    <w:locked/>
    <w:rsid w:val="00583AA8"/>
    <w:rPr>
      <w:rFonts w:ascii="Arial" w:hAnsi="Arial" w:cs="Arial" w:hint="default"/>
    </w:rPr>
  </w:style>
  <w:style w:type="paragraph" w:styleId="ListBullet">
    <w:name w:val="List Bullet"/>
    <w:basedOn w:val="Normal"/>
    <w:uiPriority w:val="99"/>
    <w:rsid w:val="00583AA8"/>
    <w:pPr>
      <w:tabs>
        <w:tab w:val="num" w:pos="360"/>
      </w:tabs>
      <w:spacing w:before="40" w:after="100" w:afterAutospacing="1"/>
      <w:ind w:left="360" w:hanging="360"/>
    </w:pPr>
    <w:rPr>
      <w:rFonts w:cs="Arial"/>
      <w:szCs w:val="24"/>
    </w:rPr>
  </w:style>
  <w:style w:type="paragraph" w:styleId="Title">
    <w:name w:val="Title"/>
    <w:basedOn w:val="Normal"/>
    <w:link w:val="TitleChar"/>
    <w:uiPriority w:val="10"/>
    <w:qFormat/>
    <w:rsid w:val="00583AA8"/>
    <w:pPr>
      <w:jc w:val="center"/>
    </w:pPr>
    <w:rPr>
      <w:b/>
    </w:rPr>
  </w:style>
  <w:style w:type="character" w:customStyle="1" w:styleId="TitleChar">
    <w:name w:val="Title Char"/>
    <w:basedOn w:val="DefaultParagraphFont"/>
    <w:link w:val="Title"/>
    <w:uiPriority w:val="10"/>
    <w:locked/>
    <w:rsid w:val="00583AA8"/>
    <w:rPr>
      <w:rFonts w:ascii="Arial" w:hAnsi="Arial" w:cs="Arial" w:hint="default"/>
      <w:b/>
      <w:bCs w:val="0"/>
      <w:sz w:val="22"/>
      <w:lang w:val="en-US" w:eastAsia="en-US"/>
    </w:rPr>
  </w:style>
  <w:style w:type="paragraph" w:styleId="BodyText">
    <w:name w:val="Body Text"/>
    <w:basedOn w:val="Normal"/>
    <w:link w:val="BodyTextChar"/>
    <w:uiPriority w:val="99"/>
    <w:rsid w:val="00583AA8"/>
    <w:rPr>
      <w:sz w:val="20"/>
      <w:szCs w:val="20"/>
    </w:rPr>
  </w:style>
  <w:style w:type="character" w:customStyle="1" w:styleId="BodyTextChar">
    <w:name w:val="Body Text Char"/>
    <w:basedOn w:val="DefaultParagraphFont"/>
    <w:link w:val="BodyText"/>
    <w:uiPriority w:val="99"/>
    <w:locked/>
    <w:rsid w:val="00583AA8"/>
    <w:rPr>
      <w:rFonts w:ascii="Arial" w:hAnsi="Arial" w:cs="Arial" w:hint="default"/>
    </w:rPr>
  </w:style>
  <w:style w:type="paragraph" w:styleId="BodyTextIndent">
    <w:name w:val="Body Text Indent"/>
    <w:basedOn w:val="Normal"/>
    <w:link w:val="BodyTextIndentChar"/>
    <w:rsid w:val="00583AA8"/>
    <w:pPr>
      <w:spacing w:after="120"/>
      <w:ind w:left="360"/>
    </w:pPr>
    <w:rPr>
      <w:sz w:val="20"/>
      <w:szCs w:val="20"/>
    </w:rPr>
  </w:style>
  <w:style w:type="character" w:customStyle="1" w:styleId="BodyTextIndentChar">
    <w:name w:val="Body Text Indent Char"/>
    <w:basedOn w:val="DefaultParagraphFont"/>
    <w:link w:val="BodyTextIndent"/>
    <w:locked/>
    <w:rsid w:val="00583AA8"/>
    <w:rPr>
      <w:rFonts w:ascii="Arial" w:hAnsi="Arial" w:cs="Arial" w:hint="default"/>
    </w:rPr>
  </w:style>
  <w:style w:type="paragraph" w:styleId="BodyText2">
    <w:name w:val="Body Text 2"/>
    <w:basedOn w:val="Normal"/>
    <w:link w:val="BodyText2Char"/>
    <w:rsid w:val="00583AA8"/>
    <w:pPr>
      <w:spacing w:after="120" w:line="480" w:lineRule="auto"/>
    </w:pPr>
    <w:rPr>
      <w:sz w:val="20"/>
      <w:szCs w:val="20"/>
    </w:rPr>
  </w:style>
  <w:style w:type="character" w:customStyle="1" w:styleId="BodyText2Char">
    <w:name w:val="Body Text 2 Char"/>
    <w:basedOn w:val="DefaultParagraphFont"/>
    <w:link w:val="BodyText2"/>
    <w:locked/>
    <w:rsid w:val="00583AA8"/>
    <w:rPr>
      <w:rFonts w:ascii="Arial" w:hAnsi="Arial" w:cs="Arial" w:hint="default"/>
    </w:rPr>
  </w:style>
  <w:style w:type="paragraph" w:styleId="BodyText3">
    <w:name w:val="Body Text 3"/>
    <w:basedOn w:val="Normal"/>
    <w:link w:val="BodyText3Char"/>
    <w:uiPriority w:val="99"/>
    <w:rsid w:val="00583AA8"/>
    <w:pPr>
      <w:spacing w:line="240" w:lineRule="auto"/>
      <w:jc w:val="left"/>
    </w:pPr>
    <w:rPr>
      <w:sz w:val="24"/>
      <w:szCs w:val="20"/>
    </w:rPr>
  </w:style>
  <w:style w:type="character" w:customStyle="1" w:styleId="BodyText3Char">
    <w:name w:val="Body Text 3 Char"/>
    <w:basedOn w:val="DefaultParagraphFont"/>
    <w:link w:val="BodyText3"/>
    <w:uiPriority w:val="99"/>
    <w:locked/>
    <w:rsid w:val="00583AA8"/>
    <w:rPr>
      <w:rFonts w:ascii="Arial" w:hAnsi="Arial" w:cs="Arial" w:hint="default"/>
      <w:sz w:val="24"/>
      <w:lang w:val="en-US" w:eastAsia="en-US"/>
    </w:rPr>
  </w:style>
  <w:style w:type="paragraph" w:styleId="BodyTextIndent2">
    <w:name w:val="Body Text Indent 2"/>
    <w:basedOn w:val="Normal"/>
    <w:link w:val="BodyTextIndent2Char"/>
    <w:uiPriority w:val="99"/>
    <w:rsid w:val="00583AA8"/>
    <w:pPr>
      <w:spacing w:after="120" w:line="480" w:lineRule="auto"/>
      <w:ind w:left="360"/>
    </w:pPr>
    <w:rPr>
      <w:sz w:val="24"/>
      <w:szCs w:val="24"/>
    </w:rPr>
  </w:style>
  <w:style w:type="character" w:customStyle="1" w:styleId="BodyTextIndent2Char">
    <w:name w:val="Body Text Indent 2 Char"/>
    <w:basedOn w:val="DefaultParagraphFont"/>
    <w:link w:val="BodyTextIndent2"/>
    <w:uiPriority w:val="99"/>
    <w:locked/>
    <w:rsid w:val="00583AA8"/>
    <w:rPr>
      <w:rFonts w:ascii="Arial" w:hAnsi="Arial" w:cs="Arial" w:hint="default"/>
      <w:sz w:val="24"/>
    </w:rPr>
  </w:style>
  <w:style w:type="paragraph" w:styleId="BodyTextIndent3">
    <w:name w:val="Body Text Indent 3"/>
    <w:basedOn w:val="Normal"/>
    <w:link w:val="BodyTextIndent3Char"/>
    <w:uiPriority w:val="99"/>
    <w:rsid w:val="00583AA8"/>
    <w:pPr>
      <w:spacing w:after="100" w:afterAutospacing="1"/>
      <w:ind w:left="360"/>
    </w:pPr>
    <w:rPr>
      <w:sz w:val="16"/>
      <w:szCs w:val="16"/>
    </w:rPr>
  </w:style>
  <w:style w:type="character" w:customStyle="1" w:styleId="BodyTextIndent3Char">
    <w:name w:val="Body Text Indent 3 Char"/>
    <w:basedOn w:val="DefaultParagraphFont"/>
    <w:link w:val="BodyTextIndent3"/>
    <w:uiPriority w:val="99"/>
    <w:locked/>
    <w:rsid w:val="00583AA8"/>
    <w:rPr>
      <w:rFonts w:ascii="Arial" w:hAnsi="Arial" w:cs="Arial" w:hint="default"/>
      <w:sz w:val="16"/>
    </w:rPr>
  </w:style>
  <w:style w:type="paragraph" w:styleId="BlockText">
    <w:name w:val="Block Text"/>
    <w:basedOn w:val="Normal"/>
    <w:uiPriority w:val="99"/>
    <w:rsid w:val="00583AA8"/>
    <w:pPr>
      <w:spacing w:line="240" w:lineRule="auto"/>
      <w:ind w:left="720" w:right="810"/>
    </w:pPr>
    <w:rPr>
      <w:sz w:val="24"/>
      <w:szCs w:val="20"/>
    </w:rPr>
  </w:style>
  <w:style w:type="paragraph" w:styleId="PlainText">
    <w:name w:val="Plain Text"/>
    <w:basedOn w:val="Normal"/>
    <w:link w:val="PlainTextChar"/>
    <w:uiPriority w:val="99"/>
    <w:rsid w:val="00583AA8"/>
    <w:pPr>
      <w:spacing w:line="240" w:lineRule="auto"/>
      <w:jc w:val="left"/>
    </w:pPr>
    <w:rPr>
      <w:rFonts w:ascii="Courier New" w:hAnsi="Courier New"/>
      <w:sz w:val="20"/>
      <w:szCs w:val="20"/>
    </w:rPr>
  </w:style>
  <w:style w:type="character" w:customStyle="1" w:styleId="PlainTextChar">
    <w:name w:val="Plain Text Char"/>
    <w:basedOn w:val="DefaultParagraphFont"/>
    <w:link w:val="PlainText"/>
    <w:uiPriority w:val="99"/>
    <w:locked/>
    <w:rsid w:val="00583AA8"/>
    <w:rPr>
      <w:rFonts w:ascii="Courier New" w:hAnsi="Courier New" w:cs="Courier New" w:hint="default"/>
      <w:sz w:val="20"/>
    </w:rPr>
  </w:style>
  <w:style w:type="paragraph" w:styleId="CommentSubject">
    <w:name w:val="annotation subject"/>
    <w:basedOn w:val="CommentText"/>
    <w:next w:val="CommentText"/>
    <w:link w:val="CommentSubjectChar"/>
    <w:uiPriority w:val="99"/>
    <w:rsid w:val="00583AA8"/>
    <w:rPr>
      <w:b/>
      <w:bCs/>
    </w:rPr>
  </w:style>
  <w:style w:type="character" w:customStyle="1" w:styleId="CommentSubjectChar">
    <w:name w:val="Comment Subject Char"/>
    <w:basedOn w:val="CommentTextChar"/>
    <w:link w:val="CommentSubject"/>
    <w:uiPriority w:val="99"/>
    <w:locked/>
    <w:rsid w:val="00583AA8"/>
    <w:rPr>
      <w:rFonts w:ascii="Arial" w:hAnsi="Arial" w:cs="Arial" w:hint="default"/>
      <w:b/>
      <w:bCs w:val="0"/>
      <w:sz w:val="20"/>
    </w:rPr>
  </w:style>
  <w:style w:type="paragraph" w:styleId="BalloonText">
    <w:name w:val="Balloon Text"/>
    <w:basedOn w:val="Normal"/>
    <w:link w:val="BalloonTextChar"/>
    <w:uiPriority w:val="99"/>
    <w:rsid w:val="00583AA8"/>
    <w:rPr>
      <w:rFonts w:ascii="Times New Roman" w:hAnsi="Times New Roman"/>
      <w:sz w:val="24"/>
      <w:szCs w:val="20"/>
    </w:rPr>
  </w:style>
  <w:style w:type="character" w:customStyle="1" w:styleId="BalloonTextChar">
    <w:name w:val="Balloon Text Char"/>
    <w:basedOn w:val="DefaultParagraphFont"/>
    <w:link w:val="BalloonText"/>
    <w:uiPriority w:val="99"/>
    <w:locked/>
    <w:rsid w:val="00583AA8"/>
    <w:rPr>
      <w:sz w:val="24"/>
    </w:rPr>
  </w:style>
  <w:style w:type="paragraph" w:styleId="NoSpacing">
    <w:name w:val="No Spacing"/>
    <w:aliases w:val="Block Citations"/>
    <w:uiPriority w:val="1"/>
    <w:qFormat/>
    <w:rsid w:val="00B10381"/>
    <w:pPr>
      <w:spacing w:after="220" w:line="240" w:lineRule="auto"/>
      <w:ind w:left="720" w:right="720"/>
      <w:mirrorIndents/>
      <w:jc w:val="both"/>
    </w:pPr>
    <w:rPr>
      <w:rFonts w:ascii="Calibri" w:hAnsi="Calibri"/>
      <w:sz w:val="20"/>
      <w:lang w:eastAsia="ja-JP"/>
    </w:rPr>
  </w:style>
  <w:style w:type="paragraph" w:styleId="ListParagraph">
    <w:name w:val="List Paragraph"/>
    <w:basedOn w:val="Normal"/>
    <w:link w:val="ListParagraphChar"/>
    <w:uiPriority w:val="34"/>
    <w:qFormat/>
    <w:rsid w:val="00583AA8"/>
    <w:pPr>
      <w:adjustRightInd w:val="0"/>
      <w:spacing w:after="240"/>
      <w:ind w:left="720"/>
      <w:contextualSpacing/>
    </w:pPr>
  </w:style>
  <w:style w:type="paragraph" w:styleId="TOCHeading">
    <w:name w:val="TOC Heading"/>
    <w:basedOn w:val="Heading1"/>
    <w:next w:val="Normal"/>
    <w:uiPriority w:val="39"/>
    <w:unhideWhenUsed/>
    <w:qFormat/>
    <w:rsid w:val="00583AA8"/>
    <w:pPr>
      <w:spacing w:before="480"/>
      <w:outlineLvl w:val="9"/>
    </w:pPr>
    <w:rPr>
      <w:rFonts w:asciiTheme="majorHAnsi" w:hAnsiTheme="majorHAnsi"/>
      <w:color w:val="365F91" w:themeColor="accent1" w:themeShade="BF"/>
      <w:lang w:eastAsia="ja-JP"/>
    </w:rPr>
  </w:style>
  <w:style w:type="paragraph" w:customStyle="1" w:styleId="FootnoteText1">
    <w:name w:val="Footnote Text1"/>
    <w:basedOn w:val="Normal"/>
    <w:uiPriority w:val="99"/>
    <w:qFormat/>
    <w:rsid w:val="00394E17"/>
    <w:pPr>
      <w:spacing w:line="240" w:lineRule="auto"/>
    </w:pPr>
    <w:rPr>
      <w:sz w:val="20"/>
      <w:szCs w:val="20"/>
    </w:rPr>
  </w:style>
  <w:style w:type="paragraph" w:customStyle="1" w:styleId="Style1">
    <w:name w:val="Style 1"/>
    <w:basedOn w:val="Normal"/>
    <w:next w:val="Normal"/>
    <w:uiPriority w:val="99"/>
    <w:rsid w:val="00583AA8"/>
    <w:pPr>
      <w:jc w:val="center"/>
    </w:pPr>
  </w:style>
  <w:style w:type="paragraph" w:customStyle="1" w:styleId="Style10">
    <w:name w:val="Style1"/>
    <w:basedOn w:val="Heading4"/>
    <w:next w:val="Normal"/>
    <w:uiPriority w:val="99"/>
    <w:qFormat/>
    <w:rsid w:val="00583AA8"/>
    <w:pPr>
      <w:jc w:val="center"/>
    </w:pPr>
    <w:rPr>
      <w:rFonts w:eastAsia="Times New Roman"/>
    </w:rPr>
  </w:style>
  <w:style w:type="paragraph" w:customStyle="1" w:styleId="Recommendation">
    <w:name w:val="Recommendation"/>
    <w:basedOn w:val="ListBullet"/>
    <w:next w:val="Normal"/>
    <w:link w:val="RecommendationChar"/>
    <w:qFormat/>
    <w:rsid w:val="00BC1B94"/>
    <w:pPr>
      <w:tabs>
        <w:tab w:val="clear" w:pos="360"/>
      </w:tabs>
      <w:spacing w:before="0" w:after="0" w:afterAutospacing="0" w:line="240" w:lineRule="auto"/>
      <w:ind w:left="0" w:firstLine="0"/>
      <w:jc w:val="center"/>
    </w:pPr>
    <w:rPr>
      <w:rFonts w:eastAsia="Calibri" w:cs="Times New Roman"/>
      <w:sz w:val="20"/>
      <w:szCs w:val="22"/>
    </w:rPr>
  </w:style>
  <w:style w:type="character" w:customStyle="1" w:styleId="StyleCaptionCenteredChar">
    <w:name w:val="Style Caption + Centered Char"/>
    <w:link w:val="StyleCaptionCentered"/>
    <w:locked/>
    <w:rsid w:val="00583AA8"/>
    <w:rPr>
      <w:rFonts w:ascii="Arial" w:hAnsi="Arial" w:cs="Arial" w:hint="default"/>
      <w:b/>
      <w:bCs w:val="0"/>
      <w:lang w:val="en-US" w:eastAsia="en-US"/>
    </w:rPr>
  </w:style>
  <w:style w:type="paragraph" w:customStyle="1" w:styleId="StyleCaptionCentered">
    <w:name w:val="Style Caption + Centered"/>
    <w:basedOn w:val="Normal"/>
    <w:link w:val="StyleCaptionCenteredChar"/>
    <w:autoRedefine/>
    <w:uiPriority w:val="99"/>
    <w:rsid w:val="00583AA8"/>
  </w:style>
  <w:style w:type="character" w:customStyle="1" w:styleId="Style2Char">
    <w:name w:val="Style2 Char"/>
    <w:link w:val="Style2"/>
    <w:locked/>
    <w:rsid w:val="00B77183"/>
    <w:rPr>
      <w:rFonts w:ascii="Calibri" w:hAnsi="Calibri" w:cs="Arial"/>
      <w:color w:val="000000"/>
      <w:lang w:eastAsia="ja-JP"/>
    </w:rPr>
  </w:style>
  <w:style w:type="paragraph" w:customStyle="1" w:styleId="Style2">
    <w:name w:val="Style2"/>
    <w:basedOn w:val="Normal"/>
    <w:link w:val="Style2Char"/>
    <w:autoRedefine/>
    <w:qFormat/>
    <w:rsid w:val="00B77183"/>
    <w:pPr>
      <w:keepNext/>
      <w:numPr>
        <w:numId w:val="6"/>
      </w:numPr>
      <w:spacing w:after="120" w:line="240" w:lineRule="auto"/>
    </w:pPr>
    <w:rPr>
      <w:rFonts w:cs="Arial"/>
      <w:color w:val="000000"/>
    </w:rPr>
  </w:style>
  <w:style w:type="paragraph" w:customStyle="1" w:styleId="StyleCaptionCentered1">
    <w:name w:val="Style Caption + Centered1"/>
    <w:basedOn w:val="Normal"/>
    <w:autoRedefine/>
    <w:uiPriority w:val="99"/>
    <w:rsid w:val="00583AA8"/>
  </w:style>
  <w:style w:type="paragraph" w:customStyle="1" w:styleId="StyleCentered">
    <w:name w:val="Style Centered"/>
    <w:basedOn w:val="Normal"/>
    <w:autoRedefine/>
    <w:uiPriority w:val="99"/>
    <w:rsid w:val="00583AA8"/>
    <w:rPr>
      <w:rFonts w:cs="Arial"/>
      <w:color w:val="000000"/>
    </w:rPr>
  </w:style>
  <w:style w:type="paragraph" w:customStyle="1" w:styleId="StyleBoldCentered">
    <w:name w:val="Style Bold Centered"/>
    <w:basedOn w:val="Normal"/>
    <w:uiPriority w:val="99"/>
    <w:rsid w:val="00583AA8"/>
    <w:pPr>
      <w:spacing w:line="240" w:lineRule="auto"/>
      <w:jc w:val="center"/>
    </w:pPr>
    <w:rPr>
      <w:b/>
      <w:bCs/>
      <w:szCs w:val="20"/>
    </w:rPr>
  </w:style>
  <w:style w:type="paragraph" w:customStyle="1" w:styleId="Style10ptBoldBlackCenteredBefore1ptAfter0ptLi">
    <w:name w:val="Style 10 pt Bold Black Centered Before:  1 pt After:  0 pt Li..."/>
    <w:basedOn w:val="Normal"/>
    <w:uiPriority w:val="99"/>
    <w:rsid w:val="00583AA8"/>
    <w:pPr>
      <w:widowControl w:val="0"/>
      <w:spacing w:before="20" w:line="240" w:lineRule="auto"/>
      <w:contextualSpacing/>
      <w:jc w:val="center"/>
    </w:pPr>
    <w:rPr>
      <w:b/>
      <w:bCs/>
      <w:color w:val="000000"/>
      <w:sz w:val="20"/>
      <w:szCs w:val="20"/>
    </w:rPr>
  </w:style>
  <w:style w:type="paragraph" w:customStyle="1" w:styleId="Style10ptLeftLinespacingsingle">
    <w:name w:val="Style 10 pt Left Line spacing:  single"/>
    <w:basedOn w:val="Normal"/>
    <w:uiPriority w:val="99"/>
    <w:rsid w:val="00583AA8"/>
    <w:pPr>
      <w:widowControl w:val="0"/>
      <w:spacing w:before="40" w:after="40" w:line="240" w:lineRule="auto"/>
      <w:contextualSpacing/>
      <w:jc w:val="left"/>
    </w:pPr>
    <w:rPr>
      <w:sz w:val="20"/>
      <w:szCs w:val="20"/>
    </w:rPr>
  </w:style>
  <w:style w:type="paragraph" w:customStyle="1" w:styleId="Style10ptBoldUnderlineLeftLinespacingsingle">
    <w:name w:val="Style 10 pt Bold Underline Left Line spacing:  single"/>
    <w:basedOn w:val="Normal"/>
    <w:uiPriority w:val="99"/>
    <w:rsid w:val="00583AA8"/>
    <w:pPr>
      <w:widowControl w:val="0"/>
      <w:spacing w:after="60" w:line="240" w:lineRule="auto"/>
      <w:contextualSpacing/>
      <w:jc w:val="left"/>
    </w:pPr>
    <w:rPr>
      <w:b/>
      <w:bCs/>
      <w:sz w:val="20"/>
      <w:szCs w:val="20"/>
      <w:u w:val="single"/>
    </w:rPr>
  </w:style>
  <w:style w:type="paragraph" w:customStyle="1" w:styleId="xl34">
    <w:name w:val="xl34"/>
    <w:basedOn w:val="Normal"/>
    <w:uiPriority w:val="99"/>
    <w:rsid w:val="00583AA8"/>
    <w:pPr>
      <w:pBdr>
        <w:right w:val="single" w:sz="4" w:space="0" w:color="auto"/>
      </w:pBdr>
      <w:spacing w:before="100" w:after="100" w:line="240" w:lineRule="auto"/>
      <w:jc w:val="center"/>
    </w:pPr>
    <w:rPr>
      <w:rFonts w:ascii="Times New Roman" w:hAnsi="Times New Roman"/>
      <w:szCs w:val="20"/>
    </w:rPr>
  </w:style>
  <w:style w:type="paragraph" w:customStyle="1" w:styleId="StyleLeftBoxSinglesolidlineAuto225ptLinewidth">
    <w:name w:val="Style Left Box: (Single solid line Auto  2.25 pt Line width)"/>
    <w:basedOn w:val="Normal"/>
    <w:uiPriority w:val="99"/>
    <w:rsid w:val="00583AA8"/>
    <w:pPr>
      <w:pBdr>
        <w:top w:val="single" w:sz="18" w:space="1" w:color="auto"/>
        <w:left w:val="single" w:sz="18" w:space="4" w:color="auto"/>
        <w:bottom w:val="single" w:sz="18" w:space="1" w:color="auto"/>
        <w:right w:val="single" w:sz="18" w:space="4" w:color="auto"/>
      </w:pBdr>
      <w:spacing w:line="240" w:lineRule="auto"/>
    </w:pPr>
    <w:rPr>
      <w:sz w:val="24"/>
      <w:szCs w:val="20"/>
    </w:rPr>
  </w:style>
  <w:style w:type="paragraph" w:customStyle="1" w:styleId="StyleCaptionCenteredLinespacingsingle">
    <w:name w:val="Style Caption + Centered Line spacing:  single"/>
    <w:basedOn w:val="Normal"/>
    <w:autoRedefine/>
    <w:uiPriority w:val="99"/>
    <w:rsid w:val="00583AA8"/>
  </w:style>
  <w:style w:type="paragraph" w:customStyle="1" w:styleId="AFCRecommendation">
    <w:name w:val="AFC Recommendation"/>
    <w:basedOn w:val="Recommendation"/>
    <w:uiPriority w:val="99"/>
    <w:rsid w:val="00583AA8"/>
    <w:pPr>
      <w:keepLines/>
      <w:spacing w:before="240"/>
    </w:pPr>
    <w:rPr>
      <w:rFonts w:cs="Arial"/>
    </w:rPr>
  </w:style>
  <w:style w:type="character" w:customStyle="1" w:styleId="Style10ptBoldCenteredLinespacingsingleCharChar">
    <w:name w:val="Style 10 pt Bold Centered Line spacing:  single Char Char"/>
    <w:link w:val="Style10ptBoldCenteredLinespacingsingleChar"/>
    <w:locked/>
    <w:rsid w:val="00583AA8"/>
    <w:rPr>
      <w:rFonts w:ascii="Arial" w:hAnsi="Arial" w:cs="Arial" w:hint="default"/>
      <w:b/>
      <w:bCs w:val="0"/>
    </w:rPr>
  </w:style>
  <w:style w:type="paragraph" w:customStyle="1" w:styleId="Style10ptBoldCenteredLinespacingsingleChar">
    <w:name w:val="Style 10 pt Bold Centered Line spacing:  single Char"/>
    <w:basedOn w:val="Normal"/>
    <w:link w:val="Style10ptBoldCenteredLinespacingsingleCharChar"/>
    <w:rsid w:val="00583AA8"/>
    <w:pPr>
      <w:widowControl w:val="0"/>
      <w:spacing w:before="20" w:after="20" w:line="240" w:lineRule="auto"/>
      <w:jc w:val="center"/>
    </w:pPr>
    <w:rPr>
      <w:b/>
      <w:bCs/>
      <w:sz w:val="20"/>
      <w:szCs w:val="20"/>
    </w:rPr>
  </w:style>
  <w:style w:type="character" w:customStyle="1" w:styleId="ESCiBulletCharChar">
    <w:name w:val="ESCi Bullet Char Char"/>
    <w:link w:val="ESCiBulletChar"/>
    <w:locked/>
    <w:rsid w:val="00583AA8"/>
    <w:rPr>
      <w:rFonts w:ascii="Arial" w:hAnsi="Arial" w:cs="Arial" w:hint="default"/>
      <w:color w:val="000000"/>
      <w:sz w:val="24"/>
    </w:rPr>
  </w:style>
  <w:style w:type="paragraph" w:customStyle="1" w:styleId="ESCiBulletChar">
    <w:name w:val="ESCi Bullet Char"/>
    <w:basedOn w:val="Normal"/>
    <w:link w:val="ESCiBulletCharChar"/>
    <w:autoRedefine/>
    <w:rsid w:val="00583AA8"/>
    <w:pPr>
      <w:spacing w:after="240"/>
    </w:pPr>
    <w:rPr>
      <w:color w:val="000000"/>
      <w:sz w:val="24"/>
      <w:szCs w:val="24"/>
    </w:rPr>
  </w:style>
  <w:style w:type="paragraph" w:customStyle="1" w:styleId="ESCiHeading2">
    <w:name w:val="ESCi Heading 2"/>
    <w:basedOn w:val="Heading2"/>
    <w:autoRedefine/>
    <w:uiPriority w:val="99"/>
    <w:rsid w:val="00583AA8"/>
    <w:rPr>
      <w:rFonts w:eastAsia="Times New Roman"/>
      <w:bCs w:val="0"/>
      <w:iCs/>
      <w:color w:val="000080"/>
    </w:rPr>
  </w:style>
  <w:style w:type="paragraph" w:customStyle="1" w:styleId="SubHeading">
    <w:name w:val="SubHeading"/>
    <w:basedOn w:val="Heading4"/>
    <w:uiPriority w:val="99"/>
    <w:rsid w:val="00583AA8"/>
    <w:rPr>
      <w:rFonts w:eastAsia="Times New Roman" w:cs="Arial"/>
      <w:b/>
      <w:i w:val="0"/>
    </w:rPr>
  </w:style>
  <w:style w:type="paragraph" w:customStyle="1" w:styleId="xl25">
    <w:name w:val="xl25"/>
    <w:basedOn w:val="Normal"/>
    <w:uiPriority w:val="99"/>
    <w:rsid w:val="00583AA8"/>
    <w:pPr>
      <w:pBdr>
        <w:top w:val="single" w:sz="8" w:space="0" w:color="auto"/>
        <w:left w:val="single" w:sz="4" w:space="0" w:color="auto"/>
        <w:bottom w:val="single" w:sz="4" w:space="0" w:color="auto"/>
        <w:right w:val="single" w:sz="8" w:space="0" w:color="auto"/>
      </w:pBdr>
      <w:spacing w:before="100" w:beforeAutospacing="1" w:line="240" w:lineRule="auto"/>
      <w:jc w:val="center"/>
    </w:pPr>
    <w:rPr>
      <w:rFonts w:ascii="Arial Unicode MS" w:eastAsia="Arial Unicode MS" w:hAnsi="Times New Roman" w:cs="Arial Unicode MS"/>
      <w:sz w:val="24"/>
      <w:szCs w:val="24"/>
    </w:rPr>
  </w:style>
  <w:style w:type="paragraph" w:customStyle="1" w:styleId="TableSpacer">
    <w:name w:val="Table Spacer"/>
    <w:basedOn w:val="Normal"/>
    <w:uiPriority w:val="99"/>
    <w:rsid w:val="00583AA8"/>
    <w:pPr>
      <w:spacing w:line="240" w:lineRule="auto"/>
    </w:pPr>
    <w:rPr>
      <w:sz w:val="20"/>
      <w:szCs w:val="24"/>
    </w:rPr>
  </w:style>
  <w:style w:type="paragraph" w:customStyle="1" w:styleId="MinorHeading">
    <w:name w:val="Minor Heading"/>
    <w:basedOn w:val="Heading5"/>
    <w:uiPriority w:val="99"/>
    <w:rsid w:val="00583AA8"/>
    <w:pPr>
      <w:keepNext/>
      <w:spacing w:before="80" w:after="100" w:line="240" w:lineRule="auto"/>
      <w:jc w:val="left"/>
    </w:pPr>
    <w:rPr>
      <w:rFonts w:eastAsia="Times New Roman" w:cs="Times New Roman"/>
      <w:b w:val="0"/>
      <w:i w:val="0"/>
      <w:color w:val="000000"/>
      <w:u w:val="single"/>
    </w:rPr>
  </w:style>
  <w:style w:type="paragraph" w:customStyle="1" w:styleId="StyleStyleCaptionCenteredLinespacingsingleNotBold">
    <w:name w:val="Style Style Caption + Centered Line spacing:  single + Not Bold"/>
    <w:basedOn w:val="StyleCaptionCenteredLinespacingsingle"/>
    <w:uiPriority w:val="99"/>
    <w:rsid w:val="00583AA8"/>
    <w:rPr>
      <w:b/>
      <w:bCs/>
    </w:rPr>
  </w:style>
  <w:style w:type="paragraph" w:customStyle="1" w:styleId="StyleHeading2">
    <w:name w:val="Style Heading 2"/>
    <w:basedOn w:val="Heading2"/>
    <w:uiPriority w:val="99"/>
    <w:rsid w:val="00583AA8"/>
    <w:pPr>
      <w:spacing w:before="240" w:after="60"/>
    </w:pPr>
    <w:rPr>
      <w:rFonts w:eastAsia="Times New Roman"/>
      <w:iCs/>
      <w:szCs w:val="20"/>
    </w:rPr>
  </w:style>
  <w:style w:type="paragraph" w:customStyle="1" w:styleId="StyleHeading3Heading3CharCharChar11pt">
    <w:name w:val="Style Heading 3Heading 3 Char Char Char + 11 pt"/>
    <w:basedOn w:val="Heading3"/>
    <w:uiPriority w:val="99"/>
    <w:rsid w:val="00583AA8"/>
    <w:pPr>
      <w:spacing w:line="240" w:lineRule="auto"/>
    </w:pPr>
    <w:rPr>
      <w:rFonts w:eastAsia="Times New Roman"/>
      <w:bCs w:val="0"/>
      <w:color w:val="000000"/>
      <w:szCs w:val="24"/>
    </w:rPr>
  </w:style>
  <w:style w:type="paragraph" w:customStyle="1" w:styleId="StyleBodyTextTimesNewRoman">
    <w:name w:val="Style Body Text + Times New Roman"/>
    <w:basedOn w:val="BodyText"/>
    <w:uiPriority w:val="99"/>
    <w:rsid w:val="00583AA8"/>
    <w:pPr>
      <w:spacing w:line="240" w:lineRule="auto"/>
      <w:jc w:val="left"/>
    </w:pPr>
    <w:rPr>
      <w:kern w:val="28"/>
      <w:szCs w:val="22"/>
    </w:rPr>
  </w:style>
  <w:style w:type="paragraph" w:customStyle="1" w:styleId="StyleBodyTextTimesNewRomanBold">
    <w:name w:val="Style Body Text + Times New Roman Bold"/>
    <w:basedOn w:val="BodyText"/>
    <w:autoRedefine/>
    <w:uiPriority w:val="99"/>
    <w:rsid w:val="00583AA8"/>
    <w:pPr>
      <w:spacing w:line="240" w:lineRule="auto"/>
      <w:jc w:val="left"/>
    </w:pPr>
    <w:rPr>
      <w:bCs/>
      <w:kern w:val="28"/>
      <w:szCs w:val="22"/>
    </w:rPr>
  </w:style>
  <w:style w:type="paragraph" w:customStyle="1" w:styleId="StyleBodyTextLeft025Hanging05">
    <w:name w:val="Style Body Text + Left:  0.25&quot; Hanging:  0.5&quot;"/>
    <w:basedOn w:val="BodyText"/>
    <w:autoRedefine/>
    <w:uiPriority w:val="99"/>
    <w:rsid w:val="00583AA8"/>
    <w:pPr>
      <w:spacing w:line="240" w:lineRule="auto"/>
      <w:ind w:left="720" w:hanging="720"/>
    </w:pPr>
    <w:rPr>
      <w:kern w:val="28"/>
      <w:szCs w:val="22"/>
    </w:rPr>
  </w:style>
  <w:style w:type="paragraph" w:customStyle="1" w:styleId="StyleHeading3Left025Hanging05">
    <w:name w:val="Style Heading 3 + Left:  0.25&quot; Hanging:  0.5&quot;"/>
    <w:basedOn w:val="Heading3"/>
    <w:autoRedefine/>
    <w:uiPriority w:val="99"/>
    <w:rsid w:val="00583AA8"/>
    <w:pPr>
      <w:spacing w:line="240" w:lineRule="auto"/>
      <w:ind w:hanging="720"/>
    </w:pPr>
    <w:rPr>
      <w:rFonts w:eastAsia="Times New Roman"/>
      <w:color w:val="000000"/>
    </w:rPr>
  </w:style>
  <w:style w:type="paragraph" w:customStyle="1" w:styleId="StyleLeftLeft0">
    <w:name w:val="Style Left Left:  0&quot;"/>
    <w:basedOn w:val="Normal"/>
    <w:autoRedefine/>
    <w:uiPriority w:val="99"/>
    <w:rsid w:val="00583AA8"/>
    <w:pPr>
      <w:spacing w:line="240" w:lineRule="auto"/>
      <w:jc w:val="left"/>
    </w:pPr>
    <w:rPr>
      <w:sz w:val="24"/>
      <w:szCs w:val="20"/>
    </w:rPr>
  </w:style>
  <w:style w:type="paragraph" w:customStyle="1" w:styleId="StyleBodyTextBold">
    <w:name w:val="Style Body Text + Bold"/>
    <w:basedOn w:val="BodyText"/>
    <w:autoRedefine/>
    <w:uiPriority w:val="99"/>
    <w:rsid w:val="00583AA8"/>
    <w:pPr>
      <w:spacing w:line="240" w:lineRule="auto"/>
      <w:jc w:val="left"/>
    </w:pPr>
    <w:rPr>
      <w:bCs/>
      <w:kern w:val="28"/>
      <w:szCs w:val="22"/>
    </w:rPr>
  </w:style>
  <w:style w:type="paragraph" w:customStyle="1" w:styleId="StyleBodyTextBodyTextCharTimesNewRoman">
    <w:name w:val="Style Body TextBody Text Char + Times New Roman"/>
    <w:basedOn w:val="BodyText"/>
    <w:uiPriority w:val="99"/>
    <w:rsid w:val="00583AA8"/>
    <w:pPr>
      <w:tabs>
        <w:tab w:val="left" w:pos="-720"/>
      </w:tabs>
      <w:suppressAutoHyphens/>
      <w:spacing w:line="240" w:lineRule="auto"/>
    </w:pPr>
    <w:rPr>
      <w:spacing w:val="-3"/>
      <w:kern w:val="28"/>
    </w:rPr>
  </w:style>
  <w:style w:type="paragraph" w:customStyle="1" w:styleId="StyleHeading2TimesNewRomanNotItalic">
    <w:name w:val="Style Heading 2 + Times New Roman Not Italic"/>
    <w:basedOn w:val="Heading2"/>
    <w:uiPriority w:val="99"/>
    <w:rsid w:val="00583AA8"/>
    <w:pPr>
      <w:spacing w:before="240" w:after="60"/>
      <w:ind w:left="360"/>
    </w:pPr>
    <w:rPr>
      <w:rFonts w:eastAsia="Times New Roman"/>
      <w:szCs w:val="20"/>
    </w:rPr>
  </w:style>
  <w:style w:type="paragraph" w:customStyle="1" w:styleId="StyleHeading1Heading1Char-IChar-IIIIIIChar-I-IIIII">
    <w:name w:val="Style Heading 1Heading 1 Char- I Char-I.II.III Char- I-I.II.II..."/>
    <w:basedOn w:val="Heading1"/>
    <w:uiPriority w:val="99"/>
    <w:rsid w:val="00583AA8"/>
    <w:pPr>
      <w:spacing w:before="40" w:after="100" w:afterAutospacing="1"/>
    </w:pPr>
    <w:rPr>
      <w:b w:val="0"/>
      <w:szCs w:val="20"/>
    </w:rPr>
  </w:style>
  <w:style w:type="paragraph" w:customStyle="1" w:styleId="Style10ptBoldLinespacingsingle1">
    <w:name w:val="Style 10 pt Bold Line spacing:  single1"/>
    <w:basedOn w:val="Normal"/>
    <w:next w:val="Normal"/>
    <w:uiPriority w:val="99"/>
    <w:rsid w:val="00583AA8"/>
    <w:pPr>
      <w:spacing w:line="240" w:lineRule="auto"/>
    </w:pPr>
    <w:rPr>
      <w:sz w:val="24"/>
      <w:szCs w:val="20"/>
    </w:rPr>
  </w:style>
  <w:style w:type="paragraph" w:customStyle="1" w:styleId="Style10ptBoldLinespacingsingle2">
    <w:name w:val="Style 10 pt Bold Line spacing:  single2"/>
    <w:basedOn w:val="Normal"/>
    <w:uiPriority w:val="99"/>
    <w:rsid w:val="00583AA8"/>
    <w:pPr>
      <w:spacing w:line="240" w:lineRule="auto"/>
    </w:pPr>
    <w:rPr>
      <w:b/>
      <w:sz w:val="24"/>
      <w:szCs w:val="20"/>
    </w:rPr>
  </w:style>
  <w:style w:type="paragraph" w:customStyle="1" w:styleId="Style10ptBoldLinespacingsingle3">
    <w:name w:val="Style 10 pt Bold Line spacing:  single3"/>
    <w:basedOn w:val="Normal"/>
    <w:uiPriority w:val="99"/>
    <w:rsid w:val="00583AA8"/>
    <w:pPr>
      <w:spacing w:line="240" w:lineRule="auto"/>
    </w:pPr>
    <w:rPr>
      <w:b/>
      <w:sz w:val="24"/>
      <w:szCs w:val="20"/>
    </w:rPr>
  </w:style>
  <w:style w:type="paragraph" w:customStyle="1" w:styleId="Style10ptBoldLinespacingsingle4">
    <w:name w:val="Style 10 pt Bold Line spacing:  single4"/>
    <w:basedOn w:val="Normal"/>
    <w:uiPriority w:val="99"/>
    <w:rsid w:val="00583AA8"/>
    <w:pPr>
      <w:spacing w:line="240" w:lineRule="auto"/>
    </w:pPr>
    <w:rPr>
      <w:b/>
      <w:sz w:val="24"/>
      <w:szCs w:val="20"/>
    </w:rPr>
  </w:style>
  <w:style w:type="paragraph" w:customStyle="1" w:styleId="StyleHeading2Heading2Char4Heading2Char3CharHeading2Char">
    <w:name w:val="Style Heading 2Heading 2 Char4Heading 2 Char3 CharHeading 2 Char..."/>
    <w:basedOn w:val="Heading2"/>
    <w:uiPriority w:val="99"/>
    <w:rsid w:val="00583AA8"/>
    <w:rPr>
      <w:rFonts w:eastAsia="Times New Roman"/>
      <w:bCs w:val="0"/>
      <w:iCs/>
      <w:szCs w:val="20"/>
    </w:rPr>
  </w:style>
  <w:style w:type="paragraph" w:customStyle="1" w:styleId="StyleHeading1Heading1CharHeading1CharCharCharHeading1C">
    <w:name w:val="Style Heading 1Heading 1 CharHeading 1 Char Char CharHeading 1 C..."/>
    <w:basedOn w:val="Heading1"/>
    <w:uiPriority w:val="99"/>
    <w:rsid w:val="00583AA8"/>
    <w:pPr>
      <w:spacing w:before="40" w:after="100" w:afterAutospacing="1"/>
    </w:pPr>
    <w:rPr>
      <w:szCs w:val="36"/>
    </w:rPr>
  </w:style>
  <w:style w:type="paragraph" w:customStyle="1" w:styleId="StyleHeading2Heading2Char4Heading2Char3CharHeading2Char1">
    <w:name w:val="Style Heading 2Heading 2 Char4Heading 2 Char3 CharHeading 2 Char...1"/>
    <w:basedOn w:val="Heading2"/>
    <w:uiPriority w:val="99"/>
    <w:rsid w:val="00583AA8"/>
    <w:rPr>
      <w:rFonts w:eastAsia="Times New Roman"/>
      <w:bCs w:val="0"/>
      <w:szCs w:val="20"/>
    </w:rPr>
  </w:style>
  <w:style w:type="paragraph" w:customStyle="1" w:styleId="Style9ptBoldItalicAllcapsCenteredLinespacingsingle">
    <w:name w:val="Style 9 pt Bold Italic All caps Centered Line spacing:  single"/>
    <w:basedOn w:val="Normal"/>
    <w:uiPriority w:val="99"/>
    <w:rsid w:val="00583AA8"/>
    <w:pPr>
      <w:spacing w:line="240" w:lineRule="auto"/>
      <w:jc w:val="center"/>
    </w:pPr>
    <w:rPr>
      <w:b/>
      <w:bCs/>
      <w:i/>
      <w:iCs/>
      <w:sz w:val="18"/>
      <w:szCs w:val="18"/>
    </w:rPr>
  </w:style>
  <w:style w:type="paragraph" w:customStyle="1" w:styleId="Style9ptBoldItalicRedAllcapsCenteredLinespacings">
    <w:name w:val="Style 9 pt Bold Italic Red All caps Centered Line spacing:  s..."/>
    <w:basedOn w:val="Normal"/>
    <w:uiPriority w:val="99"/>
    <w:rsid w:val="00583AA8"/>
    <w:pPr>
      <w:spacing w:line="240" w:lineRule="auto"/>
      <w:jc w:val="center"/>
    </w:pPr>
    <w:rPr>
      <w:b/>
      <w:bCs/>
      <w:i/>
      <w:iCs/>
      <w:sz w:val="18"/>
      <w:szCs w:val="18"/>
    </w:rPr>
  </w:style>
  <w:style w:type="paragraph" w:customStyle="1" w:styleId="StyleHeading1Centered">
    <w:name w:val="Style Heading 1 + Centered"/>
    <w:basedOn w:val="Heading1"/>
    <w:uiPriority w:val="99"/>
    <w:rsid w:val="00583AA8"/>
    <w:pPr>
      <w:spacing w:before="40" w:after="100" w:afterAutospacing="1"/>
    </w:pPr>
    <w:rPr>
      <w:bCs w:val="0"/>
      <w:szCs w:val="20"/>
    </w:rPr>
  </w:style>
  <w:style w:type="paragraph" w:customStyle="1" w:styleId="StyleHeading2Justified">
    <w:name w:val="Style Heading 2 + Justified"/>
    <w:basedOn w:val="Heading2"/>
    <w:uiPriority w:val="99"/>
    <w:rsid w:val="00583AA8"/>
    <w:rPr>
      <w:rFonts w:eastAsia="Times New Roman"/>
      <w:bCs w:val="0"/>
      <w:iCs/>
      <w:szCs w:val="20"/>
    </w:rPr>
  </w:style>
  <w:style w:type="paragraph" w:customStyle="1" w:styleId="StyleHeading118pt">
    <w:name w:val="Style Heading 1 + 18 pt"/>
    <w:basedOn w:val="Heading1"/>
    <w:uiPriority w:val="99"/>
    <w:rsid w:val="00583AA8"/>
    <w:pPr>
      <w:spacing w:before="40" w:after="100" w:afterAutospacing="1"/>
    </w:pPr>
    <w:rPr>
      <w:bCs w:val="0"/>
      <w:szCs w:val="20"/>
    </w:rPr>
  </w:style>
  <w:style w:type="paragraph" w:customStyle="1" w:styleId="StyleHeading2LeftLeft05">
    <w:name w:val="Style Heading 2 + Left Left:  0.5&quot;"/>
    <w:basedOn w:val="Heading2"/>
    <w:uiPriority w:val="99"/>
    <w:rsid w:val="00583AA8"/>
    <w:rPr>
      <w:rFonts w:eastAsia="Times New Roman"/>
      <w:bCs w:val="0"/>
      <w:iCs/>
    </w:rPr>
  </w:style>
  <w:style w:type="paragraph" w:customStyle="1" w:styleId="Style16ptBoldCentered">
    <w:name w:val="Style 16 pt Bold Centered"/>
    <w:basedOn w:val="Heading9"/>
    <w:uiPriority w:val="99"/>
    <w:rsid w:val="00583AA8"/>
    <w:pPr>
      <w:jc w:val="center"/>
    </w:pPr>
    <w:rPr>
      <w:rFonts w:cs="Arial"/>
      <w:b/>
      <w:bCs/>
      <w:i w:val="0"/>
      <w:sz w:val="32"/>
    </w:rPr>
  </w:style>
  <w:style w:type="paragraph" w:customStyle="1" w:styleId="StyleStyleHeading2Before0ptAfter0ptItalic">
    <w:name w:val="Style Style Heading 2 + Before:  0 pt After:  0 pt + Italic"/>
    <w:basedOn w:val="Normal"/>
    <w:uiPriority w:val="99"/>
    <w:rsid w:val="00583AA8"/>
    <w:pPr>
      <w:keepNext/>
      <w:spacing w:line="240" w:lineRule="auto"/>
      <w:jc w:val="left"/>
      <w:outlineLvl w:val="1"/>
    </w:pPr>
    <w:rPr>
      <w:b/>
      <w:bCs/>
      <w:iCs/>
      <w:sz w:val="28"/>
      <w:szCs w:val="20"/>
    </w:rPr>
  </w:style>
  <w:style w:type="paragraph" w:customStyle="1" w:styleId="StyleHeading1KabelUltBTNotBoldPlum">
    <w:name w:val="Style Heading 1 + Kabel Ult BT Not Bold Plum"/>
    <w:basedOn w:val="Heading1"/>
    <w:uiPriority w:val="99"/>
    <w:rsid w:val="00583AA8"/>
    <w:pPr>
      <w:spacing w:before="40" w:after="100" w:afterAutospacing="1"/>
    </w:pPr>
    <w:rPr>
      <w:rFonts w:ascii="Kabel Ult BT" w:hAnsi="Kabel Ult BT"/>
      <w:b w:val="0"/>
      <w:color w:val="333399"/>
    </w:rPr>
  </w:style>
  <w:style w:type="paragraph" w:customStyle="1" w:styleId="StyleLinespacingDouble">
    <w:name w:val="Style Line spacing:  Double"/>
    <w:basedOn w:val="Normal"/>
    <w:uiPriority w:val="99"/>
    <w:rsid w:val="00583AA8"/>
    <w:pPr>
      <w:jc w:val="left"/>
    </w:pPr>
    <w:rPr>
      <w:sz w:val="24"/>
      <w:szCs w:val="20"/>
    </w:rPr>
  </w:style>
  <w:style w:type="paragraph" w:customStyle="1" w:styleId="StyleLatinArial11ptJustified">
    <w:name w:val="Style (Latin) Arial 11 pt Justified"/>
    <w:basedOn w:val="Normal"/>
    <w:next w:val="Normal"/>
    <w:uiPriority w:val="99"/>
    <w:rsid w:val="00583AA8"/>
    <w:pPr>
      <w:spacing w:line="240" w:lineRule="auto"/>
      <w:jc w:val="left"/>
    </w:pPr>
    <w:rPr>
      <w:sz w:val="24"/>
      <w:szCs w:val="20"/>
    </w:rPr>
  </w:style>
  <w:style w:type="paragraph" w:customStyle="1" w:styleId="StyleCaptionCentered2">
    <w:name w:val="Style Caption + Centered2"/>
    <w:basedOn w:val="Normal"/>
    <w:uiPriority w:val="99"/>
    <w:rsid w:val="00583AA8"/>
  </w:style>
  <w:style w:type="paragraph" w:customStyle="1" w:styleId="EmailStyle1421">
    <w:name w:val="EmailStyle1421"/>
    <w:basedOn w:val="Normal"/>
    <w:uiPriority w:val="99"/>
    <w:semiHidden/>
    <w:rsid w:val="00583AA8"/>
    <w:pPr>
      <w:spacing w:after="100" w:afterAutospacing="1"/>
    </w:pPr>
    <w:rPr>
      <w:szCs w:val="24"/>
    </w:rPr>
  </w:style>
  <w:style w:type="paragraph" w:customStyle="1" w:styleId="StyleLinespacingsingle">
    <w:name w:val="Style Line spacing:  single"/>
    <w:basedOn w:val="Normal"/>
    <w:uiPriority w:val="99"/>
    <w:rsid w:val="00583AA8"/>
    <w:pPr>
      <w:spacing w:line="240" w:lineRule="auto"/>
    </w:pPr>
    <w:rPr>
      <w:sz w:val="20"/>
      <w:szCs w:val="20"/>
    </w:rPr>
  </w:style>
  <w:style w:type="paragraph" w:customStyle="1" w:styleId="StyleHeading2BoxShadowedSinglesolidlineAuto3ptLin">
    <w:name w:val="Style Heading 2 + Box: (Shadowed Single solid line Auto  3 pt Lin..."/>
    <w:basedOn w:val="Heading2"/>
    <w:uiPriority w:val="99"/>
    <w:rsid w:val="00583AA8"/>
    <w:pPr>
      <w:pBdr>
        <w:top w:val="single" w:sz="24" w:space="1" w:color="auto" w:shadow="1"/>
        <w:left w:val="single" w:sz="24" w:space="4" w:color="auto" w:shadow="1"/>
        <w:bottom w:val="single" w:sz="24" w:space="1" w:color="auto" w:shadow="1"/>
        <w:right w:val="single" w:sz="24" w:space="4" w:color="auto" w:shadow="1"/>
      </w:pBdr>
      <w:shd w:val="clear" w:color="auto" w:fill="FFFF99"/>
      <w:spacing w:after="100" w:afterAutospacing="1"/>
    </w:pPr>
    <w:rPr>
      <w:rFonts w:ascii="Comic Sans MS" w:eastAsia="Times New Roman" w:hAnsi="Comic Sans MS"/>
      <w:bCs w:val="0"/>
      <w:iCs/>
    </w:rPr>
  </w:style>
  <w:style w:type="paragraph" w:customStyle="1" w:styleId="Style14ptBoldCenteredLinespacingsingle">
    <w:name w:val="Style 14 pt Bold Centered Line spacing:  single"/>
    <w:basedOn w:val="Normal"/>
    <w:uiPriority w:val="99"/>
    <w:rsid w:val="00583AA8"/>
    <w:pPr>
      <w:spacing w:line="240" w:lineRule="auto"/>
      <w:jc w:val="center"/>
    </w:pPr>
    <w:rPr>
      <w:b/>
      <w:bCs/>
      <w:sz w:val="24"/>
      <w:szCs w:val="24"/>
    </w:rPr>
  </w:style>
  <w:style w:type="character" w:customStyle="1" w:styleId="StyleBoldCenteredCharChar">
    <w:name w:val="Style Bold Centered Char Char"/>
    <w:link w:val="StyleBoldCenteredChar"/>
    <w:locked/>
    <w:rsid w:val="00583AA8"/>
    <w:rPr>
      <w:rFonts w:ascii="Arial" w:hAnsi="Arial" w:cs="Arial" w:hint="default"/>
      <w:b/>
      <w:bCs w:val="0"/>
    </w:rPr>
  </w:style>
  <w:style w:type="paragraph" w:customStyle="1" w:styleId="StyleBoldCenteredChar">
    <w:name w:val="Style Bold Centered Char"/>
    <w:basedOn w:val="Normal"/>
    <w:link w:val="StyleBoldCenteredCharChar"/>
    <w:rsid w:val="00583AA8"/>
    <w:pPr>
      <w:spacing w:before="40" w:after="40" w:line="240" w:lineRule="auto"/>
      <w:jc w:val="center"/>
    </w:pPr>
    <w:rPr>
      <w:b/>
      <w:bCs/>
      <w:sz w:val="20"/>
      <w:szCs w:val="20"/>
    </w:rPr>
  </w:style>
  <w:style w:type="character" w:customStyle="1" w:styleId="StyleCenteredBefore6ptAfterAutoLinespacingsingleCharChar">
    <w:name w:val="Style Centered Before:  6 pt After:  Auto Line spacing:  single Char Char"/>
    <w:link w:val="StyleCenteredBefore6ptAfterAutoLinespacingsingleChar"/>
    <w:locked/>
    <w:rsid w:val="00583AA8"/>
    <w:rPr>
      <w:rFonts w:ascii="Arial" w:hAnsi="Arial" w:cs="Arial" w:hint="default"/>
      <w:sz w:val="18"/>
    </w:rPr>
  </w:style>
  <w:style w:type="paragraph" w:customStyle="1" w:styleId="StyleCenteredBefore6ptAfterAutoLinespacingsingleChar">
    <w:name w:val="Style Centered Before:  6 pt After:  Auto Line spacing:  single Char"/>
    <w:basedOn w:val="Normal"/>
    <w:link w:val="StyleCenteredBefore6ptAfterAutoLinespacingsingleCharChar"/>
    <w:rsid w:val="00583AA8"/>
    <w:pPr>
      <w:spacing w:before="40" w:after="40" w:line="240" w:lineRule="auto"/>
      <w:jc w:val="center"/>
    </w:pPr>
    <w:rPr>
      <w:sz w:val="18"/>
      <w:szCs w:val="18"/>
    </w:rPr>
  </w:style>
  <w:style w:type="paragraph" w:customStyle="1" w:styleId="Style10ptBoldCentered">
    <w:name w:val="Style 10 pt Bold Centered"/>
    <w:basedOn w:val="Normal"/>
    <w:uiPriority w:val="99"/>
    <w:rsid w:val="00583AA8"/>
    <w:pPr>
      <w:spacing w:before="40" w:after="40" w:line="240" w:lineRule="auto"/>
      <w:jc w:val="center"/>
    </w:pPr>
    <w:rPr>
      <w:b/>
      <w:bCs/>
      <w:sz w:val="20"/>
      <w:szCs w:val="20"/>
    </w:rPr>
  </w:style>
  <w:style w:type="paragraph" w:customStyle="1" w:styleId="Style10ptCenteredLinespacingsingle">
    <w:name w:val="Style 10 pt Centered Line spacing:  single"/>
    <w:basedOn w:val="Normal"/>
    <w:uiPriority w:val="99"/>
    <w:rsid w:val="00583AA8"/>
    <w:pPr>
      <w:spacing w:before="40" w:after="40" w:line="240" w:lineRule="auto"/>
      <w:jc w:val="center"/>
    </w:pPr>
    <w:rPr>
      <w:sz w:val="20"/>
      <w:szCs w:val="20"/>
    </w:rPr>
  </w:style>
  <w:style w:type="character" w:customStyle="1" w:styleId="Style10ptLinespacingsingleCharChar">
    <w:name w:val="Style 10 pt Line spacing:  single Char Char"/>
    <w:link w:val="Style10ptLinespacingsingleChar"/>
    <w:locked/>
    <w:rsid w:val="00583AA8"/>
    <w:rPr>
      <w:rFonts w:ascii="Arial" w:hAnsi="Arial" w:cs="Arial" w:hint="default"/>
    </w:rPr>
  </w:style>
  <w:style w:type="paragraph" w:customStyle="1" w:styleId="Style10ptLinespacingsingleChar">
    <w:name w:val="Style 10 pt Line spacing:  single Char"/>
    <w:basedOn w:val="Normal"/>
    <w:link w:val="Style10ptLinespacingsingleCharChar"/>
    <w:rsid w:val="00583AA8"/>
    <w:pPr>
      <w:spacing w:before="40" w:after="40" w:line="240" w:lineRule="auto"/>
    </w:pPr>
    <w:rPr>
      <w:sz w:val="20"/>
      <w:szCs w:val="20"/>
    </w:rPr>
  </w:style>
  <w:style w:type="character" w:customStyle="1" w:styleId="Style10ptLeftChar">
    <w:name w:val="Style 10 pt Left Char"/>
    <w:link w:val="Style10ptLeft"/>
    <w:locked/>
    <w:rsid w:val="00583AA8"/>
    <w:rPr>
      <w:rFonts w:ascii="Arial" w:hAnsi="Arial" w:cs="Arial" w:hint="default"/>
      <w:sz w:val="24"/>
    </w:rPr>
  </w:style>
  <w:style w:type="paragraph" w:customStyle="1" w:styleId="Style10ptLeft">
    <w:name w:val="Style 10 pt Left"/>
    <w:basedOn w:val="Normal"/>
    <w:link w:val="Style10ptLeftChar"/>
    <w:rsid w:val="00583AA8"/>
    <w:pPr>
      <w:spacing w:before="20" w:after="20" w:line="240" w:lineRule="auto"/>
      <w:jc w:val="left"/>
    </w:pPr>
    <w:rPr>
      <w:sz w:val="24"/>
      <w:szCs w:val="24"/>
    </w:rPr>
  </w:style>
  <w:style w:type="paragraph" w:customStyle="1" w:styleId="Style9ptCentered">
    <w:name w:val="Style 9 pt Centered"/>
    <w:basedOn w:val="Normal"/>
    <w:uiPriority w:val="99"/>
    <w:rsid w:val="00583AA8"/>
    <w:pPr>
      <w:spacing w:before="20" w:after="20" w:line="240" w:lineRule="auto"/>
      <w:jc w:val="center"/>
    </w:pPr>
    <w:rPr>
      <w:sz w:val="20"/>
      <w:szCs w:val="20"/>
    </w:rPr>
  </w:style>
  <w:style w:type="character" w:customStyle="1" w:styleId="Style9ptCenteredLinespacingsingleCharChar">
    <w:name w:val="Style 9 pt Centered Line spacing:  single Char Char"/>
    <w:link w:val="Style9ptCenteredLinespacingsingleChar"/>
    <w:locked/>
    <w:rsid w:val="00583AA8"/>
    <w:rPr>
      <w:rFonts w:ascii="Arial" w:hAnsi="Arial" w:cs="Arial" w:hint="default"/>
    </w:rPr>
  </w:style>
  <w:style w:type="paragraph" w:customStyle="1" w:styleId="Style9ptCenteredLinespacingsingleChar">
    <w:name w:val="Style 9 pt Centered Line spacing:  single Char"/>
    <w:basedOn w:val="Normal"/>
    <w:link w:val="Style9ptCenteredLinespacingsingleCharChar"/>
    <w:rsid w:val="00583AA8"/>
    <w:pPr>
      <w:spacing w:after="100" w:afterAutospacing="1" w:line="240" w:lineRule="auto"/>
      <w:jc w:val="center"/>
    </w:pPr>
    <w:rPr>
      <w:sz w:val="20"/>
      <w:szCs w:val="20"/>
    </w:rPr>
  </w:style>
  <w:style w:type="paragraph" w:customStyle="1" w:styleId="StyleStyle10ptBoldCenteredLinespacingsingleBefore0">
    <w:name w:val="Style Style 10 pt Bold Centered Line spacing:  single + Before:  0 ..."/>
    <w:basedOn w:val="Style10ptBoldCenteredLinespacingsingleChar"/>
    <w:uiPriority w:val="99"/>
    <w:rsid w:val="00583AA8"/>
    <w:pPr>
      <w:keepNext/>
      <w:keepLines/>
      <w:widowControl/>
      <w:spacing w:before="0" w:after="0"/>
    </w:pPr>
  </w:style>
  <w:style w:type="paragraph" w:customStyle="1" w:styleId="StyleStyle9ptCenteredLeftBefore0ptAfter0pt">
    <w:name w:val="Style Style 9 pt Centered + Left Before:  0 pt After:  0 pt"/>
    <w:basedOn w:val="Style9ptCentered"/>
    <w:uiPriority w:val="99"/>
    <w:rsid w:val="00583AA8"/>
    <w:pPr>
      <w:spacing w:before="40" w:after="0"/>
      <w:jc w:val="left"/>
    </w:pPr>
  </w:style>
  <w:style w:type="paragraph" w:customStyle="1" w:styleId="Style10ptCentered">
    <w:name w:val="Style 10 pt Centered"/>
    <w:basedOn w:val="Normal"/>
    <w:uiPriority w:val="99"/>
    <w:rsid w:val="00583AA8"/>
    <w:pPr>
      <w:spacing w:after="100" w:afterAutospacing="1" w:line="240" w:lineRule="auto"/>
      <w:jc w:val="center"/>
    </w:pPr>
    <w:rPr>
      <w:sz w:val="20"/>
      <w:szCs w:val="20"/>
    </w:rPr>
  </w:style>
  <w:style w:type="paragraph" w:customStyle="1" w:styleId="StyleHeading314ptNotBoldCentered">
    <w:name w:val="Style Heading 3 + 14 pt Not Bold Centered"/>
    <w:basedOn w:val="Heading3"/>
    <w:uiPriority w:val="99"/>
    <w:rsid w:val="00583AA8"/>
    <w:pPr>
      <w:spacing w:line="240" w:lineRule="auto"/>
      <w:jc w:val="center"/>
    </w:pPr>
    <w:rPr>
      <w:rFonts w:eastAsia="Times New Roman"/>
      <w:color w:val="000000"/>
      <w:sz w:val="28"/>
    </w:rPr>
  </w:style>
  <w:style w:type="paragraph" w:customStyle="1" w:styleId="StyleHeading314ptNotBoldCentered1">
    <w:name w:val="Style Heading 3 + 14 pt Not Bold Centered1"/>
    <w:basedOn w:val="Heading3"/>
    <w:uiPriority w:val="99"/>
    <w:rsid w:val="00583AA8"/>
    <w:pPr>
      <w:spacing w:line="240" w:lineRule="auto"/>
      <w:jc w:val="center"/>
    </w:pPr>
    <w:rPr>
      <w:rFonts w:eastAsia="Times New Roman"/>
      <w:color w:val="000000"/>
      <w:sz w:val="28"/>
    </w:rPr>
  </w:style>
  <w:style w:type="paragraph" w:customStyle="1" w:styleId="StyleHeading314ptCenteredBefore0ptAfter0pt">
    <w:name w:val="Style Heading 3 + 14 pt Centered Before:  0 pt After:  0 pt"/>
    <w:basedOn w:val="Heading3"/>
    <w:uiPriority w:val="99"/>
    <w:rsid w:val="00583AA8"/>
    <w:pPr>
      <w:spacing w:line="240" w:lineRule="auto"/>
      <w:jc w:val="center"/>
    </w:pPr>
    <w:rPr>
      <w:rFonts w:eastAsia="Times New Roman"/>
      <w:bCs w:val="0"/>
      <w:color w:val="000000"/>
      <w:sz w:val="28"/>
    </w:rPr>
  </w:style>
  <w:style w:type="paragraph" w:customStyle="1" w:styleId="ESCiHeading1">
    <w:name w:val="ESCi Heading 1"/>
    <w:basedOn w:val="Heading1"/>
    <w:autoRedefine/>
    <w:uiPriority w:val="99"/>
    <w:rsid w:val="00583AA8"/>
    <w:pPr>
      <w:spacing w:before="600" w:after="360" w:line="360" w:lineRule="auto"/>
    </w:pPr>
    <w:rPr>
      <w:rFonts w:cs="Times New Roman"/>
      <w:bCs w:val="0"/>
      <w:caps/>
      <w:color w:val="800000"/>
      <w:kern w:val="28"/>
    </w:rPr>
  </w:style>
  <w:style w:type="character" w:customStyle="1" w:styleId="ESCiNormalParagraphCharChar">
    <w:name w:val="ESCi Normal Paragraph Char Char"/>
    <w:link w:val="ESCiNormalParagraphChar"/>
    <w:locked/>
    <w:rsid w:val="00583AA8"/>
    <w:rPr>
      <w:rFonts w:ascii="Arial" w:hAnsi="Arial" w:cs="Arial" w:hint="default"/>
      <w:color w:val="000000"/>
      <w:sz w:val="22"/>
    </w:rPr>
  </w:style>
  <w:style w:type="paragraph" w:customStyle="1" w:styleId="ESCiNormalParagraphChar">
    <w:name w:val="ESCi Normal Paragraph Char"/>
    <w:basedOn w:val="Normal"/>
    <w:link w:val="ESCiNormalParagraphCharChar"/>
    <w:qFormat/>
    <w:rsid w:val="00583AA8"/>
    <w:rPr>
      <w:color w:val="000000"/>
      <w:szCs w:val="20"/>
    </w:rPr>
  </w:style>
  <w:style w:type="character" w:customStyle="1" w:styleId="StyleESCiBulletBoldCharChar">
    <w:name w:val="Style ESCi Bullet + Bold Char Char"/>
    <w:link w:val="StyleESCiBulletBoldChar"/>
    <w:locked/>
    <w:rsid w:val="00583AA8"/>
    <w:rPr>
      <w:rFonts w:ascii="Arial" w:hAnsi="Arial" w:cs="Arial" w:hint="default"/>
      <w:b/>
      <w:bCs w:val="0"/>
      <w:color w:val="000000"/>
      <w:sz w:val="24"/>
    </w:rPr>
  </w:style>
  <w:style w:type="paragraph" w:customStyle="1" w:styleId="StyleESCiBulletBoldChar">
    <w:name w:val="Style ESCi Bullet + Bold Char"/>
    <w:basedOn w:val="ESCiBulletChar"/>
    <w:link w:val="StyleESCiBulletBoldCharChar"/>
    <w:rsid w:val="00583AA8"/>
    <w:rPr>
      <w:b/>
      <w:bCs/>
    </w:rPr>
  </w:style>
  <w:style w:type="paragraph" w:customStyle="1" w:styleId="ESCiHeading4">
    <w:name w:val="ESCi Heading 4"/>
    <w:basedOn w:val="Heading3"/>
    <w:uiPriority w:val="99"/>
    <w:rsid w:val="00583AA8"/>
    <w:pPr>
      <w:spacing w:before="360" w:line="240" w:lineRule="auto"/>
    </w:pPr>
    <w:rPr>
      <w:rFonts w:eastAsia="Times New Roman"/>
      <w:b w:val="0"/>
      <w:color w:val="000000"/>
    </w:rPr>
  </w:style>
  <w:style w:type="paragraph" w:customStyle="1" w:styleId="StyleHeading4Black">
    <w:name w:val="Style Heading 4 + Black"/>
    <w:basedOn w:val="Heading4"/>
    <w:autoRedefine/>
    <w:uiPriority w:val="99"/>
    <w:rsid w:val="00583AA8"/>
    <w:pPr>
      <w:pBdr>
        <w:top w:val="single" w:sz="18" w:space="1" w:color="auto" w:shadow="1"/>
        <w:left w:val="single" w:sz="18" w:space="4" w:color="auto" w:shadow="1"/>
        <w:bottom w:val="single" w:sz="18" w:space="1" w:color="auto" w:shadow="1"/>
        <w:right w:val="single" w:sz="18" w:space="4" w:color="auto" w:shadow="1"/>
      </w:pBdr>
      <w:shd w:val="clear" w:color="auto" w:fill="CCFFCC"/>
    </w:pPr>
    <w:rPr>
      <w:rFonts w:eastAsia="Times New Roman"/>
      <w:b/>
      <w:bCs w:val="0"/>
      <w:iCs w:val="0"/>
    </w:rPr>
  </w:style>
  <w:style w:type="paragraph" w:customStyle="1" w:styleId="Recommendationtext">
    <w:name w:val="Recommendation text"/>
    <w:basedOn w:val="Heading4"/>
    <w:uiPriority w:val="99"/>
    <w:rsid w:val="00583AA8"/>
    <w:pPr>
      <w:numPr>
        <w:numId w:val="1"/>
      </w:numPr>
      <w:pBdr>
        <w:top w:val="single" w:sz="18" w:space="1" w:color="auto" w:shadow="1"/>
        <w:left w:val="single" w:sz="18" w:space="4" w:color="auto" w:shadow="1"/>
        <w:bottom w:val="single" w:sz="18" w:space="1" w:color="auto" w:shadow="1"/>
        <w:right w:val="single" w:sz="18" w:space="4" w:color="auto" w:shadow="1"/>
      </w:pBdr>
      <w:shd w:val="clear" w:color="auto" w:fill="CCFFCC"/>
    </w:pPr>
    <w:rPr>
      <w:rFonts w:eastAsia="Times New Roman"/>
      <w:i w:val="0"/>
    </w:rPr>
  </w:style>
  <w:style w:type="paragraph" w:customStyle="1" w:styleId="StyleHeading3BlackJustified">
    <w:name w:val="Style Heading 3 + Black Justified"/>
    <w:basedOn w:val="Heading3"/>
    <w:autoRedefine/>
    <w:uiPriority w:val="99"/>
    <w:rsid w:val="00583AA8"/>
    <w:pPr>
      <w:spacing w:before="360" w:line="240" w:lineRule="auto"/>
    </w:pPr>
    <w:rPr>
      <w:rFonts w:eastAsia="Times New Roman"/>
      <w:bCs w:val="0"/>
      <w:color w:val="000000"/>
    </w:rPr>
  </w:style>
  <w:style w:type="paragraph" w:customStyle="1" w:styleId="StyleHeading4NotBoldNotItalicBlackJustifiedBottom">
    <w:name w:val="Style Heading 4 + Not Bold Not Italic Black Justified Bottom: (..."/>
    <w:basedOn w:val="Heading4"/>
    <w:autoRedefine/>
    <w:uiPriority w:val="99"/>
    <w:rsid w:val="00583AA8"/>
    <w:pPr>
      <w:pBdr>
        <w:top w:val="single" w:sz="18" w:space="1" w:color="auto" w:shadow="1"/>
        <w:left w:val="single" w:sz="18" w:space="4" w:color="auto" w:shadow="1"/>
        <w:bottom w:val="single" w:sz="18" w:space="0" w:color="auto" w:shadow="1"/>
        <w:right w:val="single" w:sz="18" w:space="4" w:color="auto" w:shadow="1"/>
      </w:pBdr>
      <w:shd w:val="clear" w:color="auto" w:fill="CCFFCC"/>
    </w:pPr>
    <w:rPr>
      <w:rFonts w:eastAsia="Times New Roman"/>
      <w:i w:val="0"/>
    </w:rPr>
  </w:style>
  <w:style w:type="paragraph" w:customStyle="1" w:styleId="StyleStyleHeading4Black11pt">
    <w:name w:val="Style Style Heading 4 + Black + 11 pt"/>
    <w:basedOn w:val="StyleHeading4Black"/>
    <w:autoRedefine/>
    <w:uiPriority w:val="99"/>
    <w:rsid w:val="00583AA8"/>
  </w:style>
  <w:style w:type="paragraph" w:customStyle="1" w:styleId="StyleHeading4BlackBottomShadowedSinglesolidlineAuto">
    <w:name w:val="Style Heading 4 + Black Bottom: (Shadowed Single solid line Auto..."/>
    <w:basedOn w:val="Heading4"/>
    <w:autoRedefine/>
    <w:uiPriority w:val="99"/>
    <w:rsid w:val="00583AA8"/>
    <w:pPr>
      <w:pBdr>
        <w:top w:val="single" w:sz="18" w:space="1" w:color="auto" w:shadow="1"/>
        <w:left w:val="single" w:sz="18" w:space="4" w:color="auto" w:shadow="1"/>
        <w:bottom w:val="single" w:sz="18" w:space="0" w:color="auto" w:shadow="1"/>
        <w:right w:val="single" w:sz="18" w:space="4" w:color="auto" w:shadow="1"/>
      </w:pBdr>
      <w:shd w:val="clear" w:color="auto" w:fill="CCFFCC"/>
    </w:pPr>
    <w:rPr>
      <w:rFonts w:eastAsia="Times New Roman"/>
      <w:b/>
      <w:bCs w:val="0"/>
      <w:iCs w:val="0"/>
    </w:rPr>
  </w:style>
  <w:style w:type="paragraph" w:customStyle="1" w:styleId="StyleHeading411ptNotBoldNotItalicBlackJustifiedAf">
    <w:name w:val="Style Heading 4 + 11 pt Not Bold Not Italic Black Justified Af..."/>
    <w:basedOn w:val="Heading4"/>
    <w:autoRedefine/>
    <w:uiPriority w:val="99"/>
    <w:rsid w:val="00583AA8"/>
    <w:pPr>
      <w:numPr>
        <w:numId w:val="2"/>
      </w:numPr>
      <w:pBdr>
        <w:top w:val="single" w:sz="18" w:space="1" w:color="auto" w:shadow="1"/>
        <w:left w:val="single" w:sz="18" w:space="4" w:color="auto" w:shadow="1"/>
        <w:bottom w:val="single" w:sz="18" w:space="1" w:color="auto" w:shadow="1"/>
        <w:right w:val="single" w:sz="18" w:space="4" w:color="auto" w:shadow="1"/>
      </w:pBdr>
      <w:shd w:val="clear" w:color="auto" w:fill="CCFFCC"/>
    </w:pPr>
    <w:rPr>
      <w:rFonts w:eastAsia="Times New Roman"/>
      <w:i w:val="0"/>
    </w:rPr>
  </w:style>
  <w:style w:type="paragraph" w:customStyle="1" w:styleId="StyleStyleHeading411ptNotBoldNotItalicBlackJustifiedA">
    <w:name w:val="Style Style Heading 4 + 11 pt Not Bold Not Italic Black Justified A..."/>
    <w:basedOn w:val="StyleHeading411ptNotBoldNotItalicBlackJustifiedAf"/>
    <w:uiPriority w:val="99"/>
    <w:rsid w:val="00583AA8"/>
    <w:pPr>
      <w:pBdr>
        <w:top w:val="none" w:sz="0" w:space="0" w:color="auto"/>
        <w:left w:val="none" w:sz="0" w:space="0" w:color="auto"/>
        <w:bottom w:val="none" w:sz="0" w:space="0" w:color="auto"/>
        <w:right w:val="none" w:sz="0" w:space="0" w:color="auto"/>
      </w:pBdr>
      <w:tabs>
        <w:tab w:val="num" w:pos="288"/>
      </w:tabs>
      <w:ind w:left="288" w:hanging="288"/>
    </w:pPr>
  </w:style>
  <w:style w:type="paragraph" w:customStyle="1" w:styleId="StyleStyleHeading4BlackBoxSinglesolidlineAuto15">
    <w:name w:val="Style Style Heading 4 + Black + Box: (Single solid line Auto  1.5..."/>
    <w:basedOn w:val="StyleHeading4Black"/>
    <w:uiPriority w:val="99"/>
    <w:rsid w:val="00583AA8"/>
    <w:pPr>
      <w:pBdr>
        <w:top w:val="single" w:sz="12" w:space="1" w:color="auto"/>
        <w:left w:val="single" w:sz="12" w:space="4" w:color="auto"/>
        <w:bottom w:val="single" w:sz="12" w:space="1" w:color="auto"/>
        <w:right w:val="single" w:sz="12" w:space="4" w:color="auto"/>
      </w:pBdr>
    </w:pPr>
  </w:style>
  <w:style w:type="paragraph" w:customStyle="1" w:styleId="Style9ptLinespacingsingle">
    <w:name w:val="Style 9 pt Line spacing:  single"/>
    <w:basedOn w:val="Normal"/>
    <w:uiPriority w:val="99"/>
    <w:rsid w:val="00583AA8"/>
    <w:pPr>
      <w:spacing w:before="40" w:after="40" w:line="240" w:lineRule="auto"/>
    </w:pPr>
    <w:rPr>
      <w:sz w:val="20"/>
      <w:szCs w:val="18"/>
    </w:rPr>
  </w:style>
  <w:style w:type="character" w:customStyle="1" w:styleId="StyleESCiNormalParagraphSwissRoman12ptChar">
    <w:name w:val="Style ESCi Normal Paragraph + Swiss Roman 12pt Char"/>
    <w:basedOn w:val="ESCiNormalParagraphCharChar"/>
    <w:link w:val="StyleESCiNormalParagraphSwissRoman12pt"/>
    <w:locked/>
    <w:rsid w:val="00583AA8"/>
    <w:rPr>
      <w:rFonts w:ascii="Arial" w:hAnsi="Arial" w:cs="Times New Roman" w:hint="default"/>
      <w:color w:val="000000"/>
      <w:sz w:val="22"/>
    </w:rPr>
  </w:style>
  <w:style w:type="paragraph" w:customStyle="1" w:styleId="StyleESCiNormalParagraphSwissRoman12pt">
    <w:name w:val="Style ESCi Normal Paragraph + Swiss Roman 12pt"/>
    <w:basedOn w:val="ESCiNormalParagraphChar"/>
    <w:link w:val="StyleESCiNormalParagraphSwissRoman12ptChar"/>
    <w:autoRedefine/>
    <w:rsid w:val="00583AA8"/>
  </w:style>
  <w:style w:type="paragraph" w:customStyle="1" w:styleId="StyleCaptionBlack">
    <w:name w:val="Style Caption + Black"/>
    <w:basedOn w:val="Normal"/>
    <w:uiPriority w:val="99"/>
    <w:rsid w:val="00583AA8"/>
    <w:pPr>
      <w:spacing w:before="240" w:after="120"/>
    </w:pPr>
    <w:rPr>
      <w:color w:val="000000"/>
    </w:rPr>
  </w:style>
  <w:style w:type="paragraph" w:customStyle="1" w:styleId="ESCiBullet">
    <w:name w:val="ESCi Bullet"/>
    <w:basedOn w:val="Normal"/>
    <w:autoRedefine/>
    <w:uiPriority w:val="99"/>
    <w:rsid w:val="00583AA8"/>
    <w:pPr>
      <w:tabs>
        <w:tab w:val="num" w:pos="360"/>
      </w:tabs>
      <w:spacing w:after="240" w:line="240" w:lineRule="auto"/>
      <w:ind w:left="720" w:hanging="360"/>
    </w:pPr>
    <w:rPr>
      <w:color w:val="000000"/>
      <w:szCs w:val="24"/>
    </w:rPr>
  </w:style>
  <w:style w:type="character" w:customStyle="1" w:styleId="ESCiNormalParagraphChar1">
    <w:name w:val="ESCi Normal Paragraph Char1"/>
    <w:link w:val="ESCiNormalParagraph"/>
    <w:locked/>
    <w:rsid w:val="00750710"/>
    <w:rPr>
      <w:rFonts w:asciiTheme="majorHAnsi" w:hAnsiTheme="majorHAnsi"/>
      <w:color w:val="000000"/>
      <w:sz w:val="22"/>
    </w:rPr>
  </w:style>
  <w:style w:type="paragraph" w:customStyle="1" w:styleId="ESCiNormalParagraph">
    <w:name w:val="ESCi Normal Paragraph"/>
    <w:basedOn w:val="Normal"/>
    <w:link w:val="ESCiNormalParagraphChar1"/>
    <w:rsid w:val="00750710"/>
    <w:rPr>
      <w:rFonts w:asciiTheme="majorHAnsi" w:hAnsiTheme="majorHAnsi"/>
      <w:color w:val="000000"/>
      <w:szCs w:val="20"/>
    </w:rPr>
  </w:style>
  <w:style w:type="paragraph" w:customStyle="1" w:styleId="StyleESCiBulletBold">
    <w:name w:val="Style ESCi Bullet + Bold"/>
    <w:basedOn w:val="ESCiBullet"/>
    <w:uiPriority w:val="99"/>
    <w:rsid w:val="00583AA8"/>
    <w:rPr>
      <w:b/>
      <w:bCs/>
    </w:rPr>
  </w:style>
  <w:style w:type="paragraph" w:customStyle="1" w:styleId="StyleStyleStyleHeading411ptNotBoldNotItalicBlackJusti">
    <w:name w:val="Style Style Style Heading 4 + 11 pt Not Bold Not Italic Black Justi..."/>
    <w:basedOn w:val="StyleStyleHeading411ptNotBoldNotItalicBlackJustifiedA"/>
    <w:uiPriority w:val="99"/>
    <w:rsid w:val="00583AA8"/>
    <w:pPr>
      <w:pBdr>
        <w:top w:val="single" w:sz="12" w:space="1" w:color="auto"/>
        <w:left w:val="single" w:sz="12" w:space="1" w:color="auto"/>
        <w:bottom w:val="single" w:sz="12" w:space="1" w:color="auto"/>
        <w:right w:val="single" w:sz="12" w:space="1" w:color="auto"/>
      </w:pBdr>
    </w:pPr>
    <w:rPr>
      <w:szCs w:val="20"/>
    </w:rPr>
  </w:style>
  <w:style w:type="paragraph" w:customStyle="1" w:styleId="Style10ptBlackAfter2pt">
    <w:name w:val="Style 10 pt Black After:  2 pt"/>
    <w:basedOn w:val="Normal"/>
    <w:autoRedefine/>
    <w:uiPriority w:val="99"/>
    <w:rsid w:val="00583AA8"/>
    <w:pPr>
      <w:spacing w:after="40" w:line="240" w:lineRule="auto"/>
    </w:pPr>
    <w:rPr>
      <w:sz w:val="20"/>
      <w:szCs w:val="20"/>
    </w:rPr>
  </w:style>
  <w:style w:type="paragraph" w:customStyle="1" w:styleId="StyleComicSansMS10ptCenteredLinespacingsingle">
    <w:name w:val="Style Comic Sans MS 10 pt Centered Line spacing:  single"/>
    <w:basedOn w:val="Normal"/>
    <w:uiPriority w:val="99"/>
    <w:rsid w:val="00583AA8"/>
    <w:pPr>
      <w:spacing w:line="240" w:lineRule="auto"/>
      <w:jc w:val="center"/>
    </w:pPr>
    <w:rPr>
      <w:rFonts w:ascii="Comic Sans MS" w:hAnsi="Comic Sans MS"/>
      <w:sz w:val="20"/>
      <w:szCs w:val="20"/>
    </w:rPr>
  </w:style>
  <w:style w:type="paragraph" w:customStyle="1" w:styleId="StyleStyleComicSansMS10ptCenteredLinespacingsingle11">
    <w:name w:val="Style Style Comic Sans MS 10 pt Centered Line spacing:  single + 11..."/>
    <w:basedOn w:val="StyleComicSansMS10ptCenteredLinespacingsingle"/>
    <w:uiPriority w:val="99"/>
    <w:rsid w:val="00583AA8"/>
    <w:rPr>
      <w:bCs/>
      <w:iCs/>
      <w:color w:val="000000"/>
    </w:rPr>
  </w:style>
  <w:style w:type="paragraph" w:customStyle="1" w:styleId="BulletComments">
    <w:name w:val="Bullet Comments"/>
    <w:basedOn w:val="Normal"/>
    <w:uiPriority w:val="99"/>
    <w:rsid w:val="00583AA8"/>
    <w:pPr>
      <w:numPr>
        <w:numId w:val="3"/>
      </w:numPr>
      <w:spacing w:line="240" w:lineRule="auto"/>
    </w:pPr>
    <w:rPr>
      <w:sz w:val="24"/>
      <w:szCs w:val="20"/>
    </w:rPr>
  </w:style>
  <w:style w:type="paragraph" w:customStyle="1" w:styleId="Style10ptBoldCenteredLinespacingsingle">
    <w:name w:val="Style 10 pt Bold Centered Line spacing:  single"/>
    <w:basedOn w:val="Normal"/>
    <w:uiPriority w:val="99"/>
    <w:rsid w:val="00583AA8"/>
    <w:pPr>
      <w:spacing w:before="40" w:after="40" w:line="240" w:lineRule="auto"/>
      <w:jc w:val="center"/>
    </w:pPr>
    <w:rPr>
      <w:b/>
      <w:bCs/>
      <w:sz w:val="18"/>
      <w:szCs w:val="18"/>
    </w:rPr>
  </w:style>
  <w:style w:type="paragraph" w:customStyle="1" w:styleId="Style9ptCenteredLinespacingsingle">
    <w:name w:val="Style 9 pt Centered Line spacing:  single"/>
    <w:basedOn w:val="Normal"/>
    <w:uiPriority w:val="99"/>
    <w:rsid w:val="00583AA8"/>
    <w:pPr>
      <w:spacing w:before="20" w:after="20" w:line="240" w:lineRule="auto"/>
      <w:jc w:val="center"/>
    </w:pPr>
    <w:rPr>
      <w:sz w:val="20"/>
      <w:szCs w:val="20"/>
    </w:rPr>
  </w:style>
  <w:style w:type="paragraph" w:customStyle="1" w:styleId="Style10ptLeftFirstline05Linespacingsingle1">
    <w:name w:val="Style 10 pt Left First line:  0.5&quot; Line spacing:  single1"/>
    <w:basedOn w:val="Normal"/>
    <w:uiPriority w:val="99"/>
    <w:rsid w:val="00583AA8"/>
    <w:pPr>
      <w:spacing w:before="40" w:after="80" w:line="240" w:lineRule="auto"/>
      <w:ind w:firstLine="360"/>
      <w:contextualSpacing/>
      <w:jc w:val="left"/>
    </w:pPr>
    <w:rPr>
      <w:sz w:val="20"/>
      <w:szCs w:val="20"/>
    </w:rPr>
  </w:style>
  <w:style w:type="character" w:customStyle="1" w:styleId="Style4Char">
    <w:name w:val="Style4 Char"/>
    <w:link w:val="Style4"/>
    <w:locked/>
    <w:rsid w:val="00583AA8"/>
    <w:rPr>
      <w:rFonts w:ascii="Calibri" w:hAnsi="Calibri"/>
      <w:lang w:eastAsia="ja-JP"/>
    </w:rPr>
  </w:style>
  <w:style w:type="paragraph" w:customStyle="1" w:styleId="Style4">
    <w:name w:val="Style4"/>
    <w:basedOn w:val="Normal"/>
    <w:link w:val="Style4Char"/>
    <w:rsid w:val="00583AA8"/>
    <w:pPr>
      <w:numPr>
        <w:numId w:val="4"/>
      </w:numPr>
      <w:spacing w:after="120" w:line="240" w:lineRule="auto"/>
    </w:pPr>
  </w:style>
  <w:style w:type="paragraph" w:customStyle="1" w:styleId="StyleHeading3Char1Before0ptAfter0pt">
    <w:name w:val="Style Heading 3Char1 + Before:  0 pt After:  0 pt"/>
    <w:basedOn w:val="Heading3"/>
    <w:uiPriority w:val="99"/>
    <w:rsid w:val="00583AA8"/>
    <w:rPr>
      <w:rFonts w:eastAsia="Times New Roman"/>
      <w:szCs w:val="20"/>
    </w:rPr>
  </w:style>
  <w:style w:type="character" w:customStyle="1" w:styleId="Style3Char">
    <w:name w:val="Style3 Char"/>
    <w:link w:val="Style3"/>
    <w:locked/>
    <w:rsid w:val="00583AA8"/>
    <w:rPr>
      <w:rFonts w:ascii="Arial" w:hAnsi="Arial"/>
    </w:rPr>
  </w:style>
  <w:style w:type="paragraph" w:customStyle="1" w:styleId="Style3">
    <w:name w:val="Style3"/>
    <w:link w:val="Style3Char"/>
    <w:qFormat/>
    <w:rsid w:val="00583AA8"/>
    <w:pPr>
      <w:numPr>
        <w:numId w:val="5"/>
      </w:numPr>
      <w:tabs>
        <w:tab w:val="num" w:pos="660"/>
      </w:tabs>
      <w:spacing w:after="240"/>
      <w:ind w:left="662"/>
      <w:jc w:val="both"/>
    </w:pPr>
    <w:rPr>
      <w:rFonts w:ascii="Arial" w:hAnsi="Arial"/>
    </w:rPr>
  </w:style>
  <w:style w:type="character" w:customStyle="1" w:styleId="FigureHeadingChar">
    <w:name w:val="Figure Heading Char"/>
    <w:link w:val="FigureHeading"/>
    <w:locked/>
    <w:rsid w:val="00583AA8"/>
    <w:rPr>
      <w:rFonts w:ascii="Arial" w:hAnsi="Arial" w:cs="Arial" w:hint="default"/>
      <w:b/>
      <w:bCs w:val="0"/>
      <w:lang w:val="en-US" w:eastAsia="en-US"/>
    </w:rPr>
  </w:style>
  <w:style w:type="paragraph" w:customStyle="1" w:styleId="FigureHeading">
    <w:name w:val="Figure Heading"/>
    <w:basedOn w:val="Normal"/>
    <w:link w:val="FigureHeadingChar"/>
    <w:autoRedefine/>
    <w:rsid w:val="00583AA8"/>
    <w:pPr>
      <w:keepNext/>
      <w:keepLines/>
      <w:spacing w:before="40" w:after="40" w:line="240" w:lineRule="auto"/>
      <w:jc w:val="center"/>
    </w:pPr>
    <w:rPr>
      <w:b/>
      <w:sz w:val="20"/>
      <w:szCs w:val="20"/>
    </w:rPr>
  </w:style>
  <w:style w:type="paragraph" w:customStyle="1" w:styleId="StyleBoldUnderlineBefore6pt">
    <w:name w:val="Style Bold Underline Before:  6 pt"/>
    <w:basedOn w:val="Normal"/>
    <w:uiPriority w:val="99"/>
    <w:rsid w:val="00583AA8"/>
    <w:rPr>
      <w:b/>
      <w:bCs/>
      <w:szCs w:val="20"/>
      <w:u w:val="single"/>
    </w:rPr>
  </w:style>
  <w:style w:type="paragraph" w:customStyle="1" w:styleId="Style16ptBoldCenteredBoxShadowedSinglesolidlineAuto">
    <w:name w:val="Style 16 pt Bold Centered Box: (Shadowed Single solid line Auto..."/>
    <w:basedOn w:val="Normal"/>
    <w:uiPriority w:val="99"/>
    <w:rsid w:val="00583AA8"/>
    <w:pPr>
      <w:pBdr>
        <w:top w:val="single" w:sz="8" w:space="1" w:color="auto" w:shadow="1"/>
        <w:left w:val="single" w:sz="8" w:space="4" w:color="auto" w:shadow="1"/>
        <w:bottom w:val="single" w:sz="8" w:space="1" w:color="auto" w:shadow="1"/>
        <w:right w:val="single" w:sz="8" w:space="4" w:color="auto" w:shadow="1"/>
      </w:pBdr>
      <w:shd w:val="clear" w:color="auto" w:fill="C6D9F1"/>
      <w:jc w:val="center"/>
    </w:pPr>
    <w:rPr>
      <w:b/>
      <w:bCs/>
      <w:sz w:val="32"/>
      <w:szCs w:val="20"/>
    </w:rPr>
  </w:style>
  <w:style w:type="paragraph" w:customStyle="1" w:styleId="StyleAfter6ptTopShadowedDoublesolidlinesAuto075">
    <w:name w:val="Style After:  6 pt Top: (Shadowed Double solid lines Auto  0.75 ..."/>
    <w:basedOn w:val="Normal"/>
    <w:uiPriority w:val="99"/>
    <w:rsid w:val="00583AA8"/>
    <w:pPr>
      <w:pBdr>
        <w:top w:val="double" w:sz="6" w:space="0" w:color="auto" w:shadow="1"/>
        <w:left w:val="double" w:sz="6" w:space="4" w:color="auto" w:shadow="1"/>
        <w:bottom w:val="double" w:sz="6" w:space="7" w:color="auto" w:shadow="1"/>
        <w:right w:val="double" w:sz="6" w:space="4" w:color="auto" w:shadow="1"/>
      </w:pBdr>
      <w:shd w:val="clear" w:color="auto" w:fill="FFFF99"/>
      <w:spacing w:line="240" w:lineRule="auto"/>
    </w:pPr>
    <w:rPr>
      <w:szCs w:val="20"/>
    </w:rPr>
  </w:style>
  <w:style w:type="paragraph" w:customStyle="1" w:styleId="StyleCaptionCentered3">
    <w:name w:val="Style Caption + Centered3"/>
    <w:basedOn w:val="Normal"/>
    <w:uiPriority w:val="99"/>
    <w:rsid w:val="00583AA8"/>
  </w:style>
  <w:style w:type="paragraph" w:customStyle="1" w:styleId="StyleStyleComicSansMS10ptCenteredLinespacingsingleBo">
    <w:name w:val="Style Style Comic Sans MS 10 pt Centered Line spacing:  single + Bo..."/>
    <w:basedOn w:val="StyleComicSansMS10ptCenteredLinespacingsingle"/>
    <w:uiPriority w:val="99"/>
    <w:rsid w:val="00583AA8"/>
    <w:rPr>
      <w:rFonts w:ascii="Arial" w:hAnsi="Arial"/>
      <w:bCs/>
    </w:rPr>
  </w:style>
  <w:style w:type="paragraph" w:customStyle="1" w:styleId="StyleHeading8Arial11ptBoldNotItalic">
    <w:name w:val="Style Heading 8 + Arial 11 pt Bold Not Italic"/>
    <w:basedOn w:val="Heading8"/>
    <w:uiPriority w:val="99"/>
    <w:rsid w:val="00583AA8"/>
    <w:pPr>
      <w:spacing w:before="0"/>
    </w:pPr>
    <w:rPr>
      <w:rFonts w:ascii="Arial" w:hAnsi="Arial" w:cs="Arial"/>
      <w:b/>
      <w:bCs/>
      <w:i/>
      <w:iCs/>
      <w:sz w:val="22"/>
      <w:szCs w:val="22"/>
    </w:rPr>
  </w:style>
  <w:style w:type="paragraph" w:customStyle="1" w:styleId="Kudos">
    <w:name w:val="Kudos"/>
    <w:basedOn w:val="Normal"/>
    <w:next w:val="Normal"/>
    <w:qFormat/>
    <w:rsid w:val="00583AA8"/>
    <w:pPr>
      <w:spacing w:line="240" w:lineRule="auto"/>
    </w:pPr>
    <w:rPr>
      <w:i/>
      <w:sz w:val="20"/>
      <w:szCs w:val="20"/>
    </w:rPr>
  </w:style>
  <w:style w:type="paragraph" w:customStyle="1" w:styleId="Default">
    <w:name w:val="Default"/>
    <w:rsid w:val="00583AA8"/>
    <w:pPr>
      <w:widowControl w:val="0"/>
      <w:autoSpaceDE w:val="0"/>
      <w:autoSpaceDN w:val="0"/>
      <w:adjustRightInd w:val="0"/>
    </w:pPr>
    <w:rPr>
      <w:rFonts w:ascii="Arial" w:hAnsi="Arial" w:cs="Arial"/>
      <w:color w:val="000000"/>
      <w:sz w:val="24"/>
      <w:szCs w:val="24"/>
    </w:rPr>
  </w:style>
  <w:style w:type="paragraph" w:customStyle="1" w:styleId="ESCIREPORTBODY">
    <w:name w:val="ESCI REPORT BODY"/>
    <w:basedOn w:val="Normal"/>
    <w:rsid w:val="00583AA8"/>
    <w:pPr>
      <w:spacing w:after="240"/>
    </w:pPr>
    <w:rPr>
      <w:rFonts w:eastAsia="Calibri"/>
    </w:rPr>
  </w:style>
  <w:style w:type="paragraph" w:customStyle="1" w:styleId="FootnoteText2">
    <w:name w:val="Footnote Text2"/>
    <w:aliases w:val="Char211,Char2 Char Char Char Char1,Char2 Char Char11,Char2 Char21,Char22,Char2111,Char2 Char Char Char Char11,Char2 Char Char111,Char2 Char211,Char221"/>
    <w:basedOn w:val="Normal"/>
    <w:uiPriority w:val="99"/>
    <w:rsid w:val="00583AA8"/>
  </w:style>
  <w:style w:type="character" w:styleId="FootnoteReference">
    <w:name w:val="footnote reference"/>
    <w:aliases w:val="ESCI Footnote Reference"/>
    <w:basedOn w:val="DefaultParagraphFont"/>
    <w:uiPriority w:val="99"/>
    <w:rsid w:val="00006BF1"/>
    <w:rPr>
      <w:rFonts w:cs="Arial"/>
      <w:sz w:val="20"/>
      <w:vertAlign w:val="superscript"/>
    </w:rPr>
  </w:style>
  <w:style w:type="character" w:styleId="CommentReference">
    <w:name w:val="annotation reference"/>
    <w:basedOn w:val="DefaultParagraphFont"/>
    <w:uiPriority w:val="99"/>
    <w:locked/>
    <w:rsid w:val="00583AA8"/>
    <w:rPr>
      <w:rFonts w:ascii="Arial" w:hAnsi="Arial" w:cs="Arial" w:hint="default"/>
      <w:i/>
      <w:iCs w:val="0"/>
      <w:sz w:val="20"/>
      <w:szCs w:val="18"/>
    </w:rPr>
  </w:style>
  <w:style w:type="character" w:styleId="PageNumber">
    <w:name w:val="page number"/>
    <w:basedOn w:val="DefaultParagraphFont"/>
    <w:uiPriority w:val="99"/>
    <w:locked/>
    <w:rsid w:val="00583AA8"/>
  </w:style>
  <w:style w:type="character" w:styleId="EndnoteReference">
    <w:name w:val="endnote reference"/>
    <w:basedOn w:val="DefaultParagraphFont"/>
    <w:uiPriority w:val="99"/>
    <w:locked/>
    <w:rsid w:val="00583AA8"/>
    <w:rPr>
      <w:vertAlign w:val="superscript"/>
    </w:rPr>
  </w:style>
  <w:style w:type="character" w:customStyle="1" w:styleId="FootnoteTextChar2">
    <w:name w:val="Footnote Text Char2"/>
    <w:aliases w:val="Char2 Char3,Footnote Text Char1,Char2 Char Char Char1,Char2 Char Char Char Char Char1,Footnote Text Char2 Char1,Char21 Char1 Char1,Char2 Char Char1 Char1,Char2 Char2 Char1,Char2 Char1 Char1,Char21 Char2"/>
    <w:rsid w:val="00583AA8"/>
    <w:rPr>
      <w:rFonts w:ascii="Arial" w:hAnsi="Arial" w:cs="Arial" w:hint="default"/>
      <w:sz w:val="18"/>
      <w:lang w:val="en-US" w:eastAsia="en-US"/>
    </w:rPr>
  </w:style>
  <w:style w:type="character" w:customStyle="1" w:styleId="Style8pt">
    <w:name w:val="Style 8 pt"/>
    <w:rsid w:val="00583AA8"/>
    <w:rPr>
      <w:sz w:val="22"/>
    </w:rPr>
  </w:style>
  <w:style w:type="character" w:customStyle="1" w:styleId="CharChar1">
    <w:name w:val="Char Char1"/>
    <w:aliases w:val="Caption Char1,Char Char Char"/>
    <w:rsid w:val="00583AA8"/>
    <w:rPr>
      <w:rFonts w:ascii="Arial" w:hAnsi="Arial" w:cs="Arial" w:hint="default"/>
      <w:lang w:val="en-US" w:eastAsia="en-US"/>
    </w:rPr>
  </w:style>
  <w:style w:type="character" w:customStyle="1" w:styleId="CharChar11">
    <w:name w:val="Char Char11"/>
    <w:rsid w:val="00583AA8"/>
    <w:rPr>
      <w:rFonts w:ascii="Arial" w:hAnsi="Arial" w:cs="Arial" w:hint="default"/>
      <w:b/>
      <w:bCs w:val="0"/>
      <w:sz w:val="24"/>
      <w:lang w:val="en-US" w:eastAsia="en-US"/>
    </w:rPr>
  </w:style>
  <w:style w:type="character" w:customStyle="1" w:styleId="CharChar2">
    <w:name w:val="Char Char2"/>
    <w:rsid w:val="00583AA8"/>
    <w:rPr>
      <w:rFonts w:ascii="Arial" w:hAnsi="Arial" w:cs="Arial" w:hint="default"/>
      <w:b/>
      <w:bCs w:val="0"/>
      <w:sz w:val="24"/>
      <w:lang w:val="en-US" w:eastAsia="en-US"/>
    </w:rPr>
  </w:style>
  <w:style w:type="character" w:customStyle="1" w:styleId="EmailStyle1061">
    <w:name w:val="EmailStyle1061"/>
    <w:semiHidden/>
    <w:rsid w:val="00583AA8"/>
    <w:rPr>
      <w:rFonts w:ascii="Arial" w:hAnsi="Arial" w:cs="Arial" w:hint="default"/>
      <w:color w:val="auto"/>
      <w:sz w:val="20"/>
    </w:rPr>
  </w:style>
  <w:style w:type="character" w:customStyle="1" w:styleId="StyleBoldItalicPinkAllcaps">
    <w:name w:val="Style Bold Italic Pink All caps"/>
    <w:rsid w:val="00583AA8"/>
    <w:rPr>
      <w:b/>
      <w:bCs w:val="0"/>
      <w:i/>
      <w:iCs w:val="0"/>
      <w:color w:val="auto"/>
    </w:rPr>
  </w:style>
  <w:style w:type="character" w:customStyle="1" w:styleId="StyleBoldItalicRedAllcaps">
    <w:name w:val="Style Bold Italic Red All caps"/>
    <w:rsid w:val="00583AA8"/>
    <w:rPr>
      <w:b/>
      <w:bCs w:val="0"/>
      <w:i/>
      <w:iCs w:val="0"/>
      <w:color w:val="auto"/>
    </w:rPr>
  </w:style>
  <w:style w:type="character" w:customStyle="1" w:styleId="Style10pt">
    <w:name w:val="Style 10 pt"/>
    <w:rsid w:val="00583AA8"/>
    <w:rPr>
      <w:rFonts w:ascii="Arial" w:hAnsi="Arial" w:cs="Arial" w:hint="default"/>
      <w:sz w:val="22"/>
    </w:rPr>
  </w:style>
  <w:style w:type="character" w:customStyle="1" w:styleId="StyleTimes">
    <w:name w:val="Style Times"/>
    <w:rsid w:val="00583AA8"/>
    <w:rPr>
      <w:rFonts w:ascii="Arial" w:hAnsi="Arial" w:cs="Arial" w:hint="default"/>
    </w:rPr>
  </w:style>
  <w:style w:type="character" w:customStyle="1" w:styleId="Style10ptLeftChar1">
    <w:name w:val="Style 10 pt Left Char1"/>
    <w:rsid w:val="00583AA8"/>
    <w:rPr>
      <w:rFonts w:ascii="Arial" w:hAnsi="Arial" w:cs="Arial" w:hint="default"/>
      <w:lang w:val="en-US" w:eastAsia="en-US"/>
    </w:rPr>
  </w:style>
  <w:style w:type="character" w:customStyle="1" w:styleId="Style10ptLeftChar2">
    <w:name w:val="Style 10 pt Left Char2"/>
    <w:rsid w:val="00583AA8"/>
    <w:rPr>
      <w:rFonts w:ascii="Arial" w:hAnsi="Arial" w:cs="Arial" w:hint="default"/>
      <w:sz w:val="24"/>
      <w:lang w:val="en-US" w:eastAsia="en-US"/>
    </w:rPr>
  </w:style>
  <w:style w:type="character" w:customStyle="1" w:styleId="Style10ptBlack">
    <w:name w:val="Style 10 pt Black"/>
    <w:uiPriority w:val="99"/>
    <w:rsid w:val="00583AA8"/>
    <w:rPr>
      <w:color w:val="auto"/>
      <w:sz w:val="20"/>
    </w:rPr>
  </w:style>
  <w:style w:type="character" w:customStyle="1" w:styleId="Char1CharChar">
    <w:name w:val="Char1 Char Char"/>
    <w:rsid w:val="00583AA8"/>
    <w:rPr>
      <w:rFonts w:ascii="Arial" w:hAnsi="Arial" w:cs="Arial" w:hint="default"/>
      <w:b/>
      <w:bCs w:val="0"/>
      <w:sz w:val="22"/>
      <w:u w:val="single"/>
      <w:lang w:val="en-US" w:eastAsia="en-US"/>
    </w:rPr>
  </w:style>
  <w:style w:type="character" w:customStyle="1" w:styleId="CharChar5">
    <w:name w:val="Char Char5"/>
    <w:rsid w:val="00583AA8"/>
    <w:rPr>
      <w:rFonts w:ascii="Arial" w:hAnsi="Arial" w:cs="Arial" w:hint="default"/>
      <w:b/>
      <w:bCs w:val="0"/>
    </w:rPr>
  </w:style>
  <w:style w:type="character" w:customStyle="1" w:styleId="CharChar21">
    <w:name w:val="Char Char21"/>
    <w:rsid w:val="00583AA8"/>
    <w:rPr>
      <w:rFonts w:ascii="Arial" w:hAnsi="Arial" w:cs="Arial" w:hint="default"/>
      <w:sz w:val="22"/>
    </w:rPr>
  </w:style>
  <w:style w:type="character" w:customStyle="1" w:styleId="CharChar12">
    <w:name w:val="Char Char12"/>
    <w:rsid w:val="00583AA8"/>
    <w:rPr>
      <w:rFonts w:ascii="Arial" w:hAnsi="Arial" w:cs="Arial" w:hint="default"/>
      <w:sz w:val="22"/>
    </w:rPr>
  </w:style>
  <w:style w:type="character" w:customStyle="1" w:styleId="Char2CharChar">
    <w:name w:val="Char2 Char Char"/>
    <w:rsid w:val="00583AA8"/>
    <w:rPr>
      <w:rFonts w:ascii="Arial" w:hAnsi="Arial" w:cs="Arial" w:hint="default"/>
    </w:rPr>
  </w:style>
  <w:style w:type="character" w:customStyle="1" w:styleId="RCaton">
    <w:name w:val="R Caton"/>
    <w:semiHidden/>
    <w:rsid w:val="00583AA8"/>
    <w:rPr>
      <w:rFonts w:ascii="Arial" w:hAnsi="Arial" w:cs="Arial" w:hint="default"/>
      <w:color w:val="auto"/>
      <w:sz w:val="20"/>
    </w:rPr>
  </w:style>
  <w:style w:type="character" w:customStyle="1" w:styleId="italic1">
    <w:name w:val="italic1"/>
    <w:basedOn w:val="DefaultParagraphFont"/>
    <w:rsid w:val="00583AA8"/>
    <w:rPr>
      <w:rFonts w:ascii="Verdana" w:hAnsi="Verdana" w:hint="default"/>
      <w:b w:val="0"/>
      <w:bCs w:val="0"/>
      <w:i/>
      <w:iCs/>
      <w:strike w:val="0"/>
      <w:dstrike w:val="0"/>
      <w:color w:val="000000"/>
      <w:sz w:val="18"/>
      <w:szCs w:val="18"/>
      <w:u w:val="none"/>
      <w:effect w:val="none"/>
    </w:rPr>
  </w:style>
  <w:style w:type="table" w:styleId="TableElegant">
    <w:name w:val="Table Elegant"/>
    <w:basedOn w:val="TableNormal"/>
    <w:uiPriority w:val="99"/>
    <w:rsid w:val="00583AA8"/>
    <w:pPr>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ascii="Times New Roman" w:hAnsi="Times New Roman" w:cs="Times New Roman" w:hint="default"/>
        <w:caps/>
        <w:color w:val="auto"/>
      </w:rPr>
      <w:tblPr/>
      <w:tcPr>
        <w:tcBorders>
          <w:tl2br w:val="none" w:sz="0" w:space="0" w:color="auto"/>
          <w:tr2bl w:val="none" w:sz="0" w:space="0" w:color="auto"/>
        </w:tcBorders>
      </w:tcPr>
    </w:tblStylePr>
  </w:style>
  <w:style w:type="table" w:styleId="TableGrid">
    <w:name w:val="Table Grid"/>
    <w:basedOn w:val="TableNormal"/>
    <w:uiPriority w:val="59"/>
    <w:rsid w:val="00583AA8"/>
    <w:pPr>
      <w:widowControl w:val="0"/>
      <w:spacing w:line="36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ColorfulList-Accent1">
    <w:name w:val="Colorful List Accent 1"/>
    <w:basedOn w:val="TableNormal"/>
    <w:uiPriority w:val="72"/>
    <w:qFormat/>
    <w:rsid w:val="00583AA8"/>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MediumGrid1-Accent2">
    <w:name w:val="Medium Grid 1 Accent 2"/>
    <w:basedOn w:val="TableNormal"/>
    <w:uiPriority w:val="67"/>
    <w:rsid w:val="00583AA8"/>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customStyle="1" w:styleId="ApparatusTable">
    <w:name w:val="Apparatus Table"/>
    <w:rsid w:val="00583AA8"/>
    <w:pPr>
      <w:keepLines/>
      <w:jc w:val="center"/>
    </w:pPr>
    <w:rPr>
      <w:rFonts w:ascii="Arial" w:hAnsi="Arial"/>
      <w:sz w:val="18"/>
      <w:szCs w:val="18"/>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top w:w="0" w:type="dxa"/>
        <w:left w:w="108" w:type="dxa"/>
        <w:bottom w:w="0" w:type="dxa"/>
        <w:right w:w="108" w:type="dxa"/>
      </w:tblCellMar>
    </w:tblPr>
  </w:style>
  <w:style w:type="table" w:customStyle="1" w:styleId="StationTable">
    <w:name w:val="Station Table"/>
    <w:rsid w:val="00583AA8"/>
    <w:pPr>
      <w:keepLines/>
    </w:pPr>
    <w:rPr>
      <w:sz w:val="18"/>
      <w:szCs w:val="18"/>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top w:w="29" w:type="dxa"/>
        <w:left w:w="115" w:type="dxa"/>
        <w:bottom w:w="29" w:type="dxa"/>
        <w:right w:w="115" w:type="dxa"/>
      </w:tblCellMar>
    </w:tblPr>
  </w:style>
  <w:style w:type="table" w:customStyle="1" w:styleId="RecommendationTable">
    <w:name w:val="Recommendation Table"/>
    <w:rsid w:val="00583AA8"/>
    <w:rPr>
      <w:rFonts w:ascii="Arial" w:hAnsi="Arial"/>
    </w:rPr>
    <w:tblPr>
      <w:tblBorders>
        <w:top w:val="single" w:sz="12" w:space="0" w:color="auto"/>
        <w:left w:val="single" w:sz="12" w:space="0" w:color="auto"/>
        <w:bottom w:val="single" w:sz="12" w:space="0" w:color="auto"/>
        <w:right w:val="single" w:sz="12" w:space="0" w:color="auto"/>
      </w:tblBorders>
      <w:tblCellMar>
        <w:top w:w="0" w:type="dxa"/>
        <w:left w:w="108" w:type="dxa"/>
        <w:bottom w:w="0" w:type="dxa"/>
        <w:right w:w="108" w:type="dxa"/>
      </w:tblCellMar>
    </w:tblPr>
  </w:style>
  <w:style w:type="table" w:customStyle="1" w:styleId="TableGrid2">
    <w:name w:val="Table Grid2"/>
    <w:rsid w:val="00583AA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 Grid1"/>
    <w:basedOn w:val="TableNormal"/>
    <w:uiPriority w:val="59"/>
    <w:rsid w:val="00583AA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ESCiTable">
    <w:name w:val="ESCi Table"/>
    <w:basedOn w:val="TableGrid"/>
    <w:uiPriority w:val="99"/>
    <w:rsid w:val="00583AA8"/>
    <w:pPr>
      <w:keepLines/>
      <w:widowControl/>
      <w:spacing w:line="240" w:lineRule="auto"/>
    </w:pPr>
    <w:rPr>
      <w:rFonts w:ascii="Arial" w:hAnsi="Arial"/>
    </w:rPr>
    <w:tblPr/>
  </w:style>
  <w:style w:type="numbering" w:customStyle="1" w:styleId="StyleBulleted16ptBoldBlue">
    <w:name w:val="Style Bulleted 16 pt Bold Blue"/>
    <w:rsid w:val="00583AA8"/>
    <w:pPr>
      <w:numPr>
        <w:numId w:val="7"/>
      </w:numPr>
    </w:pPr>
  </w:style>
  <w:style w:type="numbering" w:customStyle="1" w:styleId="StyleBulleted12pt">
    <w:name w:val="Style Bulleted 12 pt"/>
    <w:rsid w:val="00583AA8"/>
    <w:pPr>
      <w:numPr>
        <w:numId w:val="8"/>
      </w:numPr>
    </w:pPr>
  </w:style>
  <w:style w:type="numbering" w:customStyle="1" w:styleId="StyleBulletedTimes">
    <w:name w:val="Style Bulleted Times"/>
    <w:rsid w:val="00583AA8"/>
    <w:pPr>
      <w:numPr>
        <w:numId w:val="9"/>
      </w:numPr>
    </w:pPr>
  </w:style>
  <w:style w:type="numbering" w:customStyle="1" w:styleId="StyleBulletedBold">
    <w:name w:val="Style Bulleted Bold"/>
    <w:rsid w:val="00583AA8"/>
    <w:pPr>
      <w:numPr>
        <w:numId w:val="10"/>
      </w:numPr>
    </w:pPr>
  </w:style>
  <w:style w:type="numbering" w:customStyle="1" w:styleId="StyleOutlinenumbered">
    <w:name w:val="Style Outline numbered"/>
    <w:rsid w:val="00583AA8"/>
    <w:pPr>
      <w:numPr>
        <w:numId w:val="11"/>
      </w:numPr>
    </w:pPr>
  </w:style>
  <w:style w:type="numbering" w:customStyle="1" w:styleId="StyleNumberedArial11pt">
    <w:name w:val="Style Numbered Arial 11 pt"/>
    <w:rsid w:val="00583AA8"/>
    <w:pPr>
      <w:numPr>
        <w:numId w:val="12"/>
      </w:numPr>
    </w:pPr>
  </w:style>
  <w:style w:type="numbering" w:customStyle="1" w:styleId="StyleBulleted">
    <w:name w:val="Style Bulleted"/>
    <w:rsid w:val="00583AA8"/>
    <w:pPr>
      <w:numPr>
        <w:numId w:val="13"/>
      </w:numPr>
    </w:pPr>
  </w:style>
  <w:style w:type="numbering" w:customStyle="1" w:styleId="StyleNumbered12ptBold">
    <w:name w:val="Style Numbered 12 pt Bold"/>
    <w:rsid w:val="00583AA8"/>
    <w:pPr>
      <w:numPr>
        <w:numId w:val="14"/>
      </w:numPr>
    </w:pPr>
  </w:style>
  <w:style w:type="paragraph" w:styleId="FootnoteText">
    <w:name w:val="footnote text"/>
    <w:aliases w:val="Char21 Char1,Char2 Char1, Char2,Char2,Char2 Char Char Char Char,Char2 Char Char1,Char2 Char2,Char21,Char23"/>
    <w:basedOn w:val="Normal"/>
    <w:link w:val="FootnoteTextChar"/>
    <w:uiPriority w:val="99"/>
    <w:unhideWhenUsed/>
    <w:locked/>
    <w:rsid w:val="0014752F"/>
    <w:pPr>
      <w:spacing w:line="240" w:lineRule="auto"/>
    </w:pPr>
    <w:rPr>
      <w:sz w:val="24"/>
      <w:szCs w:val="24"/>
    </w:rPr>
  </w:style>
  <w:style w:type="character" w:customStyle="1" w:styleId="FootnoteTextChar">
    <w:name w:val="Footnote Text Char"/>
    <w:aliases w:val="Char21 Char1 Char,Char2 Char1 Char, Char2 Char,Char2 Char,Char2 Char Char Char Char Char,Char2 Char Char1 Char,Char2 Char2 Char,Char21 Char,Char23 Char"/>
    <w:basedOn w:val="DefaultParagraphFont"/>
    <w:link w:val="FootnoteText"/>
    <w:uiPriority w:val="99"/>
    <w:rsid w:val="0014752F"/>
    <w:rPr>
      <w:rFonts w:ascii="Arial" w:hAnsi="Arial"/>
      <w:sz w:val="24"/>
      <w:szCs w:val="24"/>
    </w:rPr>
  </w:style>
  <w:style w:type="character" w:styleId="PlaceholderText">
    <w:name w:val="Placeholder Text"/>
    <w:basedOn w:val="DefaultParagraphFont"/>
    <w:uiPriority w:val="99"/>
    <w:unhideWhenUsed/>
    <w:rsid w:val="005F515F"/>
    <w:rPr>
      <w:color w:val="808080"/>
    </w:rPr>
  </w:style>
  <w:style w:type="paragraph" w:styleId="Revision">
    <w:name w:val="Revision"/>
    <w:hidden/>
    <w:uiPriority w:val="99"/>
    <w:rsid w:val="005F515F"/>
    <w:rPr>
      <w:rFonts w:ascii="Arial" w:hAnsi="Arial"/>
    </w:rPr>
  </w:style>
  <w:style w:type="paragraph" w:customStyle="1" w:styleId="ESCICaption">
    <w:name w:val="ESCI Caption"/>
    <w:basedOn w:val="Normal"/>
    <w:link w:val="ESCICaptionChar"/>
    <w:autoRedefine/>
    <w:uiPriority w:val="99"/>
    <w:qFormat/>
    <w:rsid w:val="00632439"/>
    <w:pPr>
      <w:keepNext/>
      <w:keepLines/>
      <w:spacing w:after="0" w:line="240" w:lineRule="auto"/>
      <w:jc w:val="center"/>
    </w:pPr>
    <w:rPr>
      <w:rFonts w:asciiTheme="majorHAnsi" w:hAnsiTheme="majorHAnsi" w:cstheme="majorHAnsi"/>
      <w:b/>
      <w:bCs/>
      <w:sz w:val="20"/>
      <w:szCs w:val="20"/>
    </w:rPr>
  </w:style>
  <w:style w:type="paragraph" w:customStyle="1" w:styleId="ESCiBullets">
    <w:name w:val="ESCi Bullets"/>
    <w:basedOn w:val="Normal"/>
    <w:uiPriority w:val="99"/>
    <w:qFormat/>
    <w:rsid w:val="00E860F9"/>
    <w:pPr>
      <w:numPr>
        <w:numId w:val="15"/>
      </w:numPr>
      <w:tabs>
        <w:tab w:val="left" w:pos="810"/>
        <w:tab w:val="left" w:pos="1170"/>
      </w:tabs>
      <w:spacing w:after="120" w:line="240" w:lineRule="auto"/>
      <w:ind w:left="810"/>
      <w:jc w:val="left"/>
    </w:pPr>
    <w:rPr>
      <w:szCs w:val="24"/>
    </w:rPr>
  </w:style>
  <w:style w:type="paragraph" w:styleId="Caption">
    <w:name w:val="caption"/>
    <w:basedOn w:val="ESCICaption"/>
    <w:next w:val="Normal"/>
    <w:uiPriority w:val="35"/>
    <w:unhideWhenUsed/>
    <w:qFormat/>
    <w:rsid w:val="009F6573"/>
    <w:pPr>
      <w:spacing w:after="120"/>
    </w:pPr>
    <w:rPr>
      <w:rFonts w:cs="Times New Roman"/>
      <w:lang w:eastAsia="en-US"/>
    </w:rPr>
  </w:style>
  <w:style w:type="paragraph" w:customStyle="1" w:styleId="Char">
    <w:name w:val="Char"/>
    <w:basedOn w:val="Normal"/>
    <w:rsid w:val="00B313E6"/>
    <w:pPr>
      <w:keepNext/>
      <w:spacing w:after="60" w:line="240" w:lineRule="auto"/>
      <w:jc w:val="center"/>
    </w:pPr>
    <w:rPr>
      <w:b/>
      <w:sz w:val="20"/>
    </w:rPr>
  </w:style>
  <w:style w:type="paragraph" w:customStyle="1" w:styleId="NormalText">
    <w:name w:val="Normal Text"/>
    <w:basedOn w:val="Normal"/>
    <w:qFormat/>
    <w:rsid w:val="00127C1C"/>
    <w:pPr>
      <w:widowControl w:val="0"/>
      <w:adjustRightInd w:val="0"/>
      <w:spacing w:after="100" w:afterAutospacing="1" w:line="240" w:lineRule="auto"/>
      <w:jc w:val="left"/>
      <w:textAlignment w:val="baseline"/>
    </w:pPr>
  </w:style>
  <w:style w:type="character" w:customStyle="1" w:styleId="ESCICaptionChar">
    <w:name w:val="ESCI Caption Char"/>
    <w:basedOn w:val="DefaultParagraphFont"/>
    <w:link w:val="ESCICaption"/>
    <w:uiPriority w:val="99"/>
    <w:rsid w:val="00632439"/>
    <w:rPr>
      <w:rFonts w:asciiTheme="majorHAnsi" w:hAnsiTheme="majorHAnsi" w:cstheme="majorHAnsi"/>
      <w:b/>
      <w:bCs/>
      <w:sz w:val="20"/>
      <w:szCs w:val="20"/>
      <w:lang w:eastAsia="ja-JP"/>
    </w:rPr>
  </w:style>
  <w:style w:type="character" w:customStyle="1" w:styleId="CharChar22">
    <w:name w:val="Char Char22"/>
    <w:semiHidden/>
    <w:rsid w:val="00224EC6"/>
    <w:rPr>
      <w:rFonts w:ascii="Arial" w:hAnsi="Arial"/>
    </w:rPr>
  </w:style>
  <w:style w:type="paragraph" w:customStyle="1" w:styleId="Heading21">
    <w:name w:val="Heading 21"/>
    <w:next w:val="Normal"/>
    <w:rsid w:val="00134977"/>
    <w:pPr>
      <w:keepNext/>
      <w:spacing w:before="240" w:after="60" w:line="360" w:lineRule="auto"/>
      <w:outlineLvl w:val="1"/>
    </w:pPr>
    <w:rPr>
      <w:rFonts w:ascii="Arial Bold" w:eastAsia="ヒラギノ角ゴ Pro W3" w:hAnsi="Arial Bold"/>
      <w:color w:val="0000FE"/>
      <w:sz w:val="28"/>
    </w:rPr>
  </w:style>
  <w:style w:type="numbering" w:customStyle="1" w:styleId="List1">
    <w:name w:val="List 1"/>
    <w:rsid w:val="00134977"/>
  </w:style>
  <w:style w:type="numbering" w:customStyle="1" w:styleId="List21">
    <w:name w:val="List 21"/>
    <w:rsid w:val="00134977"/>
  </w:style>
  <w:style w:type="paragraph" w:customStyle="1" w:styleId="BodyText21">
    <w:name w:val="Body Text 21"/>
    <w:rsid w:val="00134977"/>
    <w:pPr>
      <w:spacing w:after="120" w:line="480" w:lineRule="auto"/>
      <w:jc w:val="both"/>
    </w:pPr>
    <w:rPr>
      <w:rFonts w:ascii="Arial" w:eastAsia="ヒラギノ角ゴ Pro W3" w:hAnsi="Arial"/>
      <w:color w:val="000000"/>
    </w:rPr>
  </w:style>
  <w:style w:type="paragraph" w:customStyle="1" w:styleId="Caption1">
    <w:name w:val="Caption1"/>
    <w:basedOn w:val="Caption"/>
    <w:next w:val="Normal"/>
    <w:rsid w:val="00B00894"/>
  </w:style>
  <w:style w:type="paragraph" w:customStyle="1" w:styleId="Heading31">
    <w:name w:val="Heading 31"/>
    <w:next w:val="Normal"/>
    <w:rsid w:val="00134977"/>
    <w:pPr>
      <w:keepNext/>
      <w:spacing w:before="240" w:after="60" w:line="360" w:lineRule="auto"/>
      <w:outlineLvl w:val="2"/>
    </w:pPr>
    <w:rPr>
      <w:rFonts w:ascii="Arial Bold" w:eastAsia="ヒラギノ角ゴ Pro W3" w:hAnsi="Arial Bold"/>
      <w:color w:val="000000"/>
      <w:u w:val="single"/>
    </w:rPr>
  </w:style>
  <w:style w:type="character" w:customStyle="1" w:styleId="EmphasisA">
    <w:name w:val="Emphasis A"/>
    <w:rsid w:val="00134977"/>
    <w:rPr>
      <w:rFonts w:ascii="Lucida Grande" w:eastAsia="ヒラギノ角ゴ Pro W3" w:hAnsi="Lucida Grande"/>
      <w:b w:val="0"/>
      <w:i w:val="0"/>
      <w:color w:val="000000"/>
      <w:sz w:val="24"/>
    </w:rPr>
  </w:style>
  <w:style w:type="numbering" w:customStyle="1" w:styleId="List31">
    <w:name w:val="List 31"/>
    <w:rsid w:val="00134977"/>
  </w:style>
  <w:style w:type="paragraph" w:customStyle="1" w:styleId="Textbullet">
    <w:name w:val="Text bullet"/>
    <w:basedOn w:val="ListParagraph"/>
    <w:link w:val="TextbulletChar"/>
    <w:rsid w:val="00012395"/>
    <w:pPr>
      <w:numPr>
        <w:numId w:val="16"/>
      </w:numPr>
      <w:tabs>
        <w:tab w:val="left" w:pos="720"/>
      </w:tabs>
      <w:adjustRightInd/>
      <w:spacing w:after="120"/>
      <w:jc w:val="left"/>
    </w:pPr>
    <w:rPr>
      <w:rFonts w:asciiTheme="minorHAnsi" w:hAnsiTheme="minorHAnsi"/>
    </w:rPr>
  </w:style>
  <w:style w:type="character" w:customStyle="1" w:styleId="ListParagraphChar">
    <w:name w:val="List Paragraph Char"/>
    <w:basedOn w:val="DefaultParagraphFont"/>
    <w:link w:val="ListParagraph"/>
    <w:uiPriority w:val="34"/>
    <w:rsid w:val="00012395"/>
    <w:rPr>
      <w:rFonts w:ascii="Calibri" w:hAnsi="Calibri"/>
      <w:sz w:val="22"/>
      <w:szCs w:val="22"/>
    </w:rPr>
  </w:style>
  <w:style w:type="character" w:customStyle="1" w:styleId="TextbulletChar">
    <w:name w:val="Text bullet Char"/>
    <w:basedOn w:val="ListParagraphChar"/>
    <w:link w:val="Textbullet"/>
    <w:rsid w:val="00012395"/>
    <w:rPr>
      <w:rFonts w:ascii="Calibri" w:hAnsi="Calibri"/>
      <w:sz w:val="22"/>
      <w:szCs w:val="22"/>
      <w:lang w:eastAsia="ja-JP"/>
    </w:rPr>
  </w:style>
  <w:style w:type="paragraph" w:customStyle="1" w:styleId="StyleStyle10ptLeftFirstline05Linespacingsingle1F">
    <w:name w:val="Style Style 10 pt Left First line:  0.5&quot; Line spacing:  single1 + F..."/>
    <w:basedOn w:val="Normal"/>
    <w:uiPriority w:val="99"/>
    <w:rsid w:val="001D2243"/>
    <w:pPr>
      <w:spacing w:before="20" w:line="240" w:lineRule="auto"/>
      <w:contextualSpacing/>
      <w:jc w:val="left"/>
    </w:pPr>
    <w:rPr>
      <w:rFonts w:ascii="Arial" w:hAnsi="Arial"/>
      <w:sz w:val="20"/>
      <w:szCs w:val="20"/>
    </w:rPr>
  </w:style>
  <w:style w:type="table" w:customStyle="1" w:styleId="TableGrid3">
    <w:name w:val="Table Grid3"/>
    <w:basedOn w:val="TableNormal"/>
    <w:next w:val="TableGrid"/>
    <w:uiPriority w:val="59"/>
    <w:rsid w:val="00326784"/>
    <w:rPr>
      <w:rFonts w:eastAsiaTheme="minorEastAsia"/>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59"/>
    <w:rsid w:val="006E2A7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next w:val="TableGrid"/>
    <w:uiPriority w:val="59"/>
    <w:rsid w:val="006E2A7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next w:val="TableGrid"/>
    <w:uiPriority w:val="59"/>
    <w:rsid w:val="006E2A7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
    <w:name w:val="Table Grid93"/>
    <w:basedOn w:val="TableNormal"/>
    <w:next w:val="TableGrid"/>
    <w:uiPriority w:val="59"/>
    <w:rsid w:val="002C1CB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59"/>
    <w:rsid w:val="002C1CB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next w:val="TableGrid"/>
    <w:uiPriority w:val="59"/>
    <w:rsid w:val="002C1CB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
    <w:name w:val="Table Grid102"/>
    <w:basedOn w:val="TableNormal"/>
    <w:next w:val="TableGrid"/>
    <w:uiPriority w:val="59"/>
    <w:rsid w:val="002C1CB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
    <w:name w:val="Table Grid103"/>
    <w:basedOn w:val="TableNormal"/>
    <w:next w:val="TableGrid"/>
    <w:uiPriority w:val="59"/>
    <w:rsid w:val="004148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4">
    <w:name w:val="Table Grid104"/>
    <w:basedOn w:val="TableNormal"/>
    <w:next w:val="TableGrid"/>
    <w:uiPriority w:val="59"/>
    <w:rsid w:val="004148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5">
    <w:name w:val="Table Grid105"/>
    <w:basedOn w:val="TableNormal"/>
    <w:next w:val="TableGrid"/>
    <w:uiPriority w:val="59"/>
    <w:rsid w:val="004148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6">
    <w:name w:val="Table Grid106"/>
    <w:basedOn w:val="TableNormal"/>
    <w:next w:val="TableGrid"/>
    <w:uiPriority w:val="59"/>
    <w:rsid w:val="004148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7">
    <w:name w:val="Table Grid107"/>
    <w:basedOn w:val="TableNormal"/>
    <w:next w:val="TableGrid"/>
    <w:uiPriority w:val="59"/>
    <w:rsid w:val="004148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59"/>
    <w:rsid w:val="003106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next w:val="TableGrid"/>
    <w:uiPriority w:val="59"/>
    <w:rsid w:val="003106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
    <w:name w:val="Table Grid142"/>
    <w:basedOn w:val="TableNormal"/>
    <w:next w:val="TableGrid"/>
    <w:uiPriority w:val="59"/>
    <w:rsid w:val="003106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uiPriority w:val="59"/>
    <w:rsid w:val="003106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59"/>
    <w:rsid w:val="007304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TableNormal"/>
    <w:next w:val="TableGrid"/>
    <w:uiPriority w:val="59"/>
    <w:rsid w:val="007304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
    <w:name w:val="Table Grid172"/>
    <w:basedOn w:val="TableNormal"/>
    <w:next w:val="TableGrid"/>
    <w:uiPriority w:val="59"/>
    <w:rsid w:val="007304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3">
    <w:name w:val="Table Grid173"/>
    <w:basedOn w:val="TableNormal"/>
    <w:next w:val="TableGrid"/>
    <w:uiPriority w:val="59"/>
    <w:rsid w:val="007304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4">
    <w:name w:val="Table Grid174"/>
    <w:basedOn w:val="TableNormal"/>
    <w:next w:val="TableGrid"/>
    <w:uiPriority w:val="59"/>
    <w:rsid w:val="007304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next w:val="TableGrid"/>
    <w:uiPriority w:val="59"/>
    <w:rsid w:val="007304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uiPriority w:val="59"/>
    <w:rsid w:val="007E430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TableNormal"/>
    <w:next w:val="TableGrid"/>
    <w:uiPriority w:val="59"/>
    <w:rsid w:val="007E430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
    <w:name w:val="Table Grid152"/>
    <w:basedOn w:val="TableNormal"/>
    <w:next w:val="TableGrid"/>
    <w:uiPriority w:val="59"/>
    <w:rsid w:val="007E430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
    <w:name w:val="Table Grid153"/>
    <w:basedOn w:val="TableNormal"/>
    <w:next w:val="TableGrid"/>
    <w:uiPriority w:val="59"/>
    <w:rsid w:val="00D852E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rsid w:val="00263F4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uiPriority w:val="59"/>
    <w:rsid w:val="000338E5"/>
    <w:pPr>
      <w:spacing w:after="0" w:line="240" w:lineRule="auto"/>
    </w:pPr>
    <w:rPr>
      <w:rFonts w:ascii="Cambria" w:eastAsia="Cambria" w:hAnsi="Cambria"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uiPriority w:val="59"/>
    <w:rsid w:val="00FD59E0"/>
    <w:pPr>
      <w:spacing w:after="0" w:line="240" w:lineRule="auto"/>
    </w:pPr>
    <w:rPr>
      <w:rFonts w:ascii="Cambria" w:eastAsia="Cambria" w:hAnsi="Cambria"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uiPriority w:val="59"/>
    <w:rsid w:val="00FD59E0"/>
    <w:pPr>
      <w:spacing w:after="0" w:line="240" w:lineRule="auto"/>
    </w:pPr>
    <w:rPr>
      <w:rFonts w:ascii="Cambria" w:eastAsia="Cambria" w:hAnsi="Cambria"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A904D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E80EC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FB02CA"/>
  </w:style>
  <w:style w:type="numbering" w:customStyle="1" w:styleId="NoList11">
    <w:name w:val="No List11"/>
    <w:next w:val="NoList"/>
    <w:uiPriority w:val="99"/>
    <w:semiHidden/>
    <w:unhideWhenUsed/>
    <w:rsid w:val="00FB02CA"/>
  </w:style>
  <w:style w:type="paragraph" w:customStyle="1" w:styleId="CaptionNew">
    <w:name w:val="Caption New"/>
    <w:basedOn w:val="Caption"/>
    <w:link w:val="CaptionNewChar"/>
    <w:autoRedefine/>
    <w:qFormat/>
    <w:rsid w:val="00FB02CA"/>
    <w:pPr>
      <w:keepNext w:val="0"/>
      <w:keepLines w:val="0"/>
    </w:pPr>
    <w:rPr>
      <w:rFonts w:ascii="Calibri" w:hAnsi="Calibri"/>
      <w:color w:val="000000"/>
      <w:szCs w:val="18"/>
    </w:rPr>
  </w:style>
  <w:style w:type="character" w:customStyle="1" w:styleId="CaptionNewChar">
    <w:name w:val="Caption New Char"/>
    <w:basedOn w:val="DefaultParagraphFont"/>
    <w:link w:val="CaptionNew"/>
    <w:rsid w:val="00FB02CA"/>
    <w:rPr>
      <w:rFonts w:ascii="Calibri" w:hAnsi="Calibri" w:cs="Times New Roman"/>
      <w:b/>
      <w:bCs/>
      <w:color w:val="000000"/>
      <w:sz w:val="20"/>
      <w:szCs w:val="18"/>
      <w:lang w:eastAsia="ja-JP"/>
    </w:rPr>
  </w:style>
  <w:style w:type="paragraph" w:customStyle="1" w:styleId="Caption2">
    <w:name w:val="Caption 2"/>
    <w:basedOn w:val="Normal"/>
    <w:link w:val="Caption2Char"/>
    <w:autoRedefine/>
    <w:qFormat/>
    <w:rsid w:val="00FB02CA"/>
    <w:pPr>
      <w:keepNext/>
      <w:spacing w:before="240" w:after="0" w:line="240" w:lineRule="auto"/>
      <w:jc w:val="center"/>
    </w:pPr>
    <w:rPr>
      <w:rFonts w:cs="Arial"/>
      <w:b/>
      <w:bCs/>
      <w:color w:val="000000"/>
      <w:sz w:val="20"/>
      <w:szCs w:val="18"/>
    </w:rPr>
  </w:style>
  <w:style w:type="character" w:customStyle="1" w:styleId="Caption2Char">
    <w:name w:val="Caption 2 Char"/>
    <w:basedOn w:val="DefaultParagraphFont"/>
    <w:link w:val="Caption2"/>
    <w:rsid w:val="00FB02CA"/>
    <w:rPr>
      <w:rFonts w:ascii="Calibri" w:hAnsi="Calibri" w:cs="Arial"/>
      <w:b/>
      <w:bCs/>
      <w:color w:val="000000"/>
      <w:sz w:val="20"/>
      <w:szCs w:val="18"/>
      <w:lang w:eastAsia="ja-JP"/>
    </w:rPr>
  </w:style>
  <w:style w:type="table" w:customStyle="1" w:styleId="TableGrid12">
    <w:name w:val="Table Grid12"/>
    <w:basedOn w:val="TableNormal"/>
    <w:next w:val="TableGrid"/>
    <w:uiPriority w:val="59"/>
    <w:rsid w:val="00FB02CA"/>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FB02C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SCiCaption0">
    <w:name w:val="ESCi Caption"/>
    <w:basedOn w:val="Caption"/>
    <w:autoRedefine/>
    <w:uiPriority w:val="99"/>
    <w:qFormat/>
    <w:rsid w:val="00FB02CA"/>
    <w:pPr>
      <w:spacing w:before="60" w:after="100"/>
    </w:pPr>
    <w:rPr>
      <w:rFonts w:ascii="Calibri" w:hAnsi="Calibri" w:cs="Arial"/>
      <w:bCs w:val="0"/>
      <w:color w:val="000000"/>
      <w:szCs w:val="18"/>
    </w:rPr>
  </w:style>
  <w:style w:type="paragraph" w:customStyle="1" w:styleId="Recommendation4">
    <w:name w:val="Recommendation 4"/>
    <w:basedOn w:val="Normal"/>
    <w:rsid w:val="00FB02CA"/>
    <w:pPr>
      <w:keepNext/>
      <w:keepLines/>
      <w:numPr>
        <w:numId w:val="18"/>
      </w:numPr>
      <w:tabs>
        <w:tab w:val="num" w:pos="720"/>
      </w:tabs>
      <w:spacing w:after="120" w:line="240" w:lineRule="auto"/>
    </w:pPr>
    <w:rPr>
      <w:lang w:eastAsia="en-US"/>
    </w:rPr>
  </w:style>
  <w:style w:type="paragraph" w:customStyle="1" w:styleId="Tabletext">
    <w:name w:val="Table text"/>
    <w:basedOn w:val="Normal"/>
    <w:link w:val="TabletextChar"/>
    <w:qFormat/>
    <w:rsid w:val="00FB02CA"/>
    <w:pPr>
      <w:autoSpaceDE w:val="0"/>
      <w:autoSpaceDN w:val="0"/>
      <w:adjustRightInd w:val="0"/>
      <w:spacing w:after="0" w:line="240" w:lineRule="auto"/>
      <w:contextualSpacing/>
      <w:jc w:val="left"/>
    </w:pPr>
    <w:rPr>
      <w:rFonts w:eastAsia="Times New Roman" w:cs="Arial"/>
      <w:color w:val="000000"/>
      <w:sz w:val="20"/>
      <w:szCs w:val="20"/>
      <w:lang w:eastAsia="en-US"/>
    </w:rPr>
  </w:style>
  <w:style w:type="character" w:customStyle="1" w:styleId="TabletextChar">
    <w:name w:val="Table text Char"/>
    <w:link w:val="Tabletext"/>
    <w:rsid w:val="00FB02CA"/>
    <w:rPr>
      <w:rFonts w:ascii="Calibri" w:eastAsia="Times New Roman" w:hAnsi="Calibri" w:cs="Arial"/>
      <w:color w:val="000000"/>
      <w:sz w:val="20"/>
      <w:szCs w:val="20"/>
    </w:rPr>
  </w:style>
  <w:style w:type="paragraph" w:customStyle="1" w:styleId="Style6">
    <w:name w:val="Style6"/>
    <w:basedOn w:val="Normal"/>
    <w:link w:val="Style6Char"/>
    <w:uiPriority w:val="99"/>
    <w:rsid w:val="00FB02CA"/>
    <w:pPr>
      <w:spacing w:after="240"/>
      <w:jc w:val="center"/>
    </w:pPr>
    <w:rPr>
      <w:rFonts w:eastAsia="Calibri" w:cs="Times New Roman"/>
      <w:b/>
      <w:bCs/>
      <w:color w:val="000080"/>
      <w:sz w:val="52"/>
      <w:szCs w:val="52"/>
      <w:lang w:eastAsia="en-US"/>
    </w:rPr>
  </w:style>
  <w:style w:type="character" w:customStyle="1" w:styleId="Style6Char">
    <w:name w:val="Style6 Char"/>
    <w:basedOn w:val="DefaultParagraphFont"/>
    <w:link w:val="Style6"/>
    <w:uiPriority w:val="99"/>
    <w:rsid w:val="00FB02CA"/>
    <w:rPr>
      <w:rFonts w:ascii="Calibri" w:eastAsia="Calibri" w:hAnsi="Calibri" w:cs="Times New Roman"/>
      <w:b/>
      <w:bCs/>
      <w:color w:val="000080"/>
      <w:sz w:val="52"/>
      <w:szCs w:val="52"/>
    </w:rPr>
  </w:style>
  <w:style w:type="paragraph" w:customStyle="1" w:styleId="BodyofDocumentText">
    <w:name w:val="Body of Document Text"/>
    <w:basedOn w:val="Normal"/>
    <w:qFormat/>
    <w:rsid w:val="00FB02CA"/>
    <w:pPr>
      <w:spacing w:after="240"/>
    </w:pPr>
    <w:rPr>
      <w:rFonts w:eastAsia="Calibri" w:cs="Times New Roman"/>
      <w:lang w:eastAsia="en-US"/>
    </w:rPr>
  </w:style>
  <w:style w:type="paragraph" w:customStyle="1" w:styleId="RecommendationCompilation">
    <w:name w:val="Recommendation Compilation"/>
    <w:basedOn w:val="Normal"/>
    <w:qFormat/>
    <w:rsid w:val="00FB02CA"/>
    <w:pPr>
      <w:spacing w:after="240" w:line="240" w:lineRule="auto"/>
    </w:pPr>
    <w:rPr>
      <w:rFonts w:eastAsia="Calibri" w:cs="Times New Roman"/>
      <w:lang w:eastAsia="en-US"/>
    </w:rPr>
  </w:style>
  <w:style w:type="numbering" w:customStyle="1" w:styleId="NoList111">
    <w:name w:val="No List111"/>
    <w:next w:val="NoList"/>
    <w:uiPriority w:val="99"/>
    <w:semiHidden/>
    <w:unhideWhenUsed/>
    <w:rsid w:val="00FB02CA"/>
  </w:style>
  <w:style w:type="table" w:customStyle="1" w:styleId="ESCiTable1">
    <w:name w:val="ESCi Table1"/>
    <w:basedOn w:val="TableGrid"/>
    <w:rsid w:val="00FB02CA"/>
    <w:pPr>
      <w:keepNext/>
      <w:keepLines/>
      <w:widowControl/>
      <w:spacing w:after="0" w:line="240" w:lineRule="auto"/>
    </w:pPr>
    <w:rPr>
      <w:rFonts w:ascii="Arial" w:eastAsia="Calibri" w:hAnsi="Arial" w:cs="Times New Roman"/>
      <w:szCs w:val="20"/>
    </w:rPr>
    <w:tblPr/>
  </w:style>
  <w:style w:type="table" w:customStyle="1" w:styleId="RecommendationTable1">
    <w:name w:val="Recommendation Table1"/>
    <w:rsid w:val="00FB02CA"/>
    <w:pPr>
      <w:spacing w:after="0" w:line="240" w:lineRule="auto"/>
    </w:pPr>
    <w:rPr>
      <w:rFonts w:ascii="Arial" w:eastAsia="Calibri" w:hAnsi="Arial" w:cs="Times New Roman"/>
      <w:szCs w:val="20"/>
    </w:rPr>
    <w:tblPr>
      <w:tblInd w:w="0" w:type="dxa"/>
      <w:tblBorders>
        <w:top w:val="single" w:sz="12" w:space="0" w:color="auto"/>
        <w:left w:val="single" w:sz="12" w:space="0" w:color="auto"/>
        <w:bottom w:val="single" w:sz="12" w:space="0" w:color="auto"/>
        <w:right w:val="single" w:sz="12" w:space="0" w:color="auto"/>
      </w:tblBorders>
      <w:tblCellMar>
        <w:top w:w="0" w:type="dxa"/>
        <w:left w:w="108" w:type="dxa"/>
        <w:bottom w:w="0" w:type="dxa"/>
        <w:right w:w="108" w:type="dxa"/>
      </w:tblCellMar>
    </w:tblPr>
    <w:tcPr>
      <w:shd w:val="clear" w:color="auto" w:fill="FFCC99"/>
    </w:tcPr>
  </w:style>
  <w:style w:type="paragraph" w:customStyle="1" w:styleId="Subheading0">
    <w:name w:val="Subheading"/>
    <w:basedOn w:val="Normal"/>
    <w:next w:val="Normal"/>
    <w:rsid w:val="00FB02CA"/>
    <w:pPr>
      <w:keepNext/>
      <w:spacing w:before="60" w:after="60" w:line="360" w:lineRule="auto"/>
      <w:jc w:val="left"/>
    </w:pPr>
    <w:rPr>
      <w:rFonts w:ascii="Arial" w:eastAsia="Calibri" w:hAnsi="Arial" w:cs="Times New Roman"/>
      <w:b/>
      <w:lang w:eastAsia="en-US"/>
    </w:rPr>
  </w:style>
  <w:style w:type="paragraph" w:customStyle="1" w:styleId="Recommendation10">
    <w:name w:val="Recommendation1"/>
    <w:basedOn w:val="ListBullet"/>
    <w:next w:val="Normal"/>
    <w:rsid w:val="00FB02CA"/>
    <w:pPr>
      <w:tabs>
        <w:tab w:val="clear" w:pos="360"/>
      </w:tabs>
      <w:spacing w:before="80" w:after="0" w:afterAutospacing="0" w:line="240" w:lineRule="auto"/>
      <w:ind w:left="0" w:firstLine="0"/>
      <w:jc w:val="left"/>
    </w:pPr>
    <w:rPr>
      <w:rFonts w:ascii="Arial" w:eastAsia="Calibri" w:hAnsi="Arial" w:cs="Times New Roman"/>
      <w:szCs w:val="22"/>
      <w:lang w:eastAsia="en-US"/>
    </w:rPr>
  </w:style>
  <w:style w:type="paragraph" w:customStyle="1" w:styleId="Recommendation2">
    <w:name w:val="Recommendation2"/>
    <w:basedOn w:val="Recommendation10"/>
    <w:rsid w:val="00FB02CA"/>
  </w:style>
  <w:style w:type="paragraph" w:customStyle="1" w:styleId="Recommendation3">
    <w:name w:val="Recommendation3"/>
    <w:basedOn w:val="Recommendation10"/>
    <w:rsid w:val="00FB02CA"/>
  </w:style>
  <w:style w:type="paragraph" w:customStyle="1" w:styleId="Recommendation40">
    <w:name w:val="Recommendation4"/>
    <w:basedOn w:val="Recommendation10"/>
    <w:uiPriority w:val="99"/>
    <w:rsid w:val="00FB02CA"/>
  </w:style>
  <w:style w:type="paragraph" w:customStyle="1" w:styleId="Recommendation5">
    <w:name w:val="Recommendation5"/>
    <w:basedOn w:val="Recommendation10"/>
    <w:rsid w:val="00FB02CA"/>
  </w:style>
  <w:style w:type="numbering" w:customStyle="1" w:styleId="NoList1111">
    <w:name w:val="No List1111"/>
    <w:next w:val="NoList"/>
    <w:uiPriority w:val="99"/>
    <w:semiHidden/>
    <w:unhideWhenUsed/>
    <w:rsid w:val="00FB02CA"/>
  </w:style>
  <w:style w:type="numbering" w:customStyle="1" w:styleId="NoList2">
    <w:name w:val="No List2"/>
    <w:next w:val="NoList"/>
    <w:uiPriority w:val="99"/>
    <w:semiHidden/>
    <w:unhideWhenUsed/>
    <w:rsid w:val="00FB02CA"/>
  </w:style>
  <w:style w:type="numbering" w:customStyle="1" w:styleId="NoList3">
    <w:name w:val="No List3"/>
    <w:next w:val="NoList"/>
    <w:uiPriority w:val="99"/>
    <w:semiHidden/>
    <w:unhideWhenUsed/>
    <w:rsid w:val="00FB02CA"/>
  </w:style>
  <w:style w:type="paragraph" w:customStyle="1" w:styleId="StyleESCICaptionLeftFirstline05">
    <w:name w:val="Style ESCI Caption + Left First line:  0.5&quot;"/>
    <w:basedOn w:val="ESCICaption"/>
    <w:rsid w:val="00FB02CA"/>
    <w:pPr>
      <w:spacing w:after="40"/>
      <w:ind w:firstLine="1296"/>
      <w:jc w:val="left"/>
    </w:pPr>
    <w:rPr>
      <w:rFonts w:ascii="Arial" w:eastAsia="Times New Roman" w:hAnsi="Arial" w:cs="Times New Roman"/>
      <w:lang w:eastAsia="en-US"/>
    </w:rPr>
  </w:style>
  <w:style w:type="paragraph" w:customStyle="1" w:styleId="StyleCaptionCharCharCharCentered">
    <w:name w:val="Style CaptionChar CharChar + Centered"/>
    <w:basedOn w:val="Caption"/>
    <w:uiPriority w:val="99"/>
    <w:rsid w:val="00FB02CA"/>
    <w:pPr>
      <w:keepLines w:val="0"/>
      <w:spacing w:before="120" w:after="240" w:line="360" w:lineRule="auto"/>
    </w:pPr>
    <w:rPr>
      <w:rFonts w:ascii="Arial" w:eastAsia="Calibri" w:hAnsi="Arial"/>
    </w:rPr>
  </w:style>
  <w:style w:type="paragraph" w:customStyle="1" w:styleId="Title1">
    <w:name w:val="Title1"/>
    <w:basedOn w:val="Normal"/>
    <w:next w:val="Normal"/>
    <w:uiPriority w:val="10"/>
    <w:qFormat/>
    <w:locked/>
    <w:rsid w:val="00FB02CA"/>
    <w:pPr>
      <w:pBdr>
        <w:bottom w:val="single" w:sz="8" w:space="4" w:color="4F81BD"/>
      </w:pBdr>
      <w:spacing w:after="300" w:line="240" w:lineRule="auto"/>
      <w:contextualSpacing/>
      <w:jc w:val="left"/>
    </w:pPr>
    <w:rPr>
      <w:rFonts w:ascii="Cambria" w:eastAsia="Times New Roman" w:hAnsi="Cambria" w:cs="Times New Roman"/>
      <w:color w:val="17365D"/>
      <w:spacing w:val="5"/>
      <w:kern w:val="28"/>
      <w:sz w:val="52"/>
      <w:szCs w:val="52"/>
      <w:lang w:eastAsia="en-US"/>
    </w:rPr>
  </w:style>
  <w:style w:type="paragraph" w:customStyle="1" w:styleId="Subtitle1">
    <w:name w:val="Subtitle1"/>
    <w:basedOn w:val="Normal"/>
    <w:next w:val="Normal"/>
    <w:uiPriority w:val="11"/>
    <w:qFormat/>
    <w:locked/>
    <w:rsid w:val="00FB02CA"/>
    <w:pPr>
      <w:numPr>
        <w:ilvl w:val="1"/>
      </w:numPr>
      <w:spacing w:after="200"/>
      <w:jc w:val="left"/>
    </w:pPr>
    <w:rPr>
      <w:rFonts w:ascii="Cambria" w:eastAsia="Times New Roman" w:hAnsi="Cambria" w:cs="Times New Roman"/>
      <w:i/>
      <w:iCs/>
      <w:color w:val="4F81BD"/>
      <w:spacing w:val="15"/>
      <w:sz w:val="24"/>
      <w:szCs w:val="24"/>
      <w:lang w:eastAsia="en-US"/>
    </w:rPr>
  </w:style>
  <w:style w:type="character" w:customStyle="1" w:styleId="SubtitleChar">
    <w:name w:val="Subtitle Char"/>
    <w:basedOn w:val="DefaultParagraphFont"/>
    <w:link w:val="Subtitle"/>
    <w:uiPriority w:val="11"/>
    <w:rsid w:val="00FB02CA"/>
    <w:rPr>
      <w:rFonts w:ascii="Cambria" w:eastAsia="Times New Roman" w:hAnsi="Cambria" w:cs="Times New Roman"/>
      <w:i/>
      <w:iCs/>
      <w:color w:val="4F81BD"/>
      <w:spacing w:val="15"/>
      <w:sz w:val="24"/>
      <w:szCs w:val="24"/>
    </w:rPr>
  </w:style>
  <w:style w:type="paragraph" w:customStyle="1" w:styleId="StyleListParagraphRight05Linespacingsingle">
    <w:name w:val="Style List Paragraph + Right:  0.5&quot; Line spacing:  single"/>
    <w:basedOn w:val="ListParagraph"/>
    <w:rsid w:val="00FB02CA"/>
    <w:pPr>
      <w:adjustRightInd/>
      <w:spacing w:after="0" w:line="240" w:lineRule="auto"/>
    </w:pPr>
    <w:rPr>
      <w:rFonts w:ascii="Arial" w:eastAsia="Times New Roman" w:hAnsi="Arial" w:cs="Times New Roman"/>
      <w:szCs w:val="20"/>
      <w:lang w:eastAsia="en-US"/>
    </w:rPr>
  </w:style>
  <w:style w:type="paragraph" w:customStyle="1" w:styleId="Style5">
    <w:name w:val="Style5"/>
    <w:basedOn w:val="Normal"/>
    <w:link w:val="Style5Char"/>
    <w:uiPriority w:val="99"/>
    <w:qFormat/>
    <w:rsid w:val="00FB02CA"/>
    <w:pPr>
      <w:keepNext/>
      <w:keepLines/>
      <w:spacing w:after="120" w:line="240" w:lineRule="auto"/>
      <w:outlineLvl w:val="4"/>
    </w:pPr>
    <w:rPr>
      <w:rFonts w:ascii="Arial" w:eastAsia="Times New Roman" w:hAnsi="Arial" w:cs="Times New Roman"/>
      <w:bCs/>
      <w:i/>
      <w:iCs/>
      <w:szCs w:val="26"/>
      <w:u w:val="single"/>
      <w:lang w:eastAsia="en-US"/>
    </w:rPr>
  </w:style>
  <w:style w:type="character" w:customStyle="1" w:styleId="apple-style-span">
    <w:name w:val="apple-style-span"/>
    <w:basedOn w:val="DefaultParagraphFont"/>
    <w:rsid w:val="00FB02CA"/>
  </w:style>
  <w:style w:type="paragraph" w:customStyle="1" w:styleId="ESCIRecommendation">
    <w:name w:val="ESCI Recommendation"/>
    <w:basedOn w:val="Normal"/>
    <w:next w:val="Normal"/>
    <w:qFormat/>
    <w:rsid w:val="00FB02CA"/>
    <w:pPr>
      <w:spacing w:after="0" w:line="240" w:lineRule="auto"/>
      <w:jc w:val="center"/>
    </w:pPr>
    <w:rPr>
      <w:rFonts w:ascii="Arial" w:eastAsia="Calibri" w:hAnsi="Arial" w:cs="Times New Roman"/>
      <w:sz w:val="20"/>
      <w:szCs w:val="20"/>
      <w:lang w:eastAsia="en-US"/>
    </w:rPr>
  </w:style>
  <w:style w:type="numbering" w:customStyle="1" w:styleId="NoList4">
    <w:name w:val="No List4"/>
    <w:next w:val="NoList"/>
    <w:uiPriority w:val="99"/>
    <w:semiHidden/>
    <w:unhideWhenUsed/>
    <w:rsid w:val="00FB02CA"/>
  </w:style>
  <w:style w:type="numbering" w:customStyle="1" w:styleId="NoList11111">
    <w:name w:val="No List11111"/>
    <w:next w:val="NoList"/>
    <w:uiPriority w:val="99"/>
    <w:semiHidden/>
    <w:unhideWhenUsed/>
    <w:rsid w:val="00FB02CA"/>
  </w:style>
  <w:style w:type="numbering" w:customStyle="1" w:styleId="NoList21">
    <w:name w:val="No List21"/>
    <w:next w:val="NoList"/>
    <w:uiPriority w:val="99"/>
    <w:semiHidden/>
    <w:unhideWhenUsed/>
    <w:rsid w:val="00FB02CA"/>
  </w:style>
  <w:style w:type="numbering" w:customStyle="1" w:styleId="NoList31">
    <w:name w:val="No List31"/>
    <w:next w:val="NoList"/>
    <w:uiPriority w:val="99"/>
    <w:semiHidden/>
    <w:unhideWhenUsed/>
    <w:rsid w:val="00FB02CA"/>
  </w:style>
  <w:style w:type="numbering" w:customStyle="1" w:styleId="NoList111111">
    <w:name w:val="No List111111"/>
    <w:next w:val="NoList"/>
    <w:uiPriority w:val="99"/>
    <w:semiHidden/>
    <w:unhideWhenUsed/>
    <w:rsid w:val="00FB02CA"/>
  </w:style>
  <w:style w:type="numbering" w:customStyle="1" w:styleId="NoList5">
    <w:name w:val="No List5"/>
    <w:next w:val="NoList"/>
    <w:uiPriority w:val="99"/>
    <w:semiHidden/>
    <w:unhideWhenUsed/>
    <w:rsid w:val="00FB02CA"/>
  </w:style>
  <w:style w:type="table" w:customStyle="1" w:styleId="TableGrid21">
    <w:name w:val="Table Grid21"/>
    <w:basedOn w:val="TableNormal"/>
    <w:next w:val="TableGrid"/>
    <w:rsid w:val="00FB02CA"/>
    <w:pPr>
      <w:spacing w:after="0" w:line="240" w:lineRule="auto"/>
      <w:jc w:val="both"/>
    </w:pPr>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next w:val="TableGrid"/>
    <w:rsid w:val="00FB02CA"/>
    <w:pPr>
      <w:spacing w:after="0" w:line="240" w:lineRule="auto"/>
    </w:pPr>
    <w:rPr>
      <w:rFonts w:ascii="Arial" w:eastAsia="Times New Roman" w:hAnsi="Arial" w:cs="Arial"/>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dex3">
    <w:name w:val="index 3"/>
    <w:basedOn w:val="Normal"/>
    <w:next w:val="Normal"/>
    <w:autoRedefine/>
    <w:uiPriority w:val="99"/>
    <w:unhideWhenUsed/>
    <w:locked/>
    <w:rsid w:val="00FB02CA"/>
    <w:pPr>
      <w:keepNext/>
      <w:keepLines/>
      <w:spacing w:after="0" w:line="360" w:lineRule="auto"/>
      <w:outlineLvl w:val="3"/>
    </w:pPr>
    <w:rPr>
      <w:rFonts w:ascii="Arial" w:eastAsia="Calibri" w:hAnsi="Arial" w:cs="Times New Roman"/>
      <w:b/>
      <w:bCs/>
      <w:iCs/>
      <w:color w:val="000000"/>
      <w:lang w:eastAsia="x-none"/>
    </w:rPr>
  </w:style>
  <w:style w:type="paragraph" w:styleId="ListNumber3">
    <w:name w:val="List Number 3"/>
    <w:basedOn w:val="Normal"/>
    <w:uiPriority w:val="99"/>
    <w:unhideWhenUsed/>
    <w:locked/>
    <w:rsid w:val="00FB02CA"/>
    <w:pPr>
      <w:numPr>
        <w:numId w:val="19"/>
      </w:numPr>
      <w:tabs>
        <w:tab w:val="clear" w:pos="1080"/>
      </w:tabs>
      <w:spacing w:after="0" w:line="360" w:lineRule="auto"/>
      <w:ind w:left="0" w:firstLine="0"/>
      <w:contextualSpacing/>
    </w:pPr>
    <w:rPr>
      <w:rFonts w:ascii="Arial" w:eastAsia="Calibri" w:hAnsi="Arial" w:cs="Times New Roman"/>
      <w:lang w:eastAsia="en-US"/>
    </w:rPr>
  </w:style>
  <w:style w:type="numbering" w:customStyle="1" w:styleId="NoList12">
    <w:name w:val="No List12"/>
    <w:next w:val="NoList"/>
    <w:uiPriority w:val="99"/>
    <w:semiHidden/>
    <w:unhideWhenUsed/>
    <w:rsid w:val="00FB02CA"/>
  </w:style>
  <w:style w:type="numbering" w:customStyle="1" w:styleId="NoList112">
    <w:name w:val="No List112"/>
    <w:next w:val="NoList"/>
    <w:uiPriority w:val="99"/>
    <w:semiHidden/>
    <w:unhideWhenUsed/>
    <w:rsid w:val="00FB02CA"/>
  </w:style>
  <w:style w:type="table" w:customStyle="1" w:styleId="TableGrid31">
    <w:name w:val="Table Grid31"/>
    <w:basedOn w:val="TableNormal"/>
    <w:next w:val="TableGrid"/>
    <w:rsid w:val="00FB02CA"/>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59"/>
    <w:rsid w:val="00FB02CA"/>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leChar1">
    <w:name w:val="Title Char1"/>
    <w:basedOn w:val="DefaultParagraphFont"/>
    <w:rsid w:val="00FB02CA"/>
    <w:rPr>
      <w:rFonts w:ascii="Cambria" w:eastAsia="Times New Roman" w:hAnsi="Cambria" w:cs="Times New Roman"/>
      <w:color w:val="17365D"/>
      <w:spacing w:val="5"/>
      <w:kern w:val="28"/>
      <w:sz w:val="52"/>
      <w:szCs w:val="52"/>
    </w:rPr>
  </w:style>
  <w:style w:type="paragraph" w:styleId="Subtitle">
    <w:name w:val="Subtitle"/>
    <w:basedOn w:val="Normal"/>
    <w:next w:val="Normal"/>
    <w:link w:val="SubtitleChar"/>
    <w:uiPriority w:val="11"/>
    <w:qFormat/>
    <w:locked/>
    <w:rsid w:val="00FB02CA"/>
    <w:pPr>
      <w:numPr>
        <w:ilvl w:val="1"/>
      </w:numPr>
      <w:spacing w:after="240"/>
    </w:pPr>
    <w:rPr>
      <w:rFonts w:ascii="Cambria" w:eastAsia="Times New Roman" w:hAnsi="Cambria" w:cs="Times New Roman"/>
      <w:i/>
      <w:iCs/>
      <w:color w:val="4F81BD"/>
      <w:spacing w:val="15"/>
      <w:sz w:val="24"/>
      <w:szCs w:val="24"/>
      <w:lang w:eastAsia="en-US"/>
    </w:rPr>
  </w:style>
  <w:style w:type="character" w:customStyle="1" w:styleId="SubtitleChar1">
    <w:name w:val="Subtitle Char1"/>
    <w:basedOn w:val="DefaultParagraphFont"/>
    <w:rsid w:val="00FB02CA"/>
    <w:rPr>
      <w:rFonts w:asciiTheme="majorHAnsi" w:eastAsiaTheme="majorEastAsia" w:hAnsiTheme="majorHAnsi" w:cstheme="majorBidi"/>
      <w:i/>
      <w:iCs/>
      <w:color w:val="4F81BD" w:themeColor="accent1"/>
      <w:spacing w:val="15"/>
      <w:sz w:val="24"/>
      <w:szCs w:val="24"/>
      <w:lang w:eastAsia="ja-JP"/>
    </w:rPr>
  </w:style>
  <w:style w:type="paragraph" w:customStyle="1" w:styleId="Recommendation1">
    <w:name w:val="Recommendation 1"/>
    <w:basedOn w:val="Normal"/>
    <w:rsid w:val="00FB02CA"/>
    <w:pPr>
      <w:keepNext/>
      <w:keepLines/>
      <w:numPr>
        <w:numId w:val="20"/>
      </w:numPr>
      <w:spacing w:after="120" w:line="240" w:lineRule="auto"/>
    </w:pPr>
  </w:style>
  <w:style w:type="paragraph" w:customStyle="1" w:styleId="Recommendation20">
    <w:name w:val="Recommendation 2"/>
    <w:basedOn w:val="Recommendation1"/>
    <w:rsid w:val="00FB02CA"/>
    <w:pPr>
      <w:numPr>
        <w:numId w:val="0"/>
      </w:numPr>
    </w:pPr>
  </w:style>
  <w:style w:type="paragraph" w:customStyle="1" w:styleId="Recommendation30">
    <w:name w:val="Recommendation 3"/>
    <w:basedOn w:val="Recommendation1"/>
    <w:rsid w:val="00FB02CA"/>
    <w:pPr>
      <w:numPr>
        <w:numId w:val="0"/>
      </w:numPr>
    </w:pPr>
  </w:style>
  <w:style w:type="paragraph" w:customStyle="1" w:styleId="Recommendation50">
    <w:name w:val="Recommendation 5"/>
    <w:basedOn w:val="Recommendation1"/>
    <w:rsid w:val="00FB02CA"/>
    <w:pPr>
      <w:numPr>
        <w:numId w:val="0"/>
      </w:numPr>
    </w:pPr>
  </w:style>
  <w:style w:type="table" w:customStyle="1" w:styleId="TableGrid51">
    <w:name w:val="Table Grid51"/>
    <w:basedOn w:val="TableNormal"/>
    <w:next w:val="TableGrid"/>
    <w:uiPriority w:val="59"/>
    <w:rsid w:val="00FB02C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ItalicLeft05Right05">
    <w:name w:val="Style Italic Left:  0.5&quot; Right:  0.5&quot;"/>
    <w:basedOn w:val="Normal"/>
    <w:uiPriority w:val="99"/>
    <w:rsid w:val="00FB02CA"/>
    <w:pPr>
      <w:widowControl w:val="0"/>
      <w:spacing w:after="0" w:line="240" w:lineRule="auto"/>
      <w:ind w:left="720" w:right="720"/>
    </w:pPr>
    <w:rPr>
      <w:rFonts w:ascii="Arial" w:eastAsia="Times New Roman" w:hAnsi="Arial" w:cs="Arial"/>
      <w:i/>
      <w:iCs/>
      <w:lang w:eastAsia="en-US"/>
    </w:rPr>
  </w:style>
  <w:style w:type="paragraph" w:customStyle="1" w:styleId="StyleHeading311pt">
    <w:name w:val="Style Heading 3 + 11 pt"/>
    <w:basedOn w:val="Heading3"/>
    <w:link w:val="StyleHeading311ptChar"/>
    <w:uiPriority w:val="99"/>
    <w:rsid w:val="00FB02CA"/>
    <w:pPr>
      <w:keepLines w:val="0"/>
      <w:spacing w:before="120" w:line="360" w:lineRule="auto"/>
      <w:jc w:val="left"/>
    </w:pPr>
    <w:rPr>
      <w:rFonts w:ascii="Arial" w:eastAsia="Calibri" w:hAnsi="Arial" w:cs="Times New Roman"/>
      <w:b w:val="0"/>
      <w:i w:val="0"/>
      <w:color w:val="auto"/>
      <w:sz w:val="22"/>
      <w:szCs w:val="20"/>
      <w:u w:val="single"/>
      <w:lang w:val="x-none" w:eastAsia="x-none"/>
    </w:rPr>
  </w:style>
  <w:style w:type="character" w:customStyle="1" w:styleId="StyleHeading311ptChar">
    <w:name w:val="Style Heading 3 + 11 pt Char"/>
    <w:link w:val="StyleHeading311pt"/>
    <w:uiPriority w:val="99"/>
    <w:locked/>
    <w:rsid w:val="00FB02CA"/>
    <w:rPr>
      <w:rFonts w:ascii="Arial" w:eastAsia="Calibri" w:hAnsi="Arial" w:cs="Times New Roman"/>
      <w:bCs/>
      <w:szCs w:val="20"/>
      <w:u w:val="single"/>
      <w:lang w:val="x-none" w:eastAsia="x-none"/>
    </w:rPr>
  </w:style>
  <w:style w:type="character" w:customStyle="1" w:styleId="StyleWordunderline">
    <w:name w:val="Style Word underline"/>
    <w:uiPriority w:val="99"/>
    <w:rsid w:val="00FB02CA"/>
    <w:rPr>
      <w:rFonts w:cs="Times New Roman"/>
      <w:sz w:val="20"/>
      <w:szCs w:val="20"/>
      <w:u w:val="words"/>
    </w:rPr>
  </w:style>
  <w:style w:type="character" w:customStyle="1" w:styleId="CharChar3">
    <w:name w:val="Char Char3"/>
    <w:uiPriority w:val="99"/>
    <w:rsid w:val="00FB02CA"/>
    <w:rPr>
      <w:rFonts w:ascii="Arial" w:hAnsi="Arial" w:cs="Arial"/>
      <w:b/>
      <w:bCs/>
    </w:rPr>
  </w:style>
  <w:style w:type="character" w:customStyle="1" w:styleId="StyleArial11pt">
    <w:name w:val="Style Arial 11 pt"/>
    <w:uiPriority w:val="99"/>
    <w:rsid w:val="00FB02CA"/>
    <w:rPr>
      <w:rFonts w:ascii="Arial" w:hAnsi="Arial" w:cs="Arial"/>
      <w:sz w:val="22"/>
      <w:szCs w:val="22"/>
      <w:bdr w:val="none" w:sz="0" w:space="0" w:color="auto" w:frame="1"/>
    </w:rPr>
  </w:style>
  <w:style w:type="paragraph" w:customStyle="1" w:styleId="StyleHeading1Black">
    <w:name w:val="Style Heading 1 + Black"/>
    <w:basedOn w:val="Heading1"/>
    <w:uiPriority w:val="99"/>
    <w:rsid w:val="00FB02CA"/>
    <w:pPr>
      <w:keepLines w:val="0"/>
      <w:spacing w:before="0" w:line="240" w:lineRule="auto"/>
      <w:jc w:val="center"/>
    </w:pPr>
    <w:rPr>
      <w:rFonts w:ascii="Arial" w:eastAsia="Times New Roman" w:hAnsi="Arial" w:cs="Arial"/>
      <w:color w:val="000000"/>
      <w:kern w:val="32"/>
      <w:sz w:val="32"/>
      <w:szCs w:val="32"/>
      <w:lang w:val="x-none" w:eastAsia="x-none"/>
    </w:rPr>
  </w:style>
  <w:style w:type="paragraph" w:customStyle="1" w:styleId="Style10ptBoldBlackCenteredAfter0ptLinespacingsi">
    <w:name w:val="Style 10 pt Bold Black Centered After:  0 pt Line spacing:  si..."/>
    <w:basedOn w:val="Normal"/>
    <w:uiPriority w:val="99"/>
    <w:rsid w:val="00FB02CA"/>
    <w:pPr>
      <w:widowControl w:val="0"/>
      <w:spacing w:before="20" w:after="20" w:line="240" w:lineRule="auto"/>
      <w:jc w:val="center"/>
    </w:pPr>
    <w:rPr>
      <w:rFonts w:ascii="Arial" w:eastAsia="Times New Roman" w:hAnsi="Arial" w:cs="Arial"/>
      <w:b/>
      <w:bCs/>
      <w:color w:val="000000"/>
      <w:sz w:val="20"/>
      <w:szCs w:val="20"/>
      <w:lang w:eastAsia="en-US"/>
    </w:rPr>
  </w:style>
  <w:style w:type="paragraph" w:customStyle="1" w:styleId="Style10ptBoldBlackRightRight02After0ptLines">
    <w:name w:val="Style 10 pt Bold Black Right Right:  0.2&quot; After:  0 pt Line s..."/>
    <w:basedOn w:val="Normal"/>
    <w:uiPriority w:val="99"/>
    <w:rsid w:val="00FB02CA"/>
    <w:pPr>
      <w:widowControl w:val="0"/>
      <w:spacing w:before="20" w:after="20" w:line="240" w:lineRule="auto"/>
      <w:ind w:right="288" w:firstLineChars="200" w:firstLine="200"/>
      <w:jc w:val="right"/>
    </w:pPr>
    <w:rPr>
      <w:rFonts w:ascii="Arial" w:eastAsia="Times New Roman" w:hAnsi="Arial" w:cs="Arial"/>
      <w:b/>
      <w:bCs/>
      <w:color w:val="000000"/>
      <w:sz w:val="20"/>
      <w:szCs w:val="20"/>
      <w:lang w:eastAsia="en-US"/>
    </w:rPr>
  </w:style>
  <w:style w:type="paragraph" w:customStyle="1" w:styleId="Style10ptBlackRightRight02After0ptLinespacing1">
    <w:name w:val="Style 10 pt Black Right Right:  0.2&quot; After:  0 pt Line spacing...1"/>
    <w:basedOn w:val="Normal"/>
    <w:uiPriority w:val="99"/>
    <w:rsid w:val="00FB02CA"/>
    <w:pPr>
      <w:widowControl w:val="0"/>
      <w:spacing w:before="20" w:after="20" w:line="240" w:lineRule="auto"/>
      <w:ind w:right="288" w:firstLineChars="200" w:firstLine="200"/>
      <w:jc w:val="right"/>
    </w:pPr>
    <w:rPr>
      <w:rFonts w:ascii="Arial" w:eastAsia="Times New Roman" w:hAnsi="Arial" w:cs="Arial"/>
      <w:color w:val="000000"/>
      <w:sz w:val="20"/>
      <w:szCs w:val="20"/>
      <w:lang w:eastAsia="en-US"/>
    </w:rPr>
  </w:style>
  <w:style w:type="paragraph" w:customStyle="1" w:styleId="StyleCaptionCharCharCharCentered1">
    <w:name w:val="Style CaptionChar CharChar + Centered1"/>
    <w:basedOn w:val="Normal"/>
    <w:uiPriority w:val="99"/>
    <w:rsid w:val="00FB02CA"/>
    <w:pPr>
      <w:keepNext/>
      <w:keepLines/>
      <w:spacing w:before="120" w:after="40" w:line="240" w:lineRule="auto"/>
      <w:jc w:val="center"/>
    </w:pPr>
    <w:rPr>
      <w:rFonts w:ascii="Arial" w:eastAsia="Times New Roman" w:hAnsi="Arial" w:cs="Arial"/>
      <w:b/>
      <w:bCs/>
      <w:sz w:val="20"/>
      <w:szCs w:val="20"/>
      <w:lang w:eastAsia="en-US"/>
    </w:rPr>
  </w:style>
  <w:style w:type="paragraph" w:customStyle="1" w:styleId="StyleStyleCaptionCharCharCharCentered11pt">
    <w:name w:val="Style Style CaptionChar CharChar + Centered + 11 pt"/>
    <w:basedOn w:val="StyleCaptionCharCharCharCentered"/>
    <w:uiPriority w:val="99"/>
    <w:rsid w:val="00FB02CA"/>
    <w:pPr>
      <w:keepLines/>
      <w:spacing w:after="40" w:line="240" w:lineRule="auto"/>
    </w:pPr>
    <w:rPr>
      <w:rFonts w:eastAsia="Times New Roman" w:cs="Arial"/>
    </w:rPr>
  </w:style>
  <w:style w:type="paragraph" w:customStyle="1" w:styleId="StyleListParagraphLinespacingsingle">
    <w:name w:val="Style List Paragraph + Line spacing:  single"/>
    <w:basedOn w:val="ListParagraph"/>
    <w:uiPriority w:val="99"/>
    <w:rsid w:val="00FB02CA"/>
    <w:pPr>
      <w:adjustRightInd/>
      <w:spacing w:after="180" w:line="240" w:lineRule="auto"/>
      <w:contextualSpacing w:val="0"/>
    </w:pPr>
    <w:rPr>
      <w:rFonts w:ascii="Arial" w:eastAsia="Times New Roman" w:hAnsi="Arial" w:cs="Arial"/>
      <w:lang w:eastAsia="en-US"/>
    </w:rPr>
  </w:style>
  <w:style w:type="paragraph" w:customStyle="1" w:styleId="Style10ptLinespacingsingle">
    <w:name w:val="Style 10 pt Line spacing:  single"/>
    <w:basedOn w:val="Normal"/>
    <w:uiPriority w:val="99"/>
    <w:rsid w:val="00FB02CA"/>
    <w:pPr>
      <w:spacing w:before="40" w:after="40" w:line="360" w:lineRule="auto"/>
    </w:pPr>
    <w:rPr>
      <w:rFonts w:ascii="Arial" w:eastAsia="Calibri" w:hAnsi="Arial" w:cs="Times New Roman"/>
      <w:sz w:val="20"/>
      <w:szCs w:val="20"/>
      <w:lang w:val="x-none" w:eastAsia="x-none"/>
    </w:rPr>
  </w:style>
  <w:style w:type="paragraph" w:customStyle="1" w:styleId="StyleBoldUnderlineJustified">
    <w:name w:val="Style Bold Underline Justified"/>
    <w:basedOn w:val="Normal"/>
    <w:uiPriority w:val="99"/>
    <w:rsid w:val="00FB02CA"/>
    <w:pPr>
      <w:spacing w:after="0" w:line="240" w:lineRule="auto"/>
    </w:pPr>
    <w:rPr>
      <w:rFonts w:ascii="Arial" w:eastAsia="Calibri" w:hAnsi="Arial" w:cs="Arial"/>
      <w:b/>
      <w:bCs/>
      <w:u w:val="single"/>
      <w:lang w:eastAsia="en-US"/>
    </w:rPr>
  </w:style>
  <w:style w:type="character" w:customStyle="1" w:styleId="Style5Char">
    <w:name w:val="Style5 Char"/>
    <w:link w:val="Style5"/>
    <w:uiPriority w:val="99"/>
    <w:locked/>
    <w:rsid w:val="00FB02CA"/>
    <w:rPr>
      <w:rFonts w:ascii="Arial" w:eastAsia="Times New Roman" w:hAnsi="Arial" w:cs="Times New Roman"/>
      <w:bCs/>
      <w:i/>
      <w:iCs/>
      <w:szCs w:val="26"/>
      <w:u w:val="single"/>
    </w:rPr>
  </w:style>
  <w:style w:type="character" w:customStyle="1" w:styleId="CharCharChar1">
    <w:name w:val="Char Char Char1"/>
    <w:aliases w:val="Char Char Char2"/>
    <w:uiPriority w:val="99"/>
    <w:locked/>
    <w:rsid w:val="00FB02CA"/>
    <w:rPr>
      <w:rFonts w:ascii="Arial" w:hAnsi="Arial" w:cs="Arial"/>
      <w:b/>
      <w:bCs/>
      <w:lang w:val="en-US" w:eastAsia="en-US"/>
    </w:rPr>
  </w:style>
  <w:style w:type="character" w:customStyle="1" w:styleId="Char2Char11">
    <w:name w:val="Char2 Char11"/>
    <w:uiPriority w:val="99"/>
    <w:locked/>
    <w:rsid w:val="00FB02CA"/>
    <w:rPr>
      <w:rFonts w:cs="Times New Roman"/>
      <w:sz w:val="18"/>
      <w:szCs w:val="18"/>
    </w:rPr>
  </w:style>
  <w:style w:type="character" w:customStyle="1" w:styleId="BodyTextIndentChar1">
    <w:name w:val="Body Text Indent Char1"/>
    <w:basedOn w:val="DefaultParagraphFont"/>
    <w:uiPriority w:val="99"/>
    <w:semiHidden/>
    <w:rsid w:val="00FB02CA"/>
    <w:rPr>
      <w:lang w:eastAsia="ja-JP"/>
    </w:rPr>
  </w:style>
  <w:style w:type="character" w:customStyle="1" w:styleId="StyleCalibri">
    <w:name w:val="Style Calibri"/>
    <w:rsid w:val="00FB02CA"/>
    <w:rPr>
      <w:rFonts w:ascii="Calibri" w:hAnsi="Calibri"/>
      <w:sz w:val="24"/>
    </w:rPr>
  </w:style>
  <w:style w:type="paragraph" w:customStyle="1" w:styleId="Bodywithnoindent">
    <w:name w:val="Body with no indent"/>
    <w:basedOn w:val="Normal"/>
    <w:rsid w:val="00FB02CA"/>
    <w:pPr>
      <w:numPr>
        <w:numId w:val="21"/>
      </w:numPr>
      <w:tabs>
        <w:tab w:val="clear" w:pos="1440"/>
      </w:tabs>
      <w:spacing w:after="120" w:line="240" w:lineRule="auto"/>
      <w:ind w:left="0" w:firstLine="0"/>
    </w:pPr>
    <w:rPr>
      <w:rFonts w:ascii="Times New Roman" w:eastAsia="Times New Roman" w:hAnsi="Times New Roman" w:cs="Times New Roman"/>
      <w:sz w:val="24"/>
      <w:szCs w:val="20"/>
      <w:lang w:eastAsia="en-US"/>
    </w:rPr>
  </w:style>
  <w:style w:type="paragraph" w:customStyle="1" w:styleId="PolicyProcedures">
    <w:name w:val="Policy &amp; Procedures"/>
    <w:basedOn w:val="Normal"/>
    <w:next w:val="Normal"/>
    <w:uiPriority w:val="99"/>
    <w:rsid w:val="00FB02CA"/>
    <w:pPr>
      <w:autoSpaceDE w:val="0"/>
      <w:autoSpaceDN w:val="0"/>
      <w:adjustRightInd w:val="0"/>
      <w:spacing w:after="0" w:line="240" w:lineRule="auto"/>
      <w:jc w:val="left"/>
    </w:pPr>
    <w:rPr>
      <w:rFonts w:ascii="Arial" w:eastAsia="Calibri" w:hAnsi="Arial" w:cs="Arial"/>
      <w:sz w:val="24"/>
      <w:szCs w:val="24"/>
      <w:lang w:eastAsia="en-US"/>
    </w:rPr>
  </w:style>
  <w:style w:type="paragraph" w:customStyle="1" w:styleId="PolicyProcedure">
    <w:name w:val="Policy &amp; Procedure"/>
    <w:basedOn w:val="Default"/>
    <w:next w:val="Default"/>
    <w:uiPriority w:val="99"/>
    <w:rsid w:val="00FB02CA"/>
    <w:pPr>
      <w:widowControl/>
      <w:spacing w:after="0" w:line="240" w:lineRule="auto"/>
    </w:pPr>
    <w:rPr>
      <w:rFonts w:eastAsia="Calibri"/>
      <w:color w:val="auto"/>
    </w:rPr>
  </w:style>
  <w:style w:type="character" w:customStyle="1" w:styleId="SubtleEmphasis1">
    <w:name w:val="Subtle Emphasis1"/>
    <w:basedOn w:val="DefaultParagraphFont"/>
    <w:uiPriority w:val="19"/>
    <w:rsid w:val="00FB02CA"/>
    <w:rPr>
      <w:i/>
      <w:iCs/>
      <w:color w:val="808080"/>
    </w:rPr>
  </w:style>
  <w:style w:type="paragraph" w:customStyle="1" w:styleId="msolistparagraph0">
    <w:name w:val="msolistparagraph"/>
    <w:basedOn w:val="Normal"/>
    <w:uiPriority w:val="99"/>
    <w:rsid w:val="00FB02CA"/>
    <w:pPr>
      <w:spacing w:after="240" w:line="360" w:lineRule="auto"/>
      <w:ind w:left="720"/>
    </w:pPr>
    <w:rPr>
      <w:rFonts w:ascii="Arial" w:eastAsia="Calibri" w:hAnsi="Arial" w:cs="Arial"/>
      <w:lang w:eastAsia="en-US"/>
    </w:rPr>
  </w:style>
  <w:style w:type="paragraph" w:customStyle="1" w:styleId="Discussion">
    <w:name w:val="Discussion"/>
    <w:basedOn w:val="Normal"/>
    <w:link w:val="DiscussionChar"/>
    <w:qFormat/>
    <w:rsid w:val="00FB02CA"/>
    <w:pPr>
      <w:spacing w:before="240" w:after="120"/>
    </w:pPr>
    <w:rPr>
      <w:rFonts w:cs="Cambria"/>
      <w:b/>
    </w:rPr>
  </w:style>
  <w:style w:type="character" w:customStyle="1" w:styleId="DiscussionChar">
    <w:name w:val="Discussion Char"/>
    <w:basedOn w:val="DefaultParagraphFont"/>
    <w:link w:val="Discussion"/>
    <w:rsid w:val="00FB02CA"/>
    <w:rPr>
      <w:rFonts w:ascii="Calibri" w:hAnsi="Calibri" w:cs="Cambria"/>
      <w:b/>
      <w:lang w:eastAsia="ja-JP"/>
    </w:rPr>
  </w:style>
  <w:style w:type="character" w:customStyle="1" w:styleId="RecommendationChar">
    <w:name w:val="Recommendation Char"/>
    <w:link w:val="Recommendation"/>
    <w:rsid w:val="00FB02CA"/>
    <w:rPr>
      <w:rFonts w:ascii="Calibri" w:eastAsia="Calibri" w:hAnsi="Calibri" w:cs="Times New Roman"/>
      <w:sz w:val="20"/>
      <w:lang w:eastAsia="ja-JP"/>
    </w:rPr>
  </w:style>
  <w:style w:type="paragraph" w:customStyle="1" w:styleId="RecomPriority3">
    <w:name w:val="RecomPriority3"/>
    <w:basedOn w:val="Recommendation"/>
    <w:next w:val="Recommendation"/>
    <w:link w:val="RecomPriority3Char"/>
    <w:rsid w:val="00FB02CA"/>
    <w:pPr>
      <w:numPr>
        <w:numId w:val="22"/>
      </w:numPr>
      <w:spacing w:before="80"/>
      <w:jc w:val="left"/>
    </w:pPr>
    <w:rPr>
      <w:rFonts w:ascii="Arial" w:eastAsia="Times New Roman" w:hAnsi="Arial"/>
    </w:rPr>
  </w:style>
  <w:style w:type="paragraph" w:customStyle="1" w:styleId="RecomPriority4">
    <w:name w:val="RecomPriority4"/>
    <w:basedOn w:val="RecomPriority3"/>
    <w:next w:val="Recommendation"/>
    <w:link w:val="RecomPriority4Char"/>
    <w:autoRedefine/>
    <w:rsid w:val="00FB02CA"/>
  </w:style>
  <w:style w:type="character" w:customStyle="1" w:styleId="RecomPriority4Char">
    <w:name w:val="RecomPriority4 Char"/>
    <w:basedOn w:val="RecommendationChar"/>
    <w:link w:val="RecomPriority4"/>
    <w:rsid w:val="00FB02CA"/>
    <w:rPr>
      <w:rFonts w:ascii="Arial" w:eastAsia="Times New Roman" w:hAnsi="Arial" w:cs="Times New Roman"/>
      <w:sz w:val="20"/>
      <w:lang w:eastAsia="ja-JP"/>
    </w:rPr>
  </w:style>
  <w:style w:type="paragraph" w:customStyle="1" w:styleId="RecomPriority1">
    <w:name w:val="RecomPriority1"/>
    <w:basedOn w:val="Recommendation"/>
    <w:next w:val="Recommendation"/>
    <w:rsid w:val="00FB02CA"/>
    <w:pPr>
      <w:numPr>
        <w:numId w:val="23"/>
      </w:numPr>
      <w:spacing w:before="80"/>
      <w:jc w:val="left"/>
    </w:pPr>
    <w:rPr>
      <w:rFonts w:ascii="Arial" w:eastAsia="Times New Roman" w:hAnsi="Arial"/>
      <w:sz w:val="22"/>
      <w:lang w:eastAsia="en-US"/>
    </w:rPr>
  </w:style>
  <w:style w:type="paragraph" w:customStyle="1" w:styleId="RecomPriority2">
    <w:name w:val="RecomPriority2"/>
    <w:basedOn w:val="RecomPriority3"/>
    <w:next w:val="Recommendation"/>
    <w:autoRedefine/>
    <w:rsid w:val="00FB02CA"/>
    <w:pPr>
      <w:numPr>
        <w:numId w:val="24"/>
      </w:numPr>
      <w:tabs>
        <w:tab w:val="clear" w:pos="360"/>
      </w:tabs>
      <w:ind w:left="360"/>
    </w:pPr>
  </w:style>
  <w:style w:type="character" w:customStyle="1" w:styleId="RecomPriority3Char">
    <w:name w:val="RecomPriority3 Char"/>
    <w:basedOn w:val="RecommendationChar"/>
    <w:link w:val="RecomPriority3"/>
    <w:rsid w:val="00FB02CA"/>
    <w:rPr>
      <w:rFonts w:ascii="Arial" w:eastAsia="Times New Roman" w:hAnsi="Arial" w:cs="Times New Roman"/>
      <w:sz w:val="20"/>
      <w:lang w:eastAsia="ja-JP"/>
    </w:rPr>
  </w:style>
  <w:style w:type="character" w:styleId="SubtleEmphasis">
    <w:name w:val="Subtle Emphasis"/>
    <w:basedOn w:val="DefaultParagraphFont"/>
    <w:uiPriority w:val="19"/>
    <w:rsid w:val="00FB02CA"/>
    <w:rPr>
      <w:i/>
      <w:iCs/>
      <w:color w:val="808080" w:themeColor="text1" w:themeTint="7F"/>
    </w:rPr>
  </w:style>
  <w:style w:type="numbering" w:customStyle="1" w:styleId="NoList6">
    <w:name w:val="No List6"/>
    <w:next w:val="NoList"/>
    <w:uiPriority w:val="99"/>
    <w:semiHidden/>
    <w:unhideWhenUsed/>
    <w:rsid w:val="00C50793"/>
  </w:style>
  <w:style w:type="table" w:customStyle="1" w:styleId="TableElegant1">
    <w:name w:val="Table Elegant1"/>
    <w:basedOn w:val="TableNormal"/>
    <w:next w:val="TableElegant"/>
    <w:uiPriority w:val="99"/>
    <w:rsid w:val="00C50793"/>
    <w:pPr>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ascii="Times New Roman" w:hAnsi="Times New Roman" w:cs="Times New Roman" w:hint="default"/>
        <w:caps/>
        <w:color w:val="auto"/>
      </w:rPr>
      <w:tblPr/>
      <w:tcPr>
        <w:tcBorders>
          <w:tl2br w:val="none" w:sz="0" w:space="0" w:color="auto"/>
          <w:tr2bl w:val="none" w:sz="0" w:space="0" w:color="auto"/>
        </w:tcBorders>
      </w:tcPr>
    </w:tblStylePr>
  </w:style>
  <w:style w:type="table" w:customStyle="1" w:styleId="TableGrid7">
    <w:name w:val="Table Grid7"/>
    <w:basedOn w:val="TableNormal"/>
    <w:next w:val="TableGrid"/>
    <w:uiPriority w:val="59"/>
    <w:rsid w:val="00C50793"/>
    <w:pPr>
      <w:widowControl w:val="0"/>
      <w:spacing w:line="36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olorfulList-Accent11">
    <w:name w:val="Colorful List - Accent 11"/>
    <w:basedOn w:val="TableNormal"/>
    <w:next w:val="ColorfulList-Accent1"/>
    <w:uiPriority w:val="72"/>
    <w:qFormat/>
    <w:rsid w:val="00C50793"/>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customStyle="1" w:styleId="MediumGrid1-Accent21">
    <w:name w:val="Medium Grid 1 - Accent 21"/>
    <w:basedOn w:val="TableNormal"/>
    <w:next w:val="MediumGrid1-Accent2"/>
    <w:uiPriority w:val="67"/>
    <w:rsid w:val="00C50793"/>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customStyle="1" w:styleId="ApparatusTable1">
    <w:name w:val="Apparatus Table1"/>
    <w:rsid w:val="00C50793"/>
    <w:pPr>
      <w:keepLines/>
      <w:jc w:val="center"/>
    </w:pPr>
    <w:rPr>
      <w:rFonts w:ascii="Arial" w:hAnsi="Arial"/>
      <w:sz w:val="18"/>
      <w:szCs w:val="18"/>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top w:w="0" w:type="dxa"/>
        <w:left w:w="108" w:type="dxa"/>
        <w:bottom w:w="0" w:type="dxa"/>
        <w:right w:w="108" w:type="dxa"/>
      </w:tblCellMar>
    </w:tblPr>
  </w:style>
  <w:style w:type="table" w:customStyle="1" w:styleId="StationTable1">
    <w:name w:val="Station Table1"/>
    <w:rsid w:val="00C50793"/>
    <w:pPr>
      <w:keepLines/>
    </w:pPr>
    <w:rPr>
      <w:sz w:val="18"/>
      <w:szCs w:val="18"/>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top w:w="29" w:type="dxa"/>
        <w:left w:w="115" w:type="dxa"/>
        <w:bottom w:w="29" w:type="dxa"/>
        <w:right w:w="115" w:type="dxa"/>
      </w:tblCellMar>
    </w:tblPr>
  </w:style>
  <w:style w:type="table" w:customStyle="1" w:styleId="RecommendationTable2">
    <w:name w:val="Recommendation Table2"/>
    <w:rsid w:val="00C50793"/>
    <w:rPr>
      <w:rFonts w:ascii="Arial" w:hAnsi="Arial"/>
    </w:rPr>
    <w:tblPr>
      <w:tblBorders>
        <w:top w:val="single" w:sz="12" w:space="0" w:color="auto"/>
        <w:left w:val="single" w:sz="12" w:space="0" w:color="auto"/>
        <w:bottom w:val="single" w:sz="12" w:space="0" w:color="auto"/>
        <w:right w:val="single" w:sz="12" w:space="0" w:color="auto"/>
      </w:tblBorders>
      <w:tblCellMar>
        <w:top w:w="0" w:type="dxa"/>
        <w:left w:w="108" w:type="dxa"/>
        <w:bottom w:w="0" w:type="dxa"/>
        <w:right w:w="108" w:type="dxa"/>
      </w:tblCellMar>
    </w:tblPr>
  </w:style>
  <w:style w:type="table" w:customStyle="1" w:styleId="TableGrid22">
    <w:name w:val="Table Grid22"/>
    <w:rsid w:val="00C5079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
    <w:name w:val="Table Grid13"/>
    <w:basedOn w:val="TableNormal"/>
    <w:rsid w:val="00C5079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ESCiTable2">
    <w:name w:val="ESCi Table2"/>
    <w:basedOn w:val="TableGrid"/>
    <w:uiPriority w:val="99"/>
    <w:rsid w:val="00C50793"/>
    <w:pPr>
      <w:keepLines/>
      <w:widowControl/>
      <w:spacing w:line="240" w:lineRule="auto"/>
    </w:pPr>
    <w:rPr>
      <w:rFonts w:ascii="Arial" w:hAnsi="Arial"/>
    </w:rPr>
    <w:tblPr/>
  </w:style>
  <w:style w:type="numbering" w:customStyle="1" w:styleId="List11">
    <w:name w:val="List 11"/>
    <w:rsid w:val="00C50793"/>
  </w:style>
  <w:style w:type="numbering" w:customStyle="1" w:styleId="List211">
    <w:name w:val="List 211"/>
    <w:rsid w:val="00C50793"/>
  </w:style>
  <w:style w:type="numbering" w:customStyle="1" w:styleId="List311">
    <w:name w:val="List 311"/>
    <w:rsid w:val="00C50793"/>
  </w:style>
  <w:style w:type="table" w:customStyle="1" w:styleId="TableGrid32">
    <w:name w:val="Table Grid32"/>
    <w:basedOn w:val="TableNormal"/>
    <w:next w:val="TableGrid"/>
    <w:uiPriority w:val="59"/>
    <w:rsid w:val="00C50793"/>
    <w:rPr>
      <w:rFonts w:eastAsiaTheme="minorEastAsia"/>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
    <w:name w:val="No List13"/>
    <w:next w:val="NoList"/>
    <w:uiPriority w:val="99"/>
    <w:semiHidden/>
    <w:unhideWhenUsed/>
    <w:rsid w:val="00C50793"/>
  </w:style>
  <w:style w:type="table" w:customStyle="1" w:styleId="TableGrid42">
    <w:name w:val="Table Grid42"/>
    <w:basedOn w:val="TableNormal"/>
    <w:next w:val="TableGrid"/>
    <w:uiPriority w:val="59"/>
    <w:rsid w:val="00C5079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APTION-TABLE">
    <w:name w:val="CAPTION-TABLE"/>
    <w:basedOn w:val="Normal"/>
    <w:uiPriority w:val="1"/>
    <w:qFormat/>
    <w:rsid w:val="00C50793"/>
    <w:pPr>
      <w:spacing w:after="40" w:line="240" w:lineRule="auto"/>
      <w:jc w:val="center"/>
    </w:pPr>
    <w:rPr>
      <w:b/>
      <w:color w:val="365F91"/>
      <w:sz w:val="20"/>
      <w:lang w:eastAsia="en-US"/>
    </w:rPr>
  </w:style>
  <w:style w:type="table" w:customStyle="1" w:styleId="TableGrid52">
    <w:name w:val="Table Grid52"/>
    <w:basedOn w:val="TableNormal"/>
    <w:next w:val="TableGrid"/>
    <w:uiPriority w:val="59"/>
    <w:rsid w:val="00C5079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next w:val="TableGrid"/>
    <w:uiPriority w:val="59"/>
    <w:rsid w:val="00C5079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next w:val="TableGrid"/>
    <w:uiPriority w:val="59"/>
    <w:rsid w:val="00C5079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C5079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4">
    <w:name w:val="Table Grid94"/>
    <w:basedOn w:val="TableNormal"/>
    <w:next w:val="TableGrid"/>
    <w:uiPriority w:val="59"/>
    <w:rsid w:val="00C5079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8">
    <w:name w:val="Table Grid108"/>
    <w:basedOn w:val="TableNormal"/>
    <w:next w:val="TableGrid"/>
    <w:uiPriority w:val="59"/>
    <w:rsid w:val="00C5079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next w:val="TableGrid"/>
    <w:uiPriority w:val="59"/>
    <w:rsid w:val="00C5079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uiPriority w:val="59"/>
    <w:rsid w:val="00C50793"/>
    <w:pPr>
      <w:spacing w:after="0" w:line="240" w:lineRule="auto"/>
    </w:pPr>
    <w:rPr>
      <w:rFonts w:ascii="Cambria" w:eastAsia="Cambria" w:hAnsi="Cambria"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
    <w:name w:val="No List22"/>
    <w:next w:val="NoList"/>
    <w:uiPriority w:val="99"/>
    <w:semiHidden/>
    <w:unhideWhenUsed/>
    <w:rsid w:val="00C50793"/>
  </w:style>
  <w:style w:type="table" w:customStyle="1" w:styleId="TableGrid121">
    <w:name w:val="Table Grid121"/>
    <w:basedOn w:val="TableNormal"/>
    <w:next w:val="TableGrid"/>
    <w:uiPriority w:val="59"/>
    <w:rsid w:val="00C5079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
    <w:name w:val="No List7"/>
    <w:next w:val="NoList"/>
    <w:uiPriority w:val="99"/>
    <w:semiHidden/>
    <w:unhideWhenUsed/>
    <w:rsid w:val="00FC585A"/>
  </w:style>
  <w:style w:type="numbering" w:customStyle="1" w:styleId="NoList14">
    <w:name w:val="No List14"/>
    <w:next w:val="NoList"/>
    <w:uiPriority w:val="99"/>
    <w:semiHidden/>
    <w:unhideWhenUsed/>
    <w:rsid w:val="00FC585A"/>
  </w:style>
  <w:style w:type="table" w:customStyle="1" w:styleId="TableGrid19">
    <w:name w:val="Table Grid19"/>
    <w:basedOn w:val="TableNormal"/>
    <w:next w:val="TableGrid"/>
    <w:uiPriority w:val="59"/>
    <w:rsid w:val="00FC585A"/>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59"/>
    <w:rsid w:val="00FC585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
    <w:name w:val="No List113"/>
    <w:next w:val="NoList"/>
    <w:uiPriority w:val="99"/>
    <w:semiHidden/>
    <w:unhideWhenUsed/>
    <w:rsid w:val="00FC585A"/>
  </w:style>
  <w:style w:type="table" w:customStyle="1" w:styleId="ESCiTable3">
    <w:name w:val="ESCi Table3"/>
    <w:basedOn w:val="TableGrid"/>
    <w:rsid w:val="00FC585A"/>
    <w:pPr>
      <w:keepNext/>
      <w:keepLines/>
      <w:widowControl/>
      <w:spacing w:after="0" w:line="240" w:lineRule="auto"/>
    </w:pPr>
    <w:rPr>
      <w:rFonts w:ascii="Arial" w:eastAsia="Calibri" w:hAnsi="Arial" w:cs="Times New Roman"/>
      <w:szCs w:val="20"/>
    </w:rPr>
    <w:tblPr/>
  </w:style>
  <w:style w:type="table" w:customStyle="1" w:styleId="RecommendationTable3">
    <w:name w:val="Recommendation Table3"/>
    <w:rsid w:val="00FC585A"/>
    <w:pPr>
      <w:spacing w:after="0" w:line="240" w:lineRule="auto"/>
    </w:pPr>
    <w:rPr>
      <w:rFonts w:ascii="Arial" w:eastAsia="Calibri" w:hAnsi="Arial" w:cs="Times New Roman"/>
      <w:szCs w:val="20"/>
    </w:rPr>
    <w:tblPr>
      <w:tblInd w:w="0" w:type="dxa"/>
      <w:tblBorders>
        <w:top w:val="single" w:sz="12" w:space="0" w:color="auto"/>
        <w:left w:val="single" w:sz="12" w:space="0" w:color="auto"/>
        <w:bottom w:val="single" w:sz="12" w:space="0" w:color="auto"/>
        <w:right w:val="single" w:sz="12" w:space="0" w:color="auto"/>
      </w:tblBorders>
      <w:tblCellMar>
        <w:top w:w="0" w:type="dxa"/>
        <w:left w:w="108" w:type="dxa"/>
        <w:bottom w:w="0" w:type="dxa"/>
        <w:right w:w="108" w:type="dxa"/>
      </w:tblCellMar>
    </w:tblPr>
    <w:tcPr>
      <w:shd w:val="clear" w:color="auto" w:fill="FFCC99"/>
    </w:tcPr>
  </w:style>
  <w:style w:type="numbering" w:customStyle="1" w:styleId="NoList1112">
    <w:name w:val="No List1112"/>
    <w:next w:val="NoList"/>
    <w:uiPriority w:val="99"/>
    <w:semiHidden/>
    <w:unhideWhenUsed/>
    <w:rsid w:val="00FC585A"/>
  </w:style>
  <w:style w:type="numbering" w:customStyle="1" w:styleId="NoList23">
    <w:name w:val="No List23"/>
    <w:next w:val="NoList"/>
    <w:uiPriority w:val="99"/>
    <w:semiHidden/>
    <w:unhideWhenUsed/>
    <w:rsid w:val="00FC585A"/>
  </w:style>
  <w:style w:type="numbering" w:customStyle="1" w:styleId="NoList32">
    <w:name w:val="No List32"/>
    <w:next w:val="NoList"/>
    <w:uiPriority w:val="99"/>
    <w:semiHidden/>
    <w:unhideWhenUsed/>
    <w:rsid w:val="00FC585A"/>
  </w:style>
  <w:style w:type="numbering" w:customStyle="1" w:styleId="NoList41">
    <w:name w:val="No List41"/>
    <w:next w:val="NoList"/>
    <w:uiPriority w:val="99"/>
    <w:semiHidden/>
    <w:unhideWhenUsed/>
    <w:rsid w:val="00FC585A"/>
  </w:style>
  <w:style w:type="table" w:customStyle="1" w:styleId="ESCiTable11">
    <w:name w:val="ESCi Table11"/>
    <w:basedOn w:val="TableGrid"/>
    <w:rsid w:val="00FC585A"/>
    <w:pPr>
      <w:keepNext/>
      <w:keepLines/>
      <w:widowControl/>
      <w:spacing w:after="0" w:line="240" w:lineRule="auto"/>
    </w:pPr>
    <w:rPr>
      <w:rFonts w:ascii="Arial" w:eastAsia="Calibri" w:hAnsi="Arial" w:cs="Times New Roman"/>
      <w:szCs w:val="20"/>
    </w:rPr>
    <w:tblPr/>
  </w:style>
  <w:style w:type="table" w:customStyle="1" w:styleId="RecommendationTable11">
    <w:name w:val="Recommendation Table11"/>
    <w:rsid w:val="00FC585A"/>
    <w:pPr>
      <w:spacing w:after="0" w:line="240" w:lineRule="auto"/>
    </w:pPr>
    <w:rPr>
      <w:rFonts w:ascii="Arial" w:eastAsia="Calibri" w:hAnsi="Arial" w:cs="Times New Roman"/>
      <w:szCs w:val="20"/>
    </w:rPr>
    <w:tblPr>
      <w:tblInd w:w="0" w:type="dxa"/>
      <w:tblBorders>
        <w:top w:val="single" w:sz="12" w:space="0" w:color="auto"/>
        <w:left w:val="single" w:sz="12" w:space="0" w:color="auto"/>
        <w:bottom w:val="single" w:sz="12" w:space="0" w:color="auto"/>
        <w:right w:val="single" w:sz="12" w:space="0" w:color="auto"/>
      </w:tblBorders>
      <w:tblCellMar>
        <w:top w:w="0" w:type="dxa"/>
        <w:left w:w="108" w:type="dxa"/>
        <w:bottom w:w="0" w:type="dxa"/>
        <w:right w:w="108" w:type="dxa"/>
      </w:tblCellMar>
    </w:tblPr>
    <w:tcPr>
      <w:shd w:val="clear" w:color="auto" w:fill="FFCC99"/>
    </w:tcPr>
  </w:style>
  <w:style w:type="numbering" w:customStyle="1" w:styleId="NoList11112">
    <w:name w:val="No List11112"/>
    <w:next w:val="NoList"/>
    <w:uiPriority w:val="99"/>
    <w:semiHidden/>
    <w:unhideWhenUsed/>
    <w:rsid w:val="00FC585A"/>
  </w:style>
  <w:style w:type="numbering" w:customStyle="1" w:styleId="NoList211">
    <w:name w:val="No List211"/>
    <w:next w:val="NoList"/>
    <w:uiPriority w:val="99"/>
    <w:semiHidden/>
    <w:unhideWhenUsed/>
    <w:rsid w:val="00FC585A"/>
  </w:style>
  <w:style w:type="numbering" w:customStyle="1" w:styleId="NoList311">
    <w:name w:val="No List311"/>
    <w:next w:val="NoList"/>
    <w:uiPriority w:val="99"/>
    <w:semiHidden/>
    <w:unhideWhenUsed/>
    <w:rsid w:val="00FC585A"/>
  </w:style>
  <w:style w:type="numbering" w:customStyle="1" w:styleId="NoList111112">
    <w:name w:val="No List111112"/>
    <w:next w:val="NoList"/>
    <w:uiPriority w:val="99"/>
    <w:semiHidden/>
    <w:unhideWhenUsed/>
    <w:rsid w:val="00FC585A"/>
  </w:style>
  <w:style w:type="numbering" w:customStyle="1" w:styleId="NoList51">
    <w:name w:val="No List51"/>
    <w:next w:val="NoList"/>
    <w:uiPriority w:val="99"/>
    <w:semiHidden/>
    <w:unhideWhenUsed/>
    <w:rsid w:val="00FC585A"/>
  </w:style>
  <w:style w:type="table" w:customStyle="1" w:styleId="TableGrid23">
    <w:name w:val="Table Grid23"/>
    <w:basedOn w:val="TableNormal"/>
    <w:next w:val="TableGrid"/>
    <w:rsid w:val="00FC585A"/>
    <w:pPr>
      <w:spacing w:after="0" w:line="240" w:lineRule="auto"/>
      <w:jc w:val="both"/>
    </w:pPr>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next w:val="TableGrid"/>
    <w:rsid w:val="00FC585A"/>
    <w:pPr>
      <w:spacing w:after="0" w:line="240" w:lineRule="auto"/>
    </w:pPr>
    <w:rPr>
      <w:rFonts w:ascii="Arial" w:eastAsia="Times New Roman" w:hAnsi="Arial" w:cs="Arial"/>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
    <w:name w:val="No List121"/>
    <w:next w:val="NoList"/>
    <w:uiPriority w:val="99"/>
    <w:semiHidden/>
    <w:unhideWhenUsed/>
    <w:rsid w:val="00FC585A"/>
  </w:style>
  <w:style w:type="numbering" w:customStyle="1" w:styleId="NoList1121">
    <w:name w:val="No List1121"/>
    <w:next w:val="NoList"/>
    <w:uiPriority w:val="99"/>
    <w:semiHidden/>
    <w:unhideWhenUsed/>
    <w:rsid w:val="00FC585A"/>
  </w:style>
  <w:style w:type="table" w:customStyle="1" w:styleId="TableGrid33">
    <w:name w:val="Table Grid33"/>
    <w:basedOn w:val="TableNormal"/>
    <w:next w:val="TableGrid"/>
    <w:rsid w:val="00FC585A"/>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next w:val="TableGrid"/>
    <w:uiPriority w:val="59"/>
    <w:rsid w:val="00FC585A"/>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next w:val="TableGrid"/>
    <w:uiPriority w:val="59"/>
    <w:rsid w:val="00FC585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next w:val="TableGrid"/>
    <w:uiPriority w:val="59"/>
    <w:rsid w:val="00C803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next w:val="TableGrid"/>
    <w:uiPriority w:val="59"/>
    <w:rsid w:val="0013162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59"/>
    <w:rsid w:val="0013162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next w:val="TableGrid"/>
    <w:uiPriority w:val="59"/>
    <w:rsid w:val="0013162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59"/>
    <w:rsid w:val="0013162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uiPriority w:val="59"/>
    <w:rsid w:val="00A841C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
    <w:name w:val="Table Grid54"/>
    <w:basedOn w:val="TableNormal"/>
    <w:next w:val="TableGrid"/>
    <w:uiPriority w:val="59"/>
    <w:rsid w:val="00021755"/>
    <w:pPr>
      <w:widowControl w:val="0"/>
      <w:spacing w:after="0" w:line="36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007631">
      <w:bodyDiv w:val="1"/>
      <w:marLeft w:val="0"/>
      <w:marRight w:val="0"/>
      <w:marTop w:val="0"/>
      <w:marBottom w:val="0"/>
      <w:divBdr>
        <w:top w:val="none" w:sz="0" w:space="0" w:color="auto"/>
        <w:left w:val="none" w:sz="0" w:space="0" w:color="auto"/>
        <w:bottom w:val="none" w:sz="0" w:space="0" w:color="auto"/>
        <w:right w:val="none" w:sz="0" w:space="0" w:color="auto"/>
      </w:divBdr>
    </w:div>
    <w:div w:id="138544103">
      <w:bodyDiv w:val="1"/>
      <w:marLeft w:val="0"/>
      <w:marRight w:val="0"/>
      <w:marTop w:val="0"/>
      <w:marBottom w:val="0"/>
      <w:divBdr>
        <w:top w:val="none" w:sz="0" w:space="0" w:color="auto"/>
        <w:left w:val="none" w:sz="0" w:space="0" w:color="auto"/>
        <w:bottom w:val="none" w:sz="0" w:space="0" w:color="auto"/>
        <w:right w:val="none" w:sz="0" w:space="0" w:color="auto"/>
      </w:divBdr>
    </w:div>
    <w:div w:id="449907293">
      <w:bodyDiv w:val="1"/>
      <w:marLeft w:val="0"/>
      <w:marRight w:val="0"/>
      <w:marTop w:val="0"/>
      <w:marBottom w:val="0"/>
      <w:divBdr>
        <w:top w:val="none" w:sz="0" w:space="0" w:color="auto"/>
        <w:left w:val="none" w:sz="0" w:space="0" w:color="auto"/>
        <w:bottom w:val="none" w:sz="0" w:space="0" w:color="auto"/>
        <w:right w:val="none" w:sz="0" w:space="0" w:color="auto"/>
      </w:divBdr>
    </w:div>
    <w:div w:id="454758567">
      <w:bodyDiv w:val="1"/>
      <w:marLeft w:val="0"/>
      <w:marRight w:val="0"/>
      <w:marTop w:val="0"/>
      <w:marBottom w:val="0"/>
      <w:divBdr>
        <w:top w:val="none" w:sz="0" w:space="0" w:color="auto"/>
        <w:left w:val="none" w:sz="0" w:space="0" w:color="auto"/>
        <w:bottom w:val="none" w:sz="0" w:space="0" w:color="auto"/>
        <w:right w:val="none" w:sz="0" w:space="0" w:color="auto"/>
      </w:divBdr>
    </w:div>
    <w:div w:id="846676019">
      <w:bodyDiv w:val="1"/>
      <w:marLeft w:val="0"/>
      <w:marRight w:val="0"/>
      <w:marTop w:val="0"/>
      <w:marBottom w:val="0"/>
      <w:divBdr>
        <w:top w:val="none" w:sz="0" w:space="0" w:color="auto"/>
        <w:left w:val="none" w:sz="0" w:space="0" w:color="auto"/>
        <w:bottom w:val="none" w:sz="0" w:space="0" w:color="auto"/>
        <w:right w:val="none" w:sz="0" w:space="0" w:color="auto"/>
      </w:divBdr>
    </w:div>
    <w:div w:id="1039161803">
      <w:bodyDiv w:val="1"/>
      <w:marLeft w:val="0"/>
      <w:marRight w:val="0"/>
      <w:marTop w:val="0"/>
      <w:marBottom w:val="0"/>
      <w:divBdr>
        <w:top w:val="none" w:sz="0" w:space="0" w:color="auto"/>
        <w:left w:val="none" w:sz="0" w:space="0" w:color="auto"/>
        <w:bottom w:val="none" w:sz="0" w:space="0" w:color="auto"/>
        <w:right w:val="none" w:sz="0" w:space="0" w:color="auto"/>
      </w:divBdr>
    </w:div>
    <w:div w:id="1072771168">
      <w:bodyDiv w:val="1"/>
      <w:marLeft w:val="0"/>
      <w:marRight w:val="0"/>
      <w:marTop w:val="0"/>
      <w:marBottom w:val="0"/>
      <w:divBdr>
        <w:top w:val="none" w:sz="0" w:space="0" w:color="auto"/>
        <w:left w:val="none" w:sz="0" w:space="0" w:color="auto"/>
        <w:bottom w:val="none" w:sz="0" w:space="0" w:color="auto"/>
        <w:right w:val="none" w:sz="0" w:space="0" w:color="auto"/>
      </w:divBdr>
    </w:div>
    <w:div w:id="1107197607">
      <w:bodyDiv w:val="1"/>
      <w:marLeft w:val="0"/>
      <w:marRight w:val="0"/>
      <w:marTop w:val="0"/>
      <w:marBottom w:val="0"/>
      <w:divBdr>
        <w:top w:val="none" w:sz="0" w:space="0" w:color="auto"/>
        <w:left w:val="none" w:sz="0" w:space="0" w:color="auto"/>
        <w:bottom w:val="none" w:sz="0" w:space="0" w:color="auto"/>
        <w:right w:val="none" w:sz="0" w:space="0" w:color="auto"/>
      </w:divBdr>
    </w:div>
    <w:div w:id="1116413606">
      <w:marLeft w:val="0"/>
      <w:marRight w:val="0"/>
      <w:marTop w:val="0"/>
      <w:marBottom w:val="0"/>
      <w:divBdr>
        <w:top w:val="none" w:sz="0" w:space="0" w:color="auto"/>
        <w:left w:val="none" w:sz="0" w:space="0" w:color="auto"/>
        <w:bottom w:val="single" w:sz="4" w:space="1" w:color="auto"/>
        <w:right w:val="none" w:sz="0" w:space="0" w:color="auto"/>
      </w:divBdr>
    </w:div>
    <w:div w:id="1205170538">
      <w:bodyDiv w:val="1"/>
      <w:marLeft w:val="0"/>
      <w:marRight w:val="0"/>
      <w:marTop w:val="0"/>
      <w:marBottom w:val="0"/>
      <w:divBdr>
        <w:top w:val="none" w:sz="0" w:space="0" w:color="auto"/>
        <w:left w:val="none" w:sz="0" w:space="0" w:color="auto"/>
        <w:bottom w:val="none" w:sz="0" w:space="0" w:color="auto"/>
        <w:right w:val="none" w:sz="0" w:space="0" w:color="auto"/>
      </w:divBdr>
    </w:div>
    <w:div w:id="1245453384">
      <w:marLeft w:val="0"/>
      <w:marRight w:val="0"/>
      <w:marTop w:val="0"/>
      <w:marBottom w:val="0"/>
      <w:divBdr>
        <w:top w:val="none" w:sz="0" w:space="0" w:color="auto"/>
        <w:left w:val="none" w:sz="0" w:space="0" w:color="auto"/>
        <w:bottom w:val="single" w:sz="4" w:space="1" w:color="auto"/>
        <w:right w:val="none" w:sz="0" w:space="0" w:color="auto"/>
      </w:divBdr>
    </w:div>
    <w:div w:id="1305507768">
      <w:bodyDiv w:val="1"/>
      <w:marLeft w:val="0"/>
      <w:marRight w:val="0"/>
      <w:marTop w:val="0"/>
      <w:marBottom w:val="0"/>
      <w:divBdr>
        <w:top w:val="none" w:sz="0" w:space="0" w:color="auto"/>
        <w:left w:val="none" w:sz="0" w:space="0" w:color="auto"/>
        <w:bottom w:val="none" w:sz="0" w:space="0" w:color="auto"/>
        <w:right w:val="none" w:sz="0" w:space="0" w:color="auto"/>
      </w:divBdr>
    </w:div>
    <w:div w:id="1338192951">
      <w:bodyDiv w:val="1"/>
      <w:marLeft w:val="0"/>
      <w:marRight w:val="0"/>
      <w:marTop w:val="0"/>
      <w:marBottom w:val="0"/>
      <w:divBdr>
        <w:top w:val="none" w:sz="0" w:space="0" w:color="auto"/>
        <w:left w:val="none" w:sz="0" w:space="0" w:color="auto"/>
        <w:bottom w:val="none" w:sz="0" w:space="0" w:color="auto"/>
        <w:right w:val="none" w:sz="0" w:space="0" w:color="auto"/>
      </w:divBdr>
    </w:div>
    <w:div w:id="1391879347">
      <w:bodyDiv w:val="1"/>
      <w:marLeft w:val="0"/>
      <w:marRight w:val="0"/>
      <w:marTop w:val="0"/>
      <w:marBottom w:val="0"/>
      <w:divBdr>
        <w:top w:val="none" w:sz="0" w:space="0" w:color="auto"/>
        <w:left w:val="none" w:sz="0" w:space="0" w:color="auto"/>
        <w:bottom w:val="none" w:sz="0" w:space="0" w:color="auto"/>
        <w:right w:val="none" w:sz="0" w:space="0" w:color="auto"/>
      </w:divBdr>
    </w:div>
    <w:div w:id="1437216678">
      <w:bodyDiv w:val="1"/>
      <w:marLeft w:val="0"/>
      <w:marRight w:val="0"/>
      <w:marTop w:val="0"/>
      <w:marBottom w:val="0"/>
      <w:divBdr>
        <w:top w:val="none" w:sz="0" w:space="0" w:color="auto"/>
        <w:left w:val="none" w:sz="0" w:space="0" w:color="auto"/>
        <w:bottom w:val="none" w:sz="0" w:space="0" w:color="auto"/>
        <w:right w:val="none" w:sz="0" w:space="0" w:color="auto"/>
      </w:divBdr>
      <w:divsChild>
        <w:div w:id="232936269">
          <w:marLeft w:val="0"/>
          <w:marRight w:val="0"/>
          <w:marTop w:val="0"/>
          <w:marBottom w:val="0"/>
          <w:divBdr>
            <w:top w:val="none" w:sz="0" w:space="0" w:color="auto"/>
            <w:left w:val="none" w:sz="0" w:space="0" w:color="auto"/>
            <w:bottom w:val="none" w:sz="0" w:space="0" w:color="auto"/>
            <w:right w:val="none" w:sz="0" w:space="0" w:color="auto"/>
          </w:divBdr>
        </w:div>
      </w:divsChild>
    </w:div>
    <w:div w:id="1446734311">
      <w:bodyDiv w:val="1"/>
      <w:marLeft w:val="0"/>
      <w:marRight w:val="0"/>
      <w:marTop w:val="0"/>
      <w:marBottom w:val="0"/>
      <w:divBdr>
        <w:top w:val="none" w:sz="0" w:space="0" w:color="auto"/>
        <w:left w:val="none" w:sz="0" w:space="0" w:color="auto"/>
        <w:bottom w:val="none" w:sz="0" w:space="0" w:color="auto"/>
        <w:right w:val="none" w:sz="0" w:space="0" w:color="auto"/>
      </w:divBdr>
    </w:div>
    <w:div w:id="1457605326">
      <w:bodyDiv w:val="1"/>
      <w:marLeft w:val="0"/>
      <w:marRight w:val="0"/>
      <w:marTop w:val="0"/>
      <w:marBottom w:val="0"/>
      <w:divBdr>
        <w:top w:val="none" w:sz="0" w:space="0" w:color="auto"/>
        <w:left w:val="none" w:sz="0" w:space="0" w:color="auto"/>
        <w:bottom w:val="none" w:sz="0" w:space="0" w:color="auto"/>
        <w:right w:val="none" w:sz="0" w:space="0" w:color="auto"/>
      </w:divBdr>
    </w:div>
    <w:div w:id="1496142861">
      <w:marLeft w:val="0"/>
      <w:marRight w:val="0"/>
      <w:marTop w:val="0"/>
      <w:marBottom w:val="0"/>
      <w:divBdr>
        <w:top w:val="single" w:sz="4" w:space="1" w:color="auto"/>
        <w:left w:val="none" w:sz="0" w:space="0" w:color="auto"/>
        <w:bottom w:val="none" w:sz="0" w:space="0" w:color="auto"/>
        <w:right w:val="none" w:sz="0" w:space="0" w:color="auto"/>
      </w:divBdr>
    </w:div>
    <w:div w:id="1499468508">
      <w:bodyDiv w:val="1"/>
      <w:marLeft w:val="0"/>
      <w:marRight w:val="0"/>
      <w:marTop w:val="0"/>
      <w:marBottom w:val="0"/>
      <w:divBdr>
        <w:top w:val="none" w:sz="0" w:space="0" w:color="auto"/>
        <w:left w:val="none" w:sz="0" w:space="0" w:color="auto"/>
        <w:bottom w:val="none" w:sz="0" w:space="0" w:color="auto"/>
        <w:right w:val="none" w:sz="0" w:space="0" w:color="auto"/>
      </w:divBdr>
    </w:div>
    <w:div w:id="1560896070">
      <w:bodyDiv w:val="1"/>
      <w:marLeft w:val="0"/>
      <w:marRight w:val="0"/>
      <w:marTop w:val="0"/>
      <w:marBottom w:val="0"/>
      <w:divBdr>
        <w:top w:val="none" w:sz="0" w:space="0" w:color="auto"/>
        <w:left w:val="none" w:sz="0" w:space="0" w:color="auto"/>
        <w:bottom w:val="none" w:sz="0" w:space="0" w:color="auto"/>
        <w:right w:val="none" w:sz="0" w:space="0" w:color="auto"/>
      </w:divBdr>
    </w:div>
    <w:div w:id="1609897267">
      <w:bodyDiv w:val="1"/>
      <w:marLeft w:val="0"/>
      <w:marRight w:val="0"/>
      <w:marTop w:val="0"/>
      <w:marBottom w:val="0"/>
      <w:divBdr>
        <w:top w:val="none" w:sz="0" w:space="0" w:color="auto"/>
        <w:left w:val="none" w:sz="0" w:space="0" w:color="auto"/>
        <w:bottom w:val="none" w:sz="0" w:space="0" w:color="auto"/>
        <w:right w:val="none" w:sz="0" w:space="0" w:color="auto"/>
      </w:divBdr>
    </w:div>
    <w:div w:id="1681539514">
      <w:bodyDiv w:val="1"/>
      <w:marLeft w:val="0"/>
      <w:marRight w:val="0"/>
      <w:marTop w:val="0"/>
      <w:marBottom w:val="0"/>
      <w:divBdr>
        <w:top w:val="none" w:sz="0" w:space="0" w:color="auto"/>
        <w:left w:val="none" w:sz="0" w:space="0" w:color="auto"/>
        <w:bottom w:val="none" w:sz="0" w:space="0" w:color="auto"/>
        <w:right w:val="none" w:sz="0" w:space="0" w:color="auto"/>
      </w:divBdr>
    </w:div>
    <w:div w:id="1733581095">
      <w:bodyDiv w:val="1"/>
      <w:marLeft w:val="0"/>
      <w:marRight w:val="0"/>
      <w:marTop w:val="0"/>
      <w:marBottom w:val="0"/>
      <w:divBdr>
        <w:top w:val="none" w:sz="0" w:space="0" w:color="auto"/>
        <w:left w:val="none" w:sz="0" w:space="0" w:color="auto"/>
        <w:bottom w:val="none" w:sz="0" w:space="0" w:color="auto"/>
        <w:right w:val="none" w:sz="0" w:space="0" w:color="auto"/>
      </w:divBdr>
    </w:div>
    <w:div w:id="1905526486">
      <w:bodyDiv w:val="1"/>
      <w:marLeft w:val="0"/>
      <w:marRight w:val="0"/>
      <w:marTop w:val="0"/>
      <w:marBottom w:val="0"/>
      <w:divBdr>
        <w:top w:val="none" w:sz="0" w:space="0" w:color="auto"/>
        <w:left w:val="none" w:sz="0" w:space="0" w:color="auto"/>
        <w:bottom w:val="none" w:sz="0" w:space="0" w:color="auto"/>
        <w:right w:val="none" w:sz="0" w:space="0" w:color="auto"/>
      </w:divBdr>
    </w:div>
    <w:div w:id="1919171166">
      <w:marLeft w:val="0"/>
      <w:marRight w:val="0"/>
      <w:marTop w:val="0"/>
      <w:marBottom w:val="0"/>
      <w:divBdr>
        <w:top w:val="single" w:sz="4" w:space="1" w:color="auto"/>
        <w:left w:val="none" w:sz="0" w:space="0" w:color="auto"/>
        <w:bottom w:val="none" w:sz="0" w:space="0" w:color="auto"/>
        <w:right w:val="none" w:sz="0" w:space="0" w:color="auto"/>
      </w:divBdr>
      <w:divsChild>
        <w:div w:id="875502430">
          <w:marLeft w:val="0"/>
          <w:marRight w:val="0"/>
          <w:marTop w:val="0"/>
          <w:marBottom w:val="0"/>
          <w:divBdr>
            <w:top w:val="single" w:sz="4" w:space="1" w:color="auto"/>
            <w:left w:val="none" w:sz="0" w:space="0" w:color="auto"/>
            <w:bottom w:val="none" w:sz="0" w:space="0" w:color="auto"/>
            <w:right w:val="none" w:sz="0" w:space="0" w:color="auto"/>
          </w:divBdr>
        </w:div>
      </w:divsChild>
    </w:div>
    <w:div w:id="2014725702">
      <w:bodyDiv w:val="1"/>
      <w:marLeft w:val="0"/>
      <w:marRight w:val="0"/>
      <w:marTop w:val="0"/>
      <w:marBottom w:val="0"/>
      <w:divBdr>
        <w:top w:val="none" w:sz="0" w:space="0" w:color="auto"/>
        <w:left w:val="none" w:sz="0" w:space="0" w:color="auto"/>
        <w:bottom w:val="none" w:sz="0" w:space="0" w:color="auto"/>
        <w:right w:val="none" w:sz="0" w:space="0" w:color="auto"/>
      </w:divBdr>
    </w:div>
    <w:div w:id="2083989288">
      <w:bodyDiv w:val="1"/>
      <w:marLeft w:val="0"/>
      <w:marRight w:val="0"/>
      <w:marTop w:val="0"/>
      <w:marBottom w:val="0"/>
      <w:divBdr>
        <w:top w:val="none" w:sz="0" w:space="0" w:color="auto"/>
        <w:left w:val="none" w:sz="0" w:space="0" w:color="auto"/>
        <w:bottom w:val="none" w:sz="0" w:space="0" w:color="auto"/>
        <w:right w:val="none" w:sz="0" w:space="0" w:color="auto"/>
      </w:divBdr>
    </w:div>
    <w:div w:id="21206415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emf"/><Relationship Id="rId21" Type="http://schemas.openxmlformats.org/officeDocument/2006/relationships/image" Target="media/image8.jpeg"/><Relationship Id="rId42" Type="http://schemas.openxmlformats.org/officeDocument/2006/relationships/chart" Target="charts/chart14.xml"/><Relationship Id="rId47" Type="http://schemas.openxmlformats.org/officeDocument/2006/relationships/image" Target="media/image15.emf"/><Relationship Id="rId63" Type="http://schemas.openxmlformats.org/officeDocument/2006/relationships/chart" Target="charts/chart32.xml"/><Relationship Id="rId68" Type="http://schemas.openxmlformats.org/officeDocument/2006/relationships/chart" Target="charts/chart37.xml"/><Relationship Id="rId84" Type="http://schemas.openxmlformats.org/officeDocument/2006/relationships/image" Target="media/image27.jpg"/><Relationship Id="rId89" Type="http://schemas.openxmlformats.org/officeDocument/2006/relationships/image" Target="media/image32.jpg"/><Relationship Id="rId112" Type="http://schemas.openxmlformats.org/officeDocument/2006/relationships/image" Target="media/image47.emf"/><Relationship Id="rId16" Type="http://schemas.openxmlformats.org/officeDocument/2006/relationships/footer" Target="footer4.xml"/><Relationship Id="rId107" Type="http://schemas.openxmlformats.org/officeDocument/2006/relationships/image" Target="media/image42.emf"/><Relationship Id="rId11" Type="http://schemas.openxmlformats.org/officeDocument/2006/relationships/footer" Target="footer2.xml"/><Relationship Id="rId24" Type="http://schemas.openxmlformats.org/officeDocument/2006/relationships/image" Target="media/image11.jpeg"/><Relationship Id="rId32" Type="http://schemas.openxmlformats.org/officeDocument/2006/relationships/chart" Target="charts/chart5.xml"/><Relationship Id="rId37" Type="http://schemas.openxmlformats.org/officeDocument/2006/relationships/chart" Target="charts/chart9.xml"/><Relationship Id="rId40" Type="http://schemas.openxmlformats.org/officeDocument/2006/relationships/chart" Target="charts/chart12.xml"/><Relationship Id="rId45" Type="http://schemas.openxmlformats.org/officeDocument/2006/relationships/chart" Target="charts/chart17.xml"/><Relationship Id="rId53" Type="http://schemas.openxmlformats.org/officeDocument/2006/relationships/chart" Target="charts/chart23.xml"/><Relationship Id="rId58" Type="http://schemas.openxmlformats.org/officeDocument/2006/relationships/chart" Target="charts/chart27.xml"/><Relationship Id="rId66" Type="http://schemas.openxmlformats.org/officeDocument/2006/relationships/chart" Target="charts/chart35.xml"/><Relationship Id="rId74" Type="http://schemas.openxmlformats.org/officeDocument/2006/relationships/image" Target="media/image22.png"/><Relationship Id="rId79" Type="http://schemas.openxmlformats.org/officeDocument/2006/relationships/chart" Target="charts/chart42.xml"/><Relationship Id="rId87" Type="http://schemas.openxmlformats.org/officeDocument/2006/relationships/image" Target="media/image30.jpg"/><Relationship Id="rId102" Type="http://schemas.openxmlformats.org/officeDocument/2006/relationships/image" Target="media/image38.png"/><Relationship Id="rId110" Type="http://schemas.openxmlformats.org/officeDocument/2006/relationships/image" Target="media/image45.emf"/><Relationship Id="rId115"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chart" Target="charts/chart30.xml"/><Relationship Id="rId82" Type="http://schemas.openxmlformats.org/officeDocument/2006/relationships/image" Target="media/image25.jpg"/><Relationship Id="rId90" Type="http://schemas.openxmlformats.org/officeDocument/2006/relationships/image" Target="media/image33.jpg"/><Relationship Id="rId95" Type="http://schemas.openxmlformats.org/officeDocument/2006/relationships/chart" Target="charts/chart44.xml"/><Relationship Id="rId19" Type="http://schemas.openxmlformats.org/officeDocument/2006/relationships/image" Target="media/image6.jpeg"/><Relationship Id="rId14" Type="http://schemas.openxmlformats.org/officeDocument/2006/relationships/header" Target="header4.xml"/><Relationship Id="rId22" Type="http://schemas.openxmlformats.org/officeDocument/2006/relationships/image" Target="media/image9.jpeg"/><Relationship Id="rId27" Type="http://schemas.openxmlformats.org/officeDocument/2006/relationships/oleObject" Target="embeddings/oleObject1.bin"/><Relationship Id="rId30" Type="http://schemas.openxmlformats.org/officeDocument/2006/relationships/chart" Target="charts/chart3.xml"/><Relationship Id="rId35" Type="http://schemas.openxmlformats.org/officeDocument/2006/relationships/chart" Target="charts/chart8.xml"/><Relationship Id="rId43" Type="http://schemas.openxmlformats.org/officeDocument/2006/relationships/chart" Target="charts/chart15.xml"/><Relationship Id="rId48" Type="http://schemas.openxmlformats.org/officeDocument/2006/relationships/chart" Target="charts/chart19.xml"/><Relationship Id="rId56" Type="http://schemas.openxmlformats.org/officeDocument/2006/relationships/image" Target="media/image17.emf"/><Relationship Id="rId64" Type="http://schemas.openxmlformats.org/officeDocument/2006/relationships/chart" Target="charts/chart33.xml"/><Relationship Id="rId69" Type="http://schemas.openxmlformats.org/officeDocument/2006/relationships/image" Target="media/image18.png"/><Relationship Id="rId77" Type="http://schemas.openxmlformats.org/officeDocument/2006/relationships/chart" Target="charts/chart40.xml"/><Relationship Id="rId100" Type="http://schemas.openxmlformats.org/officeDocument/2006/relationships/image" Target="media/image36.jpg"/><Relationship Id="rId105" Type="http://schemas.openxmlformats.org/officeDocument/2006/relationships/image" Target="media/image40.emf"/><Relationship Id="rId113" Type="http://schemas.openxmlformats.org/officeDocument/2006/relationships/image" Target="media/image48.emf"/><Relationship Id="rId8" Type="http://schemas.openxmlformats.org/officeDocument/2006/relationships/endnotes" Target="endnotes.xml"/><Relationship Id="rId51" Type="http://schemas.openxmlformats.org/officeDocument/2006/relationships/chart" Target="charts/chart22.xml"/><Relationship Id="rId72" Type="http://schemas.openxmlformats.org/officeDocument/2006/relationships/image" Target="media/image20.png"/><Relationship Id="rId80" Type="http://schemas.openxmlformats.org/officeDocument/2006/relationships/image" Target="media/image23.jpg"/><Relationship Id="rId85" Type="http://schemas.openxmlformats.org/officeDocument/2006/relationships/image" Target="media/image28.jpg"/><Relationship Id="rId93" Type="http://schemas.openxmlformats.org/officeDocument/2006/relationships/image" Target="media/image35.emf"/><Relationship Id="rId98" Type="http://schemas.openxmlformats.org/officeDocument/2006/relationships/chart" Target="charts/chart47.xm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chart" Target="charts/chart6.xml"/><Relationship Id="rId38" Type="http://schemas.openxmlformats.org/officeDocument/2006/relationships/chart" Target="charts/chart10.xml"/><Relationship Id="rId46" Type="http://schemas.openxmlformats.org/officeDocument/2006/relationships/chart" Target="charts/chart18.xml"/><Relationship Id="rId59" Type="http://schemas.openxmlformats.org/officeDocument/2006/relationships/chart" Target="charts/chart28.xml"/><Relationship Id="rId67" Type="http://schemas.openxmlformats.org/officeDocument/2006/relationships/chart" Target="charts/chart36.xml"/><Relationship Id="rId103" Type="http://schemas.openxmlformats.org/officeDocument/2006/relationships/chart" Target="charts/chart49.xml"/><Relationship Id="rId108" Type="http://schemas.openxmlformats.org/officeDocument/2006/relationships/image" Target="media/image43.emf"/><Relationship Id="rId116" Type="http://schemas.openxmlformats.org/officeDocument/2006/relationships/theme" Target="theme/theme1.xml"/><Relationship Id="rId20" Type="http://schemas.openxmlformats.org/officeDocument/2006/relationships/image" Target="media/image7.jpeg"/><Relationship Id="rId41" Type="http://schemas.openxmlformats.org/officeDocument/2006/relationships/chart" Target="charts/chart13.xml"/><Relationship Id="rId54" Type="http://schemas.openxmlformats.org/officeDocument/2006/relationships/chart" Target="charts/chart24.xml"/><Relationship Id="rId62" Type="http://schemas.openxmlformats.org/officeDocument/2006/relationships/chart" Target="charts/chart31.xml"/><Relationship Id="rId70" Type="http://schemas.microsoft.com/office/2007/relationships/hdphoto" Target="media/hdphoto1.wdp"/><Relationship Id="rId75" Type="http://schemas.openxmlformats.org/officeDocument/2006/relationships/chart" Target="charts/chart38.xml"/><Relationship Id="rId83" Type="http://schemas.openxmlformats.org/officeDocument/2006/relationships/image" Target="media/image26.jpg"/><Relationship Id="rId88" Type="http://schemas.openxmlformats.org/officeDocument/2006/relationships/image" Target="media/image31.jpg"/><Relationship Id="rId91" Type="http://schemas.openxmlformats.org/officeDocument/2006/relationships/image" Target="media/image34.jpg"/><Relationship Id="rId96" Type="http://schemas.openxmlformats.org/officeDocument/2006/relationships/chart" Target="charts/chart45.xml"/><Relationship Id="rId111" Type="http://schemas.openxmlformats.org/officeDocument/2006/relationships/image" Target="media/image46.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10.jpeg"/><Relationship Id="rId28" Type="http://schemas.openxmlformats.org/officeDocument/2006/relationships/chart" Target="charts/chart1.xml"/><Relationship Id="rId36" Type="http://schemas.openxmlformats.org/officeDocument/2006/relationships/image" Target="media/image14.emf"/><Relationship Id="rId49" Type="http://schemas.openxmlformats.org/officeDocument/2006/relationships/chart" Target="charts/chart20.xml"/><Relationship Id="rId57" Type="http://schemas.openxmlformats.org/officeDocument/2006/relationships/chart" Target="charts/chart26.xml"/><Relationship Id="rId106" Type="http://schemas.openxmlformats.org/officeDocument/2006/relationships/image" Target="media/image41.emf"/><Relationship Id="rId114" Type="http://schemas.openxmlformats.org/officeDocument/2006/relationships/chart" Target="charts/chart50.xml"/><Relationship Id="rId10" Type="http://schemas.openxmlformats.org/officeDocument/2006/relationships/footer" Target="footer1.xml"/><Relationship Id="rId31" Type="http://schemas.openxmlformats.org/officeDocument/2006/relationships/chart" Target="charts/chart4.xml"/><Relationship Id="rId44" Type="http://schemas.openxmlformats.org/officeDocument/2006/relationships/chart" Target="charts/chart16.xml"/><Relationship Id="rId52" Type="http://schemas.openxmlformats.org/officeDocument/2006/relationships/image" Target="media/image16.emf"/><Relationship Id="rId60" Type="http://schemas.openxmlformats.org/officeDocument/2006/relationships/chart" Target="charts/chart29.xml"/><Relationship Id="rId65" Type="http://schemas.openxmlformats.org/officeDocument/2006/relationships/chart" Target="charts/chart34.xml"/><Relationship Id="rId73" Type="http://schemas.openxmlformats.org/officeDocument/2006/relationships/image" Target="media/image21.png"/><Relationship Id="rId78" Type="http://schemas.openxmlformats.org/officeDocument/2006/relationships/chart" Target="charts/chart41.xml"/><Relationship Id="rId81" Type="http://schemas.openxmlformats.org/officeDocument/2006/relationships/image" Target="media/image24.jpg"/><Relationship Id="rId86" Type="http://schemas.openxmlformats.org/officeDocument/2006/relationships/image" Target="media/image29.jpg"/><Relationship Id="rId94" Type="http://schemas.openxmlformats.org/officeDocument/2006/relationships/header" Target="header5.xml"/><Relationship Id="rId99" Type="http://schemas.openxmlformats.org/officeDocument/2006/relationships/chart" Target="charts/chart48.xml"/><Relationship Id="rId101" Type="http://schemas.openxmlformats.org/officeDocument/2006/relationships/image" Target="media/image37.jpg"/><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image" Target="media/image5.jpeg"/><Relationship Id="rId39" Type="http://schemas.openxmlformats.org/officeDocument/2006/relationships/chart" Target="charts/chart11.xml"/><Relationship Id="rId109" Type="http://schemas.openxmlformats.org/officeDocument/2006/relationships/image" Target="media/image44.emf"/><Relationship Id="rId34" Type="http://schemas.openxmlformats.org/officeDocument/2006/relationships/chart" Target="charts/chart7.xml"/><Relationship Id="rId50" Type="http://schemas.openxmlformats.org/officeDocument/2006/relationships/chart" Target="charts/chart21.xml"/><Relationship Id="rId55" Type="http://schemas.openxmlformats.org/officeDocument/2006/relationships/chart" Target="charts/chart25.xml"/><Relationship Id="rId76" Type="http://schemas.openxmlformats.org/officeDocument/2006/relationships/chart" Target="charts/chart39.xml"/><Relationship Id="rId97" Type="http://schemas.openxmlformats.org/officeDocument/2006/relationships/chart" Target="charts/chart46.xml"/><Relationship Id="rId104" Type="http://schemas.openxmlformats.org/officeDocument/2006/relationships/image" Target="media/image39.emf"/><Relationship Id="rId7" Type="http://schemas.openxmlformats.org/officeDocument/2006/relationships/footnotes" Target="footnotes.xml"/><Relationship Id="rId71" Type="http://schemas.openxmlformats.org/officeDocument/2006/relationships/image" Target="media/image19.emf"/><Relationship Id="rId92" Type="http://schemas.openxmlformats.org/officeDocument/2006/relationships/chart" Target="charts/chart43.xml"/><Relationship Id="rId2" Type="http://schemas.openxmlformats.org/officeDocument/2006/relationships/numbering" Target="numbering.xml"/><Relationship Id="rId29" Type="http://schemas.openxmlformats.org/officeDocument/2006/relationships/chart" Target="charts/chart2.xml"/></Relationships>
</file>

<file path=word/_rels/footer1.xml.rels><?xml version="1.0" encoding="UTF-8" standalone="yes"?>
<Relationships xmlns="http://schemas.openxmlformats.org/package/2006/relationships"><Relationship Id="rId1" Type="http://schemas.openxmlformats.org/officeDocument/2006/relationships/image" Target="media/image1.jpeg"/></Relationships>
</file>

<file path=word/_rels/footer2.xml.rels><?xml version="1.0" encoding="UTF-8" standalone="yes"?>
<Relationships xmlns="http://schemas.openxmlformats.org/package/2006/relationships"><Relationship Id="rId1" Type="http://schemas.openxmlformats.org/officeDocument/2006/relationships/image" Target="media/image2.jpeg"/></Relationships>
</file>

<file path=word/_rels/footer3.xml.rels><?xml version="1.0" encoding="UTF-8" standalone="yes"?>
<Relationships xmlns="http://schemas.openxmlformats.org/package/2006/relationships"><Relationship Id="rId1" Type="http://schemas.openxmlformats.org/officeDocument/2006/relationships/image" Target="media/image3.png"/></Relationships>
</file>

<file path=word/_rels/footer4.xml.rels><?xml version="1.0" encoding="UTF-8" standalone="yes"?>
<Relationships xmlns="http://schemas.openxmlformats.org/package/2006/relationships"><Relationship Id="rId1" Type="http://schemas.openxmlformats.org/officeDocument/2006/relationships/image" Target="media/image3.png"/></Relationships>
</file>

<file path=word/charts/_rels/chart1.xml.rels><?xml version="1.0" encoding="UTF-8" standalone="yes"?>
<Relationships xmlns="http://schemas.openxmlformats.org/package/2006/relationships"><Relationship Id="rId2" Type="http://schemas.openxmlformats.org/officeDocument/2006/relationships/oleObject" Target="file:///C:\Users\Bivins\Dropbox\1%20Don's%20Networked%20Documents\ESCI%20Projects\2-Active%20Projects\Pasco%20(WA)%20Master%20Plan\REPORT\PFD%20Benchmark%20Charts.xlsx"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oleObject" Target="file:///C:\Users\Stuart\Documents\ESCI\PascoJob\EconomicData.xlsx" TargetMode="External"/><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oleObject" Target="file:///C:\Users\Stuart\Documents\ESCI\PascoJob\EconomicData.xlsx" TargetMode="External"/><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oleObject" Target="file:///C:\Users\Stuart\Documents\ESCI\PascoJob\EconomicData.xlsx" TargetMode="External"/><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file:///C:\Users\Stuart\Documents\ESCI\PascoJob\EconomicData.xlsx" TargetMode="External"/><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2" Type="http://schemas.openxmlformats.org/officeDocument/2006/relationships/oleObject" Target="file:///C:\Users\Stuart\Documents\ESCI\PascoJob\EconomicData.xlsx" TargetMode="External"/><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2" Type="http://schemas.openxmlformats.org/officeDocument/2006/relationships/oleObject" Target="file:///C:\Users\Stuart\Documents\ESCI\PascoJob\EconomicData.xlsx" TargetMode="External"/><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2" Type="http://schemas.openxmlformats.org/officeDocument/2006/relationships/oleObject" Target="file:///C:\Users\Stuart\Documents\ESCI\PascoJob\EconomicData.xlsx" TargetMode="External"/><Relationship Id="rId1" Type="http://schemas.openxmlformats.org/officeDocument/2006/relationships/themeOverride" Target="../theme/themeOverride16.xml"/></Relationships>
</file>

<file path=word/charts/_rels/chart17.xml.rels><?xml version="1.0" encoding="UTF-8" standalone="yes"?>
<Relationships xmlns="http://schemas.openxmlformats.org/package/2006/relationships"><Relationship Id="rId2" Type="http://schemas.openxmlformats.org/officeDocument/2006/relationships/oleObject" Target="file:///C:\Users\Stuart\Documents\ESCI\PascoJob\EconomicData.xlsx" TargetMode="External"/><Relationship Id="rId1" Type="http://schemas.openxmlformats.org/officeDocument/2006/relationships/themeOverride" Target="../theme/themeOverride17.xml"/></Relationships>
</file>

<file path=word/charts/_rels/chart18.xml.rels><?xml version="1.0" encoding="UTF-8" standalone="yes"?>
<Relationships xmlns="http://schemas.openxmlformats.org/package/2006/relationships"><Relationship Id="rId2" Type="http://schemas.openxmlformats.org/officeDocument/2006/relationships/oleObject" Target="file:///C:\Users\Stuart\Documents\ESCI\PascoJob\EconomicData.xlsx" TargetMode="External"/><Relationship Id="rId1" Type="http://schemas.openxmlformats.org/officeDocument/2006/relationships/themeOverride" Target="../theme/themeOverride18.xml"/></Relationships>
</file>

<file path=word/charts/_rels/chart19.xml.rels><?xml version="1.0" encoding="UTF-8" standalone="yes"?>
<Relationships xmlns="http://schemas.openxmlformats.org/package/2006/relationships"><Relationship Id="rId2" Type="http://schemas.openxmlformats.org/officeDocument/2006/relationships/oleObject" Target="file:///C:\Users\Stuart\Documents\ESCI\PascoJob\PascoFinances.xlsx" TargetMode="External"/><Relationship Id="rId1" Type="http://schemas.openxmlformats.org/officeDocument/2006/relationships/themeOverride" Target="../theme/themeOverride19.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2" Type="http://schemas.openxmlformats.org/officeDocument/2006/relationships/oleObject" Target="file:///C:\Users\Stuart\Documents\ESCI\PascoJob\PascoFinances.xlsx" TargetMode="External"/><Relationship Id="rId1" Type="http://schemas.openxmlformats.org/officeDocument/2006/relationships/themeOverride" Target="../theme/themeOverride20.xml"/></Relationships>
</file>

<file path=word/charts/_rels/chart21.xml.rels><?xml version="1.0" encoding="UTF-8" standalone="yes"?>
<Relationships xmlns="http://schemas.openxmlformats.org/package/2006/relationships"><Relationship Id="rId2" Type="http://schemas.openxmlformats.org/officeDocument/2006/relationships/oleObject" Target="file:///C:\Users\Stuart\Documents\ESCI\PascoJob\PascoFinances.xlsx" TargetMode="External"/><Relationship Id="rId1" Type="http://schemas.openxmlformats.org/officeDocument/2006/relationships/themeOverride" Target="../theme/themeOverride21.xml"/></Relationships>
</file>

<file path=word/charts/_rels/chart22.xml.rels><?xml version="1.0" encoding="UTF-8" standalone="yes"?>
<Relationships xmlns="http://schemas.openxmlformats.org/package/2006/relationships"><Relationship Id="rId2" Type="http://schemas.openxmlformats.org/officeDocument/2006/relationships/oleObject" Target="file:///C:\Users\Stuart\Documents\ESCI\PascoJob\PascoFinances.xlsx" TargetMode="External"/><Relationship Id="rId1" Type="http://schemas.openxmlformats.org/officeDocument/2006/relationships/themeOverride" Target="../theme/themeOverride22.xml"/></Relationships>
</file>

<file path=word/charts/_rels/chart23.xml.rels><?xml version="1.0" encoding="UTF-8" standalone="yes"?>
<Relationships xmlns="http://schemas.openxmlformats.org/package/2006/relationships"><Relationship Id="rId2" Type="http://schemas.openxmlformats.org/officeDocument/2006/relationships/oleObject" Target="file:///C:\Users\Stuart\Documents\ESCI\PascoJob\PascoFinances.xlsx" TargetMode="External"/><Relationship Id="rId1" Type="http://schemas.openxmlformats.org/officeDocument/2006/relationships/themeOverride" Target="../theme/themeOverride23.xml"/></Relationships>
</file>

<file path=word/charts/_rels/chart24.xml.rels><?xml version="1.0" encoding="UTF-8" standalone="yes"?>
<Relationships xmlns="http://schemas.openxmlformats.org/package/2006/relationships"><Relationship Id="rId2" Type="http://schemas.openxmlformats.org/officeDocument/2006/relationships/oleObject" Target="file:///C:\Users\Stuart\Documents\ESCI\PascoJob\PascoFinances.xlsx" TargetMode="External"/><Relationship Id="rId1" Type="http://schemas.openxmlformats.org/officeDocument/2006/relationships/themeOverride" Target="../theme/themeOverride24.xml"/></Relationships>
</file>

<file path=word/charts/_rels/chart25.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themeOverride" Target="../theme/themeOverride25.xml"/></Relationships>
</file>

<file path=word/charts/_rels/chart26.xml.rels><?xml version="1.0" encoding="UTF-8" standalone="yes"?>
<Relationships xmlns="http://schemas.openxmlformats.org/package/2006/relationships"><Relationship Id="rId2" Type="http://schemas.openxmlformats.org/officeDocument/2006/relationships/oleObject" Target="../embeddings/oleObject3.bin"/><Relationship Id="rId1" Type="http://schemas.openxmlformats.org/officeDocument/2006/relationships/themeOverride" Target="../theme/themeOverride26.xml"/></Relationships>
</file>

<file path=word/charts/_rels/chart27.xml.rels><?xml version="1.0" encoding="UTF-8" standalone="yes"?>
<Relationships xmlns="http://schemas.openxmlformats.org/package/2006/relationships"><Relationship Id="rId2" Type="http://schemas.openxmlformats.org/officeDocument/2006/relationships/oleObject" Target="../embeddings/oleObject4.bin"/><Relationship Id="rId1" Type="http://schemas.openxmlformats.org/officeDocument/2006/relationships/themeOverride" Target="../theme/themeOverride27.xml"/></Relationships>
</file>

<file path=word/charts/_rels/chart28.xml.rels><?xml version="1.0" encoding="UTF-8" standalone="yes"?>
<Relationships xmlns="http://schemas.openxmlformats.org/package/2006/relationships"><Relationship Id="rId2" Type="http://schemas.openxmlformats.org/officeDocument/2006/relationships/oleObject" Target="file:///C:\Users\Stuart\Documents\ESCI\PascoJob\PascoFinances.xlsx" TargetMode="External"/><Relationship Id="rId1" Type="http://schemas.openxmlformats.org/officeDocument/2006/relationships/themeOverride" Target="../theme/themeOverride28.xml"/></Relationships>
</file>

<file path=word/charts/_rels/chart29.xml.rels><?xml version="1.0" encoding="UTF-8" standalone="yes"?>
<Relationships xmlns="http://schemas.openxmlformats.org/package/2006/relationships"><Relationship Id="rId2" Type="http://schemas.openxmlformats.org/officeDocument/2006/relationships/oleObject" Target="file:///C:\Users\Stuart\Documents\ESCI\PascoJob\PascoFinances.xlsx" TargetMode="External"/><Relationship Id="rId1" Type="http://schemas.openxmlformats.org/officeDocument/2006/relationships/themeOverride" Target="../theme/themeOverride29.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3.xml"/></Relationships>
</file>

<file path=word/charts/_rels/chart30.xml.rels><?xml version="1.0" encoding="UTF-8" standalone="yes"?>
<Relationships xmlns="http://schemas.openxmlformats.org/package/2006/relationships"><Relationship Id="rId2" Type="http://schemas.openxmlformats.org/officeDocument/2006/relationships/oleObject" Target="file:///C:\Users\Stuart\Documents\ESCI\PascoJob\PascoFinances.xlsx" TargetMode="External"/><Relationship Id="rId1" Type="http://schemas.openxmlformats.org/officeDocument/2006/relationships/themeOverride" Target="../theme/themeOverride30.xml"/></Relationships>
</file>

<file path=word/charts/_rels/chart31.xml.rels><?xml version="1.0" encoding="UTF-8" standalone="yes"?>
<Relationships xmlns="http://schemas.openxmlformats.org/package/2006/relationships"><Relationship Id="rId2" Type="http://schemas.openxmlformats.org/officeDocument/2006/relationships/oleObject" Target="file:///C:\Users\Stuart\Documents\ESCI\PascoJob\PascoFinances.xlsx" TargetMode="External"/><Relationship Id="rId1" Type="http://schemas.openxmlformats.org/officeDocument/2006/relationships/themeOverride" Target="../theme/themeOverride31.xml"/></Relationships>
</file>

<file path=word/charts/_rels/chart32.xml.rels><?xml version="1.0" encoding="UTF-8" standalone="yes"?>
<Relationships xmlns="http://schemas.openxmlformats.org/package/2006/relationships"><Relationship Id="rId2" Type="http://schemas.openxmlformats.org/officeDocument/2006/relationships/oleObject" Target="file:///C:\Users\Stuart\Documents\ESCI\PascoJob\PascoFinances.xlsx" TargetMode="External"/><Relationship Id="rId1" Type="http://schemas.openxmlformats.org/officeDocument/2006/relationships/themeOverride" Target="../theme/themeOverride32.xml"/></Relationships>
</file>

<file path=word/charts/_rels/chart33.xml.rels><?xml version="1.0" encoding="UTF-8" standalone="yes"?>
<Relationships xmlns="http://schemas.openxmlformats.org/package/2006/relationships"><Relationship Id="rId2" Type="http://schemas.openxmlformats.org/officeDocument/2006/relationships/oleObject" Target="file:///C:\Users\Stuart\Documents\ESCI\PascoJob\PascoFinances.xlsx" TargetMode="External"/><Relationship Id="rId1" Type="http://schemas.openxmlformats.org/officeDocument/2006/relationships/themeOverride" Target="../theme/themeOverride33.xml"/></Relationships>
</file>

<file path=word/charts/_rels/chart34.xml.rels><?xml version="1.0" encoding="UTF-8" standalone="yes"?>
<Relationships xmlns="http://schemas.openxmlformats.org/package/2006/relationships"><Relationship Id="rId2" Type="http://schemas.openxmlformats.org/officeDocument/2006/relationships/oleObject" Target="file:///C:\Users\Stuart\Documents\ESCI\PascoJob\PascoFinances.xlsx" TargetMode="External"/><Relationship Id="rId1" Type="http://schemas.openxmlformats.org/officeDocument/2006/relationships/themeOverride" Target="../theme/themeOverride34.xml"/></Relationships>
</file>

<file path=word/charts/_rels/chart35.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5.xml"/></Relationships>
</file>

<file path=word/charts/_rels/chart36.xml.rels><?xml version="1.0" encoding="UTF-8" standalone="yes"?>
<Relationships xmlns="http://schemas.openxmlformats.org/package/2006/relationships"><Relationship Id="rId2" Type="http://schemas.openxmlformats.org/officeDocument/2006/relationships/oleObject" Target="file:///C:\Users\Martin\Desktop\Pasco%20FD%20Project\Pasco%20Excel1.xlsx" TargetMode="External"/><Relationship Id="rId1" Type="http://schemas.openxmlformats.org/officeDocument/2006/relationships/themeOverride" Target="../theme/themeOverride36.xml"/></Relationships>
</file>

<file path=word/charts/_rels/chart37.xml.rels><?xml version="1.0" encoding="UTF-8" standalone="yes"?>
<Relationships xmlns="http://schemas.openxmlformats.org/package/2006/relationships"><Relationship Id="rId2" Type="http://schemas.openxmlformats.org/officeDocument/2006/relationships/oleObject" Target="../embeddings/oleObject5.bin"/><Relationship Id="rId1" Type="http://schemas.openxmlformats.org/officeDocument/2006/relationships/themeOverride" Target="../theme/themeOverride37.xml"/></Relationships>
</file>

<file path=word/charts/_rels/chart38.xml.rels><?xml version="1.0" encoding="UTF-8" standalone="yes"?>
<Relationships xmlns="http://schemas.openxmlformats.org/package/2006/relationships"><Relationship Id="rId2" Type="http://schemas.openxmlformats.org/officeDocument/2006/relationships/oleObject" Target="file:///C:\Users\Rob\Desktop\Pasco\Charts%20and%20Tables.xlsx" TargetMode="External"/><Relationship Id="rId1" Type="http://schemas.openxmlformats.org/officeDocument/2006/relationships/themeOverride" Target="../theme/themeOverride38.xml"/></Relationships>
</file>

<file path=word/charts/_rels/chart39.xml.rels><?xml version="1.0" encoding="UTF-8" standalone="yes"?>
<Relationships xmlns="http://schemas.openxmlformats.org/package/2006/relationships"><Relationship Id="rId2" Type="http://schemas.openxmlformats.org/officeDocument/2006/relationships/oleObject" Target="file:///C:\Users\Rob\Desktop\Pasco\Charts%20and%20Tables.xlsx" TargetMode="External"/><Relationship Id="rId1" Type="http://schemas.openxmlformats.org/officeDocument/2006/relationships/themeOverride" Target="../theme/themeOverride39.xml"/></Relationships>
</file>

<file path=word/charts/_rels/chart4.xml.rels><?xml version="1.0" encoding="UTF-8" standalone="yes"?>
<Relationships xmlns="http://schemas.openxmlformats.org/package/2006/relationships"><Relationship Id="rId2" Type="http://schemas.openxmlformats.org/officeDocument/2006/relationships/oleObject" Target="file:///C:\Users\Stuart\Documents\ESCI\PascoJob\EconomicData.xlsx" TargetMode="External"/><Relationship Id="rId1" Type="http://schemas.openxmlformats.org/officeDocument/2006/relationships/themeOverride" Target="../theme/themeOverride4.xml"/></Relationships>
</file>

<file path=word/charts/_rels/chart40.xml.rels><?xml version="1.0" encoding="UTF-8" standalone="yes"?>
<Relationships xmlns="http://schemas.openxmlformats.org/package/2006/relationships"><Relationship Id="rId2" Type="http://schemas.openxmlformats.org/officeDocument/2006/relationships/oleObject" Target="file:///C:\Users\Rob\Desktop\Pasco\Charts%20and%20Tables.xlsx" TargetMode="External"/><Relationship Id="rId1" Type="http://schemas.openxmlformats.org/officeDocument/2006/relationships/themeOverride" Target="../theme/themeOverride40.xml"/></Relationships>
</file>

<file path=word/charts/_rels/chart41.xml.rels><?xml version="1.0" encoding="UTF-8" standalone="yes"?>
<Relationships xmlns="http://schemas.openxmlformats.org/package/2006/relationships"><Relationship Id="rId2" Type="http://schemas.openxmlformats.org/officeDocument/2006/relationships/oleObject" Target="file:///C:\Users\Rob\Desktop\Pasco\Charts%20and%20Tables.xlsx" TargetMode="External"/><Relationship Id="rId1" Type="http://schemas.openxmlformats.org/officeDocument/2006/relationships/themeOverride" Target="../theme/themeOverride41.xml"/></Relationships>
</file>

<file path=word/charts/_rels/chart42.xml.rels><?xml version="1.0" encoding="UTF-8" standalone="yes"?>
<Relationships xmlns="http://schemas.openxmlformats.org/package/2006/relationships"><Relationship Id="rId2" Type="http://schemas.openxmlformats.org/officeDocument/2006/relationships/oleObject" Target="file:///C:\Users\Rob\Desktop\Pasco\Charts%20and%20Tables.xlsx" TargetMode="External"/><Relationship Id="rId1" Type="http://schemas.openxmlformats.org/officeDocument/2006/relationships/themeOverride" Target="../theme/themeOverride42.xml"/></Relationships>
</file>

<file path=word/charts/_rels/chart43.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oleObject" Target="file:///C:\Users\Rob\Desktop\Pasco\Apparatus%20copied.xlsx" TargetMode="External"/><Relationship Id="rId1" Type="http://schemas.openxmlformats.org/officeDocument/2006/relationships/themeOverride" Target="../theme/themeOverride43.xml"/></Relationships>
</file>

<file path=word/charts/_rels/chart44.xml.rels><?xml version="1.0" encoding="UTF-8" standalone="yes"?>
<Relationships xmlns="http://schemas.openxmlformats.org/package/2006/relationships"><Relationship Id="rId2" Type="http://schemas.openxmlformats.org/officeDocument/2006/relationships/oleObject" Target="file:///C:\Users\Rob\Desktop\Pasco\PFD%20population_service%20demand%20work.xlsx" TargetMode="External"/><Relationship Id="rId1" Type="http://schemas.openxmlformats.org/officeDocument/2006/relationships/themeOverride" Target="../theme/themeOverride44.xml"/></Relationships>
</file>

<file path=word/charts/_rels/chart45.xml.rels><?xml version="1.0" encoding="UTF-8" standalone="yes"?>
<Relationships xmlns="http://schemas.openxmlformats.org/package/2006/relationships"><Relationship Id="rId2" Type="http://schemas.openxmlformats.org/officeDocument/2006/relationships/oleObject" Target="file:///C:\Users\Rob\Desktop\Pasco\PFD%20population_service%20demand%20work.xlsx" TargetMode="External"/><Relationship Id="rId1" Type="http://schemas.openxmlformats.org/officeDocument/2006/relationships/themeOverride" Target="../theme/themeOverride45.xml"/></Relationships>
</file>

<file path=word/charts/_rels/chart46.xml.rels><?xml version="1.0" encoding="UTF-8" standalone="yes"?>
<Relationships xmlns="http://schemas.openxmlformats.org/package/2006/relationships"><Relationship Id="rId2" Type="http://schemas.openxmlformats.org/officeDocument/2006/relationships/oleObject" Target="file:///C:\Users\Rob\Desktop\Pasco\PFD%20population_service%20demand%20work.xlsx" TargetMode="External"/><Relationship Id="rId1" Type="http://schemas.openxmlformats.org/officeDocument/2006/relationships/themeOverride" Target="../theme/themeOverride46.xml"/></Relationships>
</file>

<file path=word/charts/_rels/chart47.xml.rels><?xml version="1.0" encoding="UTF-8" standalone="yes"?>
<Relationships xmlns="http://schemas.openxmlformats.org/package/2006/relationships"><Relationship Id="rId2" Type="http://schemas.openxmlformats.org/officeDocument/2006/relationships/oleObject" Target="file:///C:\Users\Rob\Desktop\Pasco\PFD%20population_service%20demand%20work.xlsx" TargetMode="External"/><Relationship Id="rId1" Type="http://schemas.openxmlformats.org/officeDocument/2006/relationships/themeOverride" Target="../theme/themeOverride47.xml"/></Relationships>
</file>

<file path=word/charts/_rels/chart48.xml.rels><?xml version="1.0" encoding="UTF-8" standalone="yes"?>
<Relationships xmlns="http://schemas.openxmlformats.org/package/2006/relationships"><Relationship Id="rId2" Type="http://schemas.openxmlformats.org/officeDocument/2006/relationships/oleObject" Target="file:///C:\Users\Rob\Desktop\Pasco\Pasco%20Demographics.xlsx" TargetMode="External"/><Relationship Id="rId1" Type="http://schemas.openxmlformats.org/officeDocument/2006/relationships/themeOverride" Target="../theme/themeOverride48.xml"/></Relationships>
</file>

<file path=word/charts/_rels/chart49.xml.rels><?xml version="1.0" encoding="UTF-8" standalone="yes"?>
<Relationships xmlns="http://schemas.openxmlformats.org/package/2006/relationships"><Relationship Id="rId2" Type="http://schemas.openxmlformats.org/officeDocument/2006/relationships/oleObject" Target="../embeddings/oleObject6.bin"/><Relationship Id="rId1" Type="http://schemas.openxmlformats.org/officeDocument/2006/relationships/themeOverride" Target="../theme/themeOverride49.xml"/></Relationships>
</file>

<file path=word/charts/_rels/chart5.xml.rels><?xml version="1.0" encoding="UTF-8" standalone="yes"?>
<Relationships xmlns="http://schemas.openxmlformats.org/package/2006/relationships"><Relationship Id="rId2" Type="http://schemas.openxmlformats.org/officeDocument/2006/relationships/oleObject" Target="file:///C:\Users\Stuart\Documents\ESCI\PascoJob\EconomicData.xlsx" TargetMode="External"/><Relationship Id="rId1" Type="http://schemas.openxmlformats.org/officeDocument/2006/relationships/themeOverride" Target="../theme/themeOverride5.xml"/></Relationships>
</file>

<file path=word/charts/_rels/chart50.xml.rels><?xml version="1.0" encoding="UTF-8" standalone="yes"?>
<Relationships xmlns="http://schemas.openxmlformats.org/package/2006/relationships"><Relationship Id="rId2" Type="http://schemas.openxmlformats.org/officeDocument/2006/relationships/oleObject" Target="../embeddings/oleObject7.bin"/><Relationship Id="rId1" Type="http://schemas.openxmlformats.org/officeDocument/2006/relationships/themeOverride" Target="../theme/themeOverride50.xml"/></Relationships>
</file>

<file path=word/charts/_rels/chart6.xml.rels><?xml version="1.0" encoding="UTF-8" standalone="yes"?>
<Relationships xmlns="http://schemas.openxmlformats.org/package/2006/relationships"><Relationship Id="rId2" Type="http://schemas.openxmlformats.org/officeDocument/2006/relationships/oleObject" Target="file:///C:\Users\Stuart\Documents\ESCI\PascoJob\EconomicData.xlsx" TargetMode="External"/><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oleObject" Target="file:///C:\Users\Stuart\Documents\ESCI\PascoJob\EconomicData.xlsx" TargetMode="External"/><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oleObject" Target="file:///C:\Users\Stuart\Documents\ESCI\PascoJob\EconomicData.xlsx" TargetMode="External"/><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oleObject" Target="file:///C:\Users\Stuart\Documents\ESCI\PascoJob\EconomicData.xlsx" TargetMode="External"/><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549180327868852"/>
          <c:y val="7.4862301494217173E-2"/>
          <c:w val="0.83401639344262291"/>
          <c:h val="0.88017311392172648"/>
        </c:manualLayout>
      </c:layout>
      <c:barChart>
        <c:barDir val="col"/>
        <c:grouping val="clustered"/>
        <c:varyColors val="0"/>
        <c:ser>
          <c:idx val="0"/>
          <c:order val="0"/>
          <c:tx>
            <c:strRef>
              <c:f>Charts!$B$20</c:f>
              <c:strCache>
                <c:ptCount val="1"/>
              </c:strCache>
            </c:strRef>
          </c:tx>
          <c:spPr>
            <a:solidFill>
              <a:srgbClr val="9999FF"/>
            </a:solidFill>
            <a:ln w="12700">
              <a:noFill/>
              <a:prstDash val="solid"/>
            </a:ln>
          </c:spPr>
          <c:invertIfNegative val="0"/>
          <c:dPt>
            <c:idx val="0"/>
            <c:invertIfNegative val="0"/>
            <c:bubble3D val="0"/>
            <c:spPr>
              <a:solidFill>
                <a:schemeClr val="tx2">
                  <a:lumMod val="75000"/>
                </a:schemeClr>
              </a:solidFill>
              <a:ln w="12700">
                <a:noFill/>
                <a:prstDash val="solid"/>
              </a:ln>
            </c:spPr>
            <c:extLst xmlns:c16r2="http://schemas.microsoft.com/office/drawing/2015/06/chart">
              <c:ext xmlns:c16="http://schemas.microsoft.com/office/drawing/2014/chart" uri="{C3380CC4-5D6E-409C-BE32-E72D297353CC}">
                <c16:uniqueId val="{00000001-4B0E-449E-8107-AC04DCF323CA}"/>
              </c:ext>
            </c:extLst>
          </c:dPt>
          <c:dPt>
            <c:idx val="1"/>
            <c:invertIfNegative val="0"/>
            <c:bubble3D val="0"/>
            <c:spPr>
              <a:solidFill>
                <a:srgbClr val="C00000"/>
              </a:solidFill>
              <a:ln w="12700">
                <a:noFill/>
                <a:prstDash val="solid"/>
              </a:ln>
            </c:spPr>
            <c:extLst xmlns:c16r2="http://schemas.microsoft.com/office/drawing/2015/06/chart">
              <c:ext xmlns:c16="http://schemas.microsoft.com/office/drawing/2014/chart" uri="{C3380CC4-5D6E-409C-BE32-E72D297353CC}">
                <c16:uniqueId val="{00000003-4B0E-449E-8107-AC04DCF323CA}"/>
              </c:ext>
            </c:extLst>
          </c:dPt>
          <c:dPt>
            <c:idx val="2"/>
            <c:invertIfNegative val="0"/>
            <c:bubble3D val="0"/>
            <c:spPr>
              <a:solidFill>
                <a:srgbClr val="339966"/>
              </a:solidFill>
              <a:ln w="12700">
                <a:noFill/>
                <a:prstDash val="solid"/>
              </a:ln>
            </c:spPr>
            <c:extLst xmlns:c16r2="http://schemas.microsoft.com/office/drawing/2015/06/chart">
              <c:ext xmlns:c16="http://schemas.microsoft.com/office/drawing/2014/chart" uri="{C3380CC4-5D6E-409C-BE32-E72D297353CC}">
                <c16:uniqueId val="{00000005-4B0E-449E-8107-AC04DCF323CA}"/>
              </c:ext>
            </c:extLst>
          </c:dPt>
          <c:dPt>
            <c:idx val="3"/>
            <c:invertIfNegative val="0"/>
            <c:bubble3D val="0"/>
            <c:spPr>
              <a:solidFill>
                <a:srgbClr val="339966"/>
              </a:solidFill>
              <a:ln w="12700">
                <a:noFill/>
                <a:prstDash val="solid"/>
              </a:ln>
            </c:spPr>
            <c:extLst xmlns:c16r2="http://schemas.microsoft.com/office/drawing/2015/06/chart">
              <c:ext xmlns:c16="http://schemas.microsoft.com/office/drawing/2014/chart" uri="{C3380CC4-5D6E-409C-BE32-E72D297353CC}">
                <c16:uniqueId val="{00000007-4B0E-449E-8107-AC04DCF323CA}"/>
              </c:ext>
            </c:extLst>
          </c:dPt>
          <c:dPt>
            <c:idx val="4"/>
            <c:invertIfNegative val="0"/>
            <c:bubble3D val="0"/>
            <c:spPr>
              <a:solidFill>
                <a:schemeClr val="tx2"/>
              </a:solidFill>
              <a:ln w="12700">
                <a:noFill/>
                <a:prstDash val="solid"/>
              </a:ln>
            </c:spPr>
            <c:extLst xmlns:c16r2="http://schemas.microsoft.com/office/drawing/2015/06/chart">
              <c:ext xmlns:c16="http://schemas.microsoft.com/office/drawing/2014/chart" uri="{C3380CC4-5D6E-409C-BE32-E72D297353CC}">
                <c16:uniqueId val="{00000009-4B0E-449E-8107-AC04DCF323CA}"/>
              </c:ext>
            </c:extLst>
          </c:dPt>
          <c:dPt>
            <c:idx val="5"/>
            <c:invertIfNegative val="0"/>
            <c:bubble3D val="0"/>
            <c:spPr>
              <a:solidFill>
                <a:srgbClr val="C00000"/>
              </a:solidFill>
              <a:ln w="12700">
                <a:noFill/>
                <a:prstDash val="solid"/>
              </a:ln>
            </c:spPr>
            <c:extLst xmlns:c16r2="http://schemas.microsoft.com/office/drawing/2015/06/chart">
              <c:ext xmlns:c16="http://schemas.microsoft.com/office/drawing/2014/chart" uri="{C3380CC4-5D6E-409C-BE32-E72D297353CC}">
                <c16:uniqueId val="{0000000B-4B0E-449E-8107-AC04DCF323CA}"/>
              </c:ext>
            </c:extLst>
          </c:dPt>
          <c:dLbls>
            <c:dLbl>
              <c:idx val="0"/>
              <c:layout>
                <c:manualLayout>
                  <c:x val="0"/>
                  <c:y val="-2.2222222222222223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4B0E-449E-8107-AC04DCF323CA}"/>
                </c:ext>
              </c:extLst>
            </c:dLbl>
            <c:dLbl>
              <c:idx val="1"/>
              <c:layout>
                <c:manualLayout>
                  <c:x val="0"/>
                  <c:y val="9.5238095238095524E-3"/>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4B0E-449E-8107-AC04DCF323CA}"/>
                </c:ext>
              </c:extLst>
            </c:dLbl>
            <c:numFmt formatCode="#,##0.0" sourceLinked="0"/>
            <c:spPr>
              <a:noFill/>
              <a:ln w="25400">
                <a:noFill/>
              </a:ln>
            </c:spPr>
            <c:txPr>
              <a:bodyPr/>
              <a:lstStyle/>
              <a:p>
                <a:pPr>
                  <a:defRPr sz="1000" b="1">
                    <a:latin typeface="Calibri" panose="020F0502020204030204" pitchFamily="34"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Charts!$A$21:$A$22</c:f>
              <c:strCache>
                <c:ptCount val="2"/>
                <c:pt idx="0">
                  <c:v>Regional Median</c:v>
                </c:pt>
                <c:pt idx="1">
                  <c:v>PFD</c:v>
                </c:pt>
              </c:strCache>
            </c:strRef>
          </c:cat>
          <c:val>
            <c:numRef>
              <c:f>Charts!$B$21:$B$22</c:f>
              <c:numCache>
                <c:formatCode>0.000</c:formatCode>
                <c:ptCount val="2"/>
                <c:pt idx="0">
                  <c:v>66.666666666666671</c:v>
                </c:pt>
                <c:pt idx="1">
                  <c:v>74.692262602579135</c:v>
                </c:pt>
              </c:numCache>
            </c:numRef>
          </c:val>
          <c:extLst xmlns:c16r2="http://schemas.microsoft.com/office/drawing/2015/06/chart">
            <c:ext xmlns:c16="http://schemas.microsoft.com/office/drawing/2014/chart" uri="{C3380CC4-5D6E-409C-BE32-E72D297353CC}">
              <c16:uniqueId val="{0000000C-4B0E-449E-8107-AC04DCF323CA}"/>
            </c:ext>
          </c:extLst>
        </c:ser>
        <c:dLbls>
          <c:showLegendKey val="0"/>
          <c:showVal val="0"/>
          <c:showCatName val="0"/>
          <c:showSerName val="1"/>
          <c:showPercent val="0"/>
          <c:showBubbleSize val="0"/>
        </c:dLbls>
        <c:gapWidth val="40"/>
        <c:axId val="236212224"/>
        <c:axId val="236219392"/>
      </c:barChart>
      <c:catAx>
        <c:axId val="236212224"/>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1000">
                <a:latin typeface="Calibri" panose="020F0502020204030204" pitchFamily="34" charset="0"/>
              </a:defRPr>
            </a:pPr>
            <a:endParaRPr lang="en-US"/>
          </a:p>
        </c:txPr>
        <c:crossAx val="236219392"/>
        <c:crossesAt val="10"/>
        <c:auto val="1"/>
        <c:lblAlgn val="ctr"/>
        <c:lblOffset val="100"/>
        <c:tickLblSkip val="1"/>
        <c:tickMarkSkip val="1"/>
        <c:noMultiLvlLbl val="0"/>
      </c:catAx>
      <c:valAx>
        <c:axId val="236219392"/>
        <c:scaling>
          <c:orientation val="minMax"/>
          <c:max val="100"/>
          <c:min val="0"/>
        </c:scaling>
        <c:delete val="0"/>
        <c:axPos val="l"/>
        <c:majorGridlines>
          <c:spPr>
            <a:ln w="3175">
              <a:solidFill>
                <a:srgbClr val="000000"/>
              </a:solidFill>
            </a:ln>
          </c:spPr>
        </c:majorGridlines>
        <c:numFmt formatCode="0" sourceLinked="0"/>
        <c:majorTickMark val="out"/>
        <c:minorTickMark val="none"/>
        <c:tickLblPos val="nextTo"/>
        <c:spPr>
          <a:ln w="3175">
            <a:solidFill>
              <a:srgbClr val="000000"/>
            </a:solidFill>
            <a:prstDash val="solid"/>
          </a:ln>
        </c:spPr>
        <c:txPr>
          <a:bodyPr rot="0" vert="horz"/>
          <a:lstStyle/>
          <a:p>
            <a:pPr>
              <a:defRPr sz="1000">
                <a:latin typeface="Calibri" panose="020F0502020204030204" pitchFamily="34" charset="0"/>
              </a:defRPr>
            </a:pPr>
            <a:endParaRPr lang="en-US"/>
          </a:p>
        </c:txPr>
        <c:crossAx val="236212224"/>
        <c:crosses val="autoZero"/>
        <c:crossBetween val="between"/>
        <c:majorUnit val="10"/>
        <c:minorUnit val="10"/>
      </c:valAx>
      <c:spPr>
        <a:noFill/>
        <a:ln w="12700">
          <a:noFill/>
          <a:prstDash val="solid"/>
        </a:ln>
      </c:spPr>
    </c:plotArea>
    <c:plotVisOnly val="1"/>
    <c:dispBlanksAs val="gap"/>
    <c:showDLblsOverMax val="0"/>
  </c:chart>
  <c:spPr>
    <a:noFill/>
    <a:ln w="3175">
      <a:noFill/>
      <a:prstDash val="solid"/>
    </a:ln>
  </c:spPr>
  <c:txPr>
    <a:bodyPr/>
    <a:lstStyle/>
    <a:p>
      <a:pPr>
        <a:defRPr sz="975" b="0" i="0" u="none" strike="noStrike" baseline="0">
          <a:solidFill>
            <a:srgbClr val="000000"/>
          </a:solidFill>
          <a:latin typeface="+mn-lt"/>
          <a:ea typeface="Arial"/>
          <a:cs typeface="Arial"/>
        </a:defRPr>
      </a:pPr>
      <a:endParaRPr lang="en-US"/>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5986493875765528"/>
          <c:y val="7.233215534890744E-2"/>
          <c:w val="0.70870953630796141"/>
          <c:h val="0.67812314480638092"/>
        </c:manualLayout>
      </c:layout>
      <c:lineChart>
        <c:grouping val="standard"/>
        <c:varyColors val="0"/>
        <c:ser>
          <c:idx val="0"/>
          <c:order val="0"/>
          <c:tx>
            <c:strRef>
              <c:f>Population!$C$2</c:f>
              <c:strCache>
                <c:ptCount val="1"/>
                <c:pt idx="0">
                  <c:v>Washington</c:v>
                </c:pt>
              </c:strCache>
            </c:strRef>
          </c:tx>
          <c:cat>
            <c:numRef>
              <c:f>Population!$D$1:$N$1</c:f>
              <c:numCache>
                <c:formatCode>General</c:formatCode>
                <c:ptCount val="11"/>
                <c:pt idx="0">
                  <c:v>2005</c:v>
                </c:pt>
                <c:pt idx="1">
                  <c:v>2006</c:v>
                </c:pt>
                <c:pt idx="2">
                  <c:v>2007</c:v>
                </c:pt>
                <c:pt idx="3">
                  <c:v>2008</c:v>
                </c:pt>
                <c:pt idx="4">
                  <c:v>2009</c:v>
                </c:pt>
                <c:pt idx="5">
                  <c:v>2010</c:v>
                </c:pt>
                <c:pt idx="6">
                  <c:v>2011</c:v>
                </c:pt>
                <c:pt idx="7">
                  <c:v>2012</c:v>
                </c:pt>
                <c:pt idx="8">
                  <c:v>2013</c:v>
                </c:pt>
                <c:pt idx="9">
                  <c:v>2014</c:v>
                </c:pt>
                <c:pt idx="10">
                  <c:v>2015</c:v>
                </c:pt>
              </c:numCache>
            </c:numRef>
          </c:cat>
          <c:val>
            <c:numRef>
              <c:f>Population!$D$2:$N$2</c:f>
              <c:numCache>
                <c:formatCode>General</c:formatCode>
                <c:ptCount val="11"/>
                <c:pt idx="0">
                  <c:v>6298816</c:v>
                </c:pt>
                <c:pt idx="1">
                  <c:v>6420258</c:v>
                </c:pt>
                <c:pt idx="2">
                  <c:v>6525086</c:v>
                </c:pt>
                <c:pt idx="3">
                  <c:v>6608245</c:v>
                </c:pt>
                <c:pt idx="4">
                  <c:v>6672159</c:v>
                </c:pt>
                <c:pt idx="5">
                  <c:v>6724540</c:v>
                </c:pt>
                <c:pt idx="6">
                  <c:v>6767900</c:v>
                </c:pt>
                <c:pt idx="7">
                  <c:v>6817770</c:v>
                </c:pt>
                <c:pt idx="8">
                  <c:v>6882400</c:v>
                </c:pt>
                <c:pt idx="9">
                  <c:v>6968170</c:v>
                </c:pt>
                <c:pt idx="10">
                  <c:v>7061410</c:v>
                </c:pt>
              </c:numCache>
            </c:numRef>
          </c:val>
          <c:smooth val="0"/>
          <c:extLst xmlns:c16r2="http://schemas.microsoft.com/office/drawing/2015/06/chart">
            <c:ext xmlns:c16="http://schemas.microsoft.com/office/drawing/2014/chart" uri="{C3380CC4-5D6E-409C-BE32-E72D297353CC}">
              <c16:uniqueId val="{00000000-5909-4557-B1AC-D9A543C88362}"/>
            </c:ext>
          </c:extLst>
        </c:ser>
        <c:dLbls>
          <c:showLegendKey val="0"/>
          <c:showVal val="0"/>
          <c:showCatName val="0"/>
          <c:showSerName val="0"/>
          <c:showPercent val="0"/>
          <c:showBubbleSize val="0"/>
        </c:dLbls>
        <c:marker val="1"/>
        <c:smooth val="0"/>
        <c:axId val="224059776"/>
        <c:axId val="224061312"/>
      </c:lineChart>
      <c:lineChart>
        <c:grouping val="standard"/>
        <c:varyColors val="0"/>
        <c:ser>
          <c:idx val="1"/>
          <c:order val="1"/>
          <c:tx>
            <c:strRef>
              <c:f>Population!$C$3</c:f>
              <c:strCache>
                <c:ptCount val="1"/>
                <c:pt idx="0">
                  <c:v>Franklin County</c:v>
                </c:pt>
              </c:strCache>
            </c:strRef>
          </c:tx>
          <c:cat>
            <c:numRef>
              <c:f>Population!$D$1:$N$1</c:f>
              <c:numCache>
                <c:formatCode>General</c:formatCode>
                <c:ptCount val="11"/>
                <c:pt idx="0">
                  <c:v>2005</c:v>
                </c:pt>
                <c:pt idx="1">
                  <c:v>2006</c:v>
                </c:pt>
                <c:pt idx="2">
                  <c:v>2007</c:v>
                </c:pt>
                <c:pt idx="3">
                  <c:v>2008</c:v>
                </c:pt>
                <c:pt idx="4">
                  <c:v>2009</c:v>
                </c:pt>
                <c:pt idx="5">
                  <c:v>2010</c:v>
                </c:pt>
                <c:pt idx="6">
                  <c:v>2011</c:v>
                </c:pt>
                <c:pt idx="7">
                  <c:v>2012</c:v>
                </c:pt>
                <c:pt idx="8">
                  <c:v>2013</c:v>
                </c:pt>
                <c:pt idx="9">
                  <c:v>2014</c:v>
                </c:pt>
                <c:pt idx="10">
                  <c:v>2015</c:v>
                </c:pt>
              </c:numCache>
            </c:numRef>
          </c:cat>
          <c:val>
            <c:numRef>
              <c:f>Population!$D$3:$N$3</c:f>
              <c:numCache>
                <c:formatCode>General</c:formatCode>
                <c:ptCount val="11"/>
                <c:pt idx="0">
                  <c:v>62572</c:v>
                </c:pt>
                <c:pt idx="1">
                  <c:v>66371</c:v>
                </c:pt>
                <c:pt idx="2">
                  <c:v>69582</c:v>
                </c:pt>
                <c:pt idx="3">
                  <c:v>72230</c:v>
                </c:pt>
                <c:pt idx="4">
                  <c:v>75111</c:v>
                </c:pt>
                <c:pt idx="5">
                  <c:v>78163</c:v>
                </c:pt>
                <c:pt idx="6">
                  <c:v>80500</c:v>
                </c:pt>
                <c:pt idx="7">
                  <c:v>82500</c:v>
                </c:pt>
                <c:pt idx="8">
                  <c:v>84800</c:v>
                </c:pt>
                <c:pt idx="9">
                  <c:v>86600</c:v>
                </c:pt>
                <c:pt idx="10">
                  <c:v>87150</c:v>
                </c:pt>
              </c:numCache>
            </c:numRef>
          </c:val>
          <c:smooth val="0"/>
          <c:extLst xmlns:c16r2="http://schemas.microsoft.com/office/drawing/2015/06/chart">
            <c:ext xmlns:c16="http://schemas.microsoft.com/office/drawing/2014/chart" uri="{C3380CC4-5D6E-409C-BE32-E72D297353CC}">
              <c16:uniqueId val="{00000001-5909-4557-B1AC-D9A543C88362}"/>
            </c:ext>
          </c:extLst>
        </c:ser>
        <c:ser>
          <c:idx val="2"/>
          <c:order val="2"/>
          <c:tx>
            <c:strRef>
              <c:f>Population!$C$4</c:f>
              <c:strCache>
                <c:ptCount val="1"/>
                <c:pt idx="0">
                  <c:v>Pasco</c:v>
                </c:pt>
              </c:strCache>
            </c:strRef>
          </c:tx>
          <c:cat>
            <c:numRef>
              <c:f>Population!$D$1:$N$1</c:f>
              <c:numCache>
                <c:formatCode>General</c:formatCode>
                <c:ptCount val="11"/>
                <c:pt idx="0">
                  <c:v>2005</c:v>
                </c:pt>
                <c:pt idx="1">
                  <c:v>2006</c:v>
                </c:pt>
                <c:pt idx="2">
                  <c:v>2007</c:v>
                </c:pt>
                <c:pt idx="3">
                  <c:v>2008</c:v>
                </c:pt>
                <c:pt idx="4">
                  <c:v>2009</c:v>
                </c:pt>
                <c:pt idx="5">
                  <c:v>2010</c:v>
                </c:pt>
                <c:pt idx="6">
                  <c:v>2011</c:v>
                </c:pt>
                <c:pt idx="7">
                  <c:v>2012</c:v>
                </c:pt>
                <c:pt idx="8">
                  <c:v>2013</c:v>
                </c:pt>
                <c:pt idx="9">
                  <c:v>2014</c:v>
                </c:pt>
                <c:pt idx="10">
                  <c:v>2015</c:v>
                </c:pt>
              </c:numCache>
            </c:numRef>
          </c:cat>
          <c:val>
            <c:numRef>
              <c:f>Population!$D$4:$N$4</c:f>
              <c:numCache>
                <c:formatCode>General</c:formatCode>
                <c:ptCount val="11"/>
                <c:pt idx="0">
                  <c:v>45846</c:v>
                </c:pt>
                <c:pt idx="1">
                  <c:v>49439</c:v>
                </c:pt>
                <c:pt idx="2">
                  <c:v>52555</c:v>
                </c:pt>
                <c:pt idx="3">
                  <c:v>54993</c:v>
                </c:pt>
                <c:pt idx="4">
                  <c:v>57579</c:v>
                </c:pt>
                <c:pt idx="5">
                  <c:v>59781</c:v>
                </c:pt>
                <c:pt idx="6">
                  <c:v>61000</c:v>
                </c:pt>
                <c:pt idx="7">
                  <c:v>62670</c:v>
                </c:pt>
                <c:pt idx="8">
                  <c:v>65600</c:v>
                </c:pt>
                <c:pt idx="9">
                  <c:v>67770</c:v>
                </c:pt>
                <c:pt idx="10">
                  <c:v>68240</c:v>
                </c:pt>
              </c:numCache>
            </c:numRef>
          </c:val>
          <c:smooth val="0"/>
          <c:extLst xmlns:c16r2="http://schemas.microsoft.com/office/drawing/2015/06/chart">
            <c:ext xmlns:c16="http://schemas.microsoft.com/office/drawing/2014/chart" uri="{C3380CC4-5D6E-409C-BE32-E72D297353CC}">
              <c16:uniqueId val="{00000002-5909-4557-B1AC-D9A543C88362}"/>
            </c:ext>
          </c:extLst>
        </c:ser>
        <c:dLbls>
          <c:showLegendKey val="0"/>
          <c:showVal val="0"/>
          <c:showCatName val="0"/>
          <c:showSerName val="0"/>
          <c:showPercent val="0"/>
          <c:showBubbleSize val="0"/>
        </c:dLbls>
        <c:marker val="1"/>
        <c:smooth val="0"/>
        <c:axId val="224072832"/>
        <c:axId val="224062848"/>
      </c:lineChart>
      <c:catAx>
        <c:axId val="224059776"/>
        <c:scaling>
          <c:orientation val="minMax"/>
        </c:scaling>
        <c:delete val="0"/>
        <c:axPos val="b"/>
        <c:numFmt formatCode="General" sourceLinked="1"/>
        <c:majorTickMark val="out"/>
        <c:minorTickMark val="none"/>
        <c:tickLblPos val="nextTo"/>
        <c:txPr>
          <a:bodyPr rot="-1800000"/>
          <a:lstStyle/>
          <a:p>
            <a:pPr>
              <a:defRPr sz="1000" b="0">
                <a:latin typeface="Calibri" panose="020F0502020204030204" pitchFamily="34" charset="0"/>
              </a:defRPr>
            </a:pPr>
            <a:endParaRPr lang="en-US"/>
          </a:p>
        </c:txPr>
        <c:crossAx val="224061312"/>
        <c:crosses val="autoZero"/>
        <c:auto val="1"/>
        <c:lblAlgn val="ctr"/>
        <c:lblOffset val="100"/>
        <c:noMultiLvlLbl val="0"/>
      </c:catAx>
      <c:valAx>
        <c:axId val="224061312"/>
        <c:scaling>
          <c:orientation val="minMax"/>
          <c:max val="8000000"/>
          <c:min val="3000000"/>
        </c:scaling>
        <c:delete val="0"/>
        <c:axPos val="l"/>
        <c:majorGridlines/>
        <c:numFmt formatCode="#,##0" sourceLinked="0"/>
        <c:majorTickMark val="out"/>
        <c:minorTickMark val="none"/>
        <c:tickLblPos val="nextTo"/>
        <c:txPr>
          <a:bodyPr/>
          <a:lstStyle/>
          <a:p>
            <a:pPr>
              <a:defRPr sz="1000" b="0">
                <a:latin typeface="Calibri" panose="020F0502020204030204" pitchFamily="34" charset="0"/>
              </a:defRPr>
            </a:pPr>
            <a:endParaRPr lang="en-US"/>
          </a:p>
        </c:txPr>
        <c:crossAx val="224059776"/>
        <c:crosses val="autoZero"/>
        <c:crossBetween val="between"/>
      </c:valAx>
      <c:valAx>
        <c:axId val="224062848"/>
        <c:scaling>
          <c:orientation val="minMax"/>
          <c:max val="140000"/>
          <c:min val="40000"/>
        </c:scaling>
        <c:delete val="0"/>
        <c:axPos val="r"/>
        <c:numFmt formatCode="#,##0" sourceLinked="0"/>
        <c:majorTickMark val="out"/>
        <c:minorTickMark val="none"/>
        <c:tickLblPos val="nextTo"/>
        <c:txPr>
          <a:bodyPr/>
          <a:lstStyle/>
          <a:p>
            <a:pPr>
              <a:defRPr sz="1000" b="0">
                <a:latin typeface="Calibri" panose="020F0502020204030204" pitchFamily="34" charset="0"/>
              </a:defRPr>
            </a:pPr>
            <a:endParaRPr lang="en-US"/>
          </a:p>
        </c:txPr>
        <c:crossAx val="224072832"/>
        <c:crosses val="max"/>
        <c:crossBetween val="between"/>
      </c:valAx>
      <c:catAx>
        <c:axId val="224072832"/>
        <c:scaling>
          <c:orientation val="minMax"/>
        </c:scaling>
        <c:delete val="1"/>
        <c:axPos val="b"/>
        <c:numFmt formatCode="General" sourceLinked="1"/>
        <c:majorTickMark val="out"/>
        <c:minorTickMark val="none"/>
        <c:tickLblPos val="nextTo"/>
        <c:crossAx val="224062848"/>
        <c:crosses val="autoZero"/>
        <c:auto val="1"/>
        <c:lblAlgn val="ctr"/>
        <c:lblOffset val="100"/>
        <c:noMultiLvlLbl val="0"/>
      </c:catAx>
    </c:plotArea>
    <c:legend>
      <c:legendPos val="r"/>
      <c:layout>
        <c:manualLayout>
          <c:xMode val="edge"/>
          <c:yMode val="edge"/>
          <c:x val="0.10470964566929133"/>
          <c:y val="0.87205909062590947"/>
          <c:w val="0.84667924321959753"/>
          <c:h val="0.10151223929224683"/>
        </c:manualLayout>
      </c:layout>
      <c:overlay val="0"/>
      <c:txPr>
        <a:bodyPr/>
        <a:lstStyle/>
        <a:p>
          <a:pPr>
            <a:defRPr sz="1000" b="1">
              <a:latin typeface="Calibri" panose="020F0502020204030204" pitchFamily="34" charset="0"/>
            </a:defRPr>
          </a:pPr>
          <a:endParaRPr lang="en-US"/>
        </a:p>
      </c:txPr>
    </c:legend>
    <c:plotVisOnly val="1"/>
    <c:dispBlanksAs val="gap"/>
    <c:showDLblsOverMax val="0"/>
  </c:chart>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4215058483543216"/>
          <c:y val="9.0681777046894743E-2"/>
          <c:w val="0.79906847009977411"/>
          <c:h val="0.65916367980884105"/>
        </c:manualLayout>
      </c:layout>
      <c:lineChart>
        <c:grouping val="standard"/>
        <c:varyColors val="0"/>
        <c:ser>
          <c:idx val="0"/>
          <c:order val="0"/>
          <c:tx>
            <c:strRef>
              <c:f>Population!$C$20</c:f>
              <c:strCache>
                <c:ptCount val="1"/>
                <c:pt idx="0">
                  <c:v>High</c:v>
                </c:pt>
              </c:strCache>
            </c:strRef>
          </c:tx>
          <c:spPr>
            <a:ln>
              <a:prstDash val="sysDash"/>
            </a:ln>
          </c:spPr>
          <c:marker>
            <c:symbol val="diamond"/>
            <c:size val="9"/>
            <c:spPr>
              <a:solidFill>
                <a:schemeClr val="bg1"/>
              </a:solidFill>
              <a:ln w="15875"/>
            </c:spPr>
          </c:marker>
          <c:cat>
            <c:numRef>
              <c:f>Population!$E$13:$I$13</c:f>
              <c:numCache>
                <c:formatCode>General</c:formatCode>
                <c:ptCount val="5"/>
                <c:pt idx="0">
                  <c:v>2010</c:v>
                </c:pt>
                <c:pt idx="1">
                  <c:v>2015</c:v>
                </c:pt>
                <c:pt idx="2">
                  <c:v>2020</c:v>
                </c:pt>
                <c:pt idx="3">
                  <c:v>2025</c:v>
                </c:pt>
                <c:pt idx="4">
                  <c:v>2030</c:v>
                </c:pt>
              </c:numCache>
            </c:numRef>
          </c:cat>
          <c:val>
            <c:numRef>
              <c:f>Population!$E$20:$I$20</c:f>
              <c:numCache>
                <c:formatCode>General</c:formatCode>
                <c:ptCount val="5"/>
                <c:pt idx="0">
                  <c:v>78163</c:v>
                </c:pt>
                <c:pt idx="1">
                  <c:v>104430</c:v>
                </c:pt>
                <c:pt idx="2">
                  <c:v>128310</c:v>
                </c:pt>
                <c:pt idx="3">
                  <c:v>153318</c:v>
                </c:pt>
                <c:pt idx="4">
                  <c:v>179327</c:v>
                </c:pt>
              </c:numCache>
            </c:numRef>
          </c:val>
          <c:smooth val="0"/>
          <c:extLst xmlns:c16r2="http://schemas.microsoft.com/office/drawing/2015/06/chart">
            <c:ext xmlns:c16="http://schemas.microsoft.com/office/drawing/2014/chart" uri="{C3380CC4-5D6E-409C-BE32-E72D297353CC}">
              <c16:uniqueId val="{00000000-EE44-4F97-B636-2DBC7D5D0E34}"/>
            </c:ext>
          </c:extLst>
        </c:ser>
        <c:ser>
          <c:idx val="1"/>
          <c:order val="1"/>
          <c:tx>
            <c:strRef>
              <c:f>Population!$C$21</c:f>
              <c:strCache>
                <c:ptCount val="1"/>
                <c:pt idx="0">
                  <c:v>Medium</c:v>
                </c:pt>
              </c:strCache>
            </c:strRef>
          </c:tx>
          <c:spPr>
            <a:ln>
              <a:prstDash val="sysDash"/>
            </a:ln>
          </c:spPr>
          <c:marker>
            <c:symbol val="square"/>
            <c:size val="8"/>
            <c:spPr>
              <a:solidFill>
                <a:schemeClr val="bg1"/>
              </a:solidFill>
              <a:ln w="19050"/>
            </c:spPr>
          </c:marker>
          <c:dPt>
            <c:idx val="0"/>
            <c:marker>
              <c:spPr>
                <a:solidFill>
                  <a:schemeClr val="accent2"/>
                </a:solidFill>
                <a:ln w="19050"/>
              </c:spPr>
            </c:marker>
            <c:bubble3D val="0"/>
            <c:extLst xmlns:c16r2="http://schemas.microsoft.com/office/drawing/2015/06/chart">
              <c:ext xmlns:c16="http://schemas.microsoft.com/office/drawing/2014/chart" uri="{C3380CC4-5D6E-409C-BE32-E72D297353CC}">
                <c16:uniqueId val="{00000001-EE44-4F97-B636-2DBC7D5D0E34}"/>
              </c:ext>
            </c:extLst>
          </c:dPt>
          <c:cat>
            <c:numRef>
              <c:f>Population!$E$13:$I$13</c:f>
              <c:numCache>
                <c:formatCode>General</c:formatCode>
                <c:ptCount val="5"/>
                <c:pt idx="0">
                  <c:v>2010</c:v>
                </c:pt>
                <c:pt idx="1">
                  <c:v>2015</c:v>
                </c:pt>
                <c:pt idx="2">
                  <c:v>2020</c:v>
                </c:pt>
                <c:pt idx="3">
                  <c:v>2025</c:v>
                </c:pt>
                <c:pt idx="4">
                  <c:v>2030</c:v>
                </c:pt>
              </c:numCache>
            </c:numRef>
          </c:cat>
          <c:val>
            <c:numRef>
              <c:f>Population!$E$21:$I$21</c:f>
              <c:numCache>
                <c:formatCode>General</c:formatCode>
                <c:ptCount val="5"/>
                <c:pt idx="0">
                  <c:v>78163</c:v>
                </c:pt>
                <c:pt idx="1">
                  <c:v>87755</c:v>
                </c:pt>
                <c:pt idx="2">
                  <c:v>100926</c:v>
                </c:pt>
                <c:pt idx="3">
                  <c:v>115142</c:v>
                </c:pt>
                <c:pt idx="4">
                  <c:v>130284</c:v>
                </c:pt>
              </c:numCache>
            </c:numRef>
          </c:val>
          <c:smooth val="0"/>
          <c:extLst xmlns:c16r2="http://schemas.microsoft.com/office/drawing/2015/06/chart">
            <c:ext xmlns:c16="http://schemas.microsoft.com/office/drawing/2014/chart" uri="{C3380CC4-5D6E-409C-BE32-E72D297353CC}">
              <c16:uniqueId val="{00000002-EE44-4F97-B636-2DBC7D5D0E34}"/>
            </c:ext>
          </c:extLst>
        </c:ser>
        <c:ser>
          <c:idx val="2"/>
          <c:order val="2"/>
          <c:tx>
            <c:strRef>
              <c:f>Population!$C$22</c:f>
              <c:strCache>
                <c:ptCount val="1"/>
                <c:pt idx="0">
                  <c:v>Low</c:v>
                </c:pt>
              </c:strCache>
            </c:strRef>
          </c:tx>
          <c:spPr>
            <a:ln>
              <a:prstDash val="sysDash"/>
            </a:ln>
          </c:spPr>
          <c:marker>
            <c:symbol val="triangle"/>
            <c:size val="9"/>
            <c:spPr>
              <a:solidFill>
                <a:schemeClr val="bg1"/>
              </a:solidFill>
              <a:ln w="19050"/>
            </c:spPr>
          </c:marker>
          <c:dPt>
            <c:idx val="0"/>
            <c:marker>
              <c:spPr>
                <a:solidFill>
                  <a:schemeClr val="accent3"/>
                </a:solidFill>
                <a:ln w="19050"/>
              </c:spPr>
            </c:marker>
            <c:bubble3D val="0"/>
            <c:extLst xmlns:c16r2="http://schemas.microsoft.com/office/drawing/2015/06/chart">
              <c:ext xmlns:c16="http://schemas.microsoft.com/office/drawing/2014/chart" uri="{C3380CC4-5D6E-409C-BE32-E72D297353CC}">
                <c16:uniqueId val="{00000003-EE44-4F97-B636-2DBC7D5D0E34}"/>
              </c:ext>
            </c:extLst>
          </c:dPt>
          <c:cat>
            <c:numRef>
              <c:f>Population!$E$13:$I$13</c:f>
              <c:numCache>
                <c:formatCode>General</c:formatCode>
                <c:ptCount val="5"/>
                <c:pt idx="0">
                  <c:v>2010</c:v>
                </c:pt>
                <c:pt idx="1">
                  <c:v>2015</c:v>
                </c:pt>
                <c:pt idx="2">
                  <c:v>2020</c:v>
                </c:pt>
                <c:pt idx="3">
                  <c:v>2025</c:v>
                </c:pt>
                <c:pt idx="4">
                  <c:v>2030</c:v>
                </c:pt>
              </c:numCache>
            </c:numRef>
          </c:cat>
          <c:val>
            <c:numRef>
              <c:f>Population!$E$22:$I$22</c:f>
              <c:numCache>
                <c:formatCode>General</c:formatCode>
                <c:ptCount val="5"/>
                <c:pt idx="0">
                  <c:v>78163</c:v>
                </c:pt>
                <c:pt idx="1">
                  <c:v>75685</c:v>
                </c:pt>
                <c:pt idx="2">
                  <c:v>82752</c:v>
                </c:pt>
                <c:pt idx="3">
                  <c:v>90781</c:v>
                </c:pt>
                <c:pt idx="4">
                  <c:v>99661</c:v>
                </c:pt>
              </c:numCache>
            </c:numRef>
          </c:val>
          <c:smooth val="0"/>
          <c:extLst xmlns:c16r2="http://schemas.microsoft.com/office/drawing/2015/06/chart">
            <c:ext xmlns:c16="http://schemas.microsoft.com/office/drawing/2014/chart" uri="{C3380CC4-5D6E-409C-BE32-E72D297353CC}">
              <c16:uniqueId val="{00000004-EE44-4F97-B636-2DBC7D5D0E34}"/>
            </c:ext>
          </c:extLst>
        </c:ser>
        <c:dLbls>
          <c:showLegendKey val="0"/>
          <c:showVal val="0"/>
          <c:showCatName val="0"/>
          <c:showSerName val="0"/>
          <c:showPercent val="0"/>
          <c:showBubbleSize val="0"/>
        </c:dLbls>
        <c:marker val="1"/>
        <c:smooth val="0"/>
        <c:axId val="224089216"/>
        <c:axId val="224090752"/>
      </c:lineChart>
      <c:catAx>
        <c:axId val="224089216"/>
        <c:scaling>
          <c:orientation val="minMax"/>
        </c:scaling>
        <c:delete val="0"/>
        <c:axPos val="b"/>
        <c:numFmt formatCode="General" sourceLinked="1"/>
        <c:majorTickMark val="out"/>
        <c:minorTickMark val="none"/>
        <c:tickLblPos val="nextTo"/>
        <c:txPr>
          <a:bodyPr rot="-1800000"/>
          <a:lstStyle/>
          <a:p>
            <a:pPr>
              <a:defRPr sz="1000" b="0">
                <a:latin typeface="Calibri" panose="020F0502020204030204" pitchFamily="34" charset="0"/>
              </a:defRPr>
            </a:pPr>
            <a:endParaRPr lang="en-US"/>
          </a:p>
        </c:txPr>
        <c:crossAx val="224090752"/>
        <c:crosses val="autoZero"/>
        <c:auto val="1"/>
        <c:lblAlgn val="ctr"/>
        <c:lblOffset val="100"/>
        <c:noMultiLvlLbl val="0"/>
      </c:catAx>
      <c:valAx>
        <c:axId val="224090752"/>
        <c:scaling>
          <c:orientation val="minMax"/>
        </c:scaling>
        <c:delete val="0"/>
        <c:axPos val="l"/>
        <c:majorGridlines/>
        <c:numFmt formatCode="#,##0" sourceLinked="0"/>
        <c:majorTickMark val="out"/>
        <c:minorTickMark val="none"/>
        <c:tickLblPos val="nextTo"/>
        <c:txPr>
          <a:bodyPr/>
          <a:lstStyle/>
          <a:p>
            <a:pPr>
              <a:defRPr sz="1000" b="0">
                <a:latin typeface="Calibri" panose="020F0502020204030204" pitchFamily="34" charset="0"/>
              </a:defRPr>
            </a:pPr>
            <a:endParaRPr lang="en-US"/>
          </a:p>
        </c:txPr>
        <c:crossAx val="224089216"/>
        <c:crosses val="autoZero"/>
        <c:crossBetween val="between"/>
      </c:valAx>
      <c:spPr>
        <a:ln>
          <a:solidFill>
            <a:schemeClr val="tx1"/>
          </a:solidFill>
        </a:ln>
      </c:spPr>
    </c:plotArea>
    <c:legend>
      <c:legendPos val="r"/>
      <c:layout>
        <c:manualLayout>
          <c:xMode val="edge"/>
          <c:yMode val="edge"/>
          <c:x val="0.15140497681692228"/>
          <c:y val="0.87804161636962863"/>
          <c:w val="0.72548236348505213"/>
          <c:h val="9.1171013193041731E-2"/>
        </c:manualLayout>
      </c:layout>
      <c:overlay val="0"/>
      <c:txPr>
        <a:bodyPr/>
        <a:lstStyle/>
        <a:p>
          <a:pPr>
            <a:defRPr sz="1000" b="1">
              <a:latin typeface="Calibri" panose="020F0502020204030204" pitchFamily="34" charset="0"/>
            </a:defRPr>
          </a:pPr>
          <a:endParaRPr lang="en-US"/>
        </a:p>
      </c:txPr>
    </c:legend>
    <c:plotVisOnly val="1"/>
    <c:dispBlanksAs val="gap"/>
    <c:showDLblsOverMax val="0"/>
  </c:chart>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7552616469816273"/>
          <c:y val="7.371571197930836E-2"/>
          <c:w val="0.77901820866141747"/>
          <c:h val="0.76567401125658296"/>
        </c:manualLayout>
      </c:layout>
      <c:lineChart>
        <c:grouping val="standard"/>
        <c:varyColors val="0"/>
        <c:ser>
          <c:idx val="0"/>
          <c:order val="0"/>
          <c:tx>
            <c:strRef>
              <c:f>Population!$C$14</c:f>
              <c:strCache>
                <c:ptCount val="1"/>
                <c:pt idx="0">
                  <c:v>Ages 5-17</c:v>
                </c:pt>
              </c:strCache>
            </c:strRef>
          </c:tx>
          <c:spPr>
            <a:ln>
              <a:prstDash val="sysDash"/>
            </a:ln>
          </c:spPr>
          <c:marker>
            <c:symbol val="diamond"/>
            <c:size val="9"/>
            <c:spPr>
              <a:solidFill>
                <a:schemeClr val="bg1"/>
              </a:solidFill>
              <a:ln w="15875"/>
            </c:spPr>
          </c:marker>
          <c:dPt>
            <c:idx val="0"/>
            <c:marker>
              <c:spPr>
                <a:solidFill>
                  <a:schemeClr val="accent1"/>
                </a:solidFill>
                <a:ln w="15875"/>
              </c:spPr>
            </c:marker>
            <c:bubble3D val="0"/>
            <c:extLst xmlns:c16r2="http://schemas.microsoft.com/office/drawing/2015/06/chart">
              <c:ext xmlns:c16="http://schemas.microsoft.com/office/drawing/2014/chart" uri="{C3380CC4-5D6E-409C-BE32-E72D297353CC}">
                <c16:uniqueId val="{00000000-5B33-4442-BA77-77F0DADAA8DD}"/>
              </c:ext>
            </c:extLst>
          </c:dPt>
          <c:dPt>
            <c:idx val="1"/>
            <c:marker>
              <c:spPr>
                <a:solidFill>
                  <a:schemeClr val="accent1"/>
                </a:solidFill>
                <a:ln w="15875"/>
              </c:spPr>
            </c:marker>
            <c:bubble3D val="0"/>
            <c:spPr>
              <a:ln>
                <a:prstDash val="solid"/>
              </a:ln>
            </c:spPr>
            <c:extLst xmlns:c16r2="http://schemas.microsoft.com/office/drawing/2015/06/chart">
              <c:ext xmlns:c16="http://schemas.microsoft.com/office/drawing/2014/chart" uri="{C3380CC4-5D6E-409C-BE32-E72D297353CC}">
                <c16:uniqueId val="{00000002-5B33-4442-BA77-77F0DADAA8DD}"/>
              </c:ext>
            </c:extLst>
          </c:dPt>
          <c:cat>
            <c:numRef>
              <c:f>Population!$D$13:$I$13</c:f>
              <c:numCache>
                <c:formatCode>General</c:formatCode>
                <c:ptCount val="6"/>
                <c:pt idx="0">
                  <c:v>2005</c:v>
                </c:pt>
                <c:pt idx="1">
                  <c:v>2010</c:v>
                </c:pt>
                <c:pt idx="2">
                  <c:v>2015</c:v>
                </c:pt>
                <c:pt idx="3">
                  <c:v>2020</c:v>
                </c:pt>
                <c:pt idx="4">
                  <c:v>2025</c:v>
                </c:pt>
                <c:pt idx="5">
                  <c:v>2030</c:v>
                </c:pt>
              </c:numCache>
            </c:numRef>
          </c:cat>
          <c:val>
            <c:numRef>
              <c:f>Population!$D$14:$I$14</c:f>
              <c:numCache>
                <c:formatCode>General</c:formatCode>
                <c:ptCount val="6"/>
                <c:pt idx="0">
                  <c:v>1132188</c:v>
                </c:pt>
                <c:pt idx="1">
                  <c:v>1141697</c:v>
                </c:pt>
                <c:pt idx="2">
                  <c:v>1162414</c:v>
                </c:pt>
                <c:pt idx="3">
                  <c:v>1209783</c:v>
                </c:pt>
                <c:pt idx="4">
                  <c:v>1254246</c:v>
                </c:pt>
                <c:pt idx="5">
                  <c:v>1292282</c:v>
                </c:pt>
              </c:numCache>
            </c:numRef>
          </c:val>
          <c:smooth val="0"/>
          <c:extLst xmlns:c16r2="http://schemas.microsoft.com/office/drawing/2015/06/chart">
            <c:ext xmlns:c16="http://schemas.microsoft.com/office/drawing/2014/chart" uri="{C3380CC4-5D6E-409C-BE32-E72D297353CC}">
              <c16:uniqueId val="{00000003-5B33-4442-BA77-77F0DADAA8DD}"/>
            </c:ext>
          </c:extLst>
        </c:ser>
        <c:ser>
          <c:idx val="1"/>
          <c:order val="1"/>
          <c:tx>
            <c:strRef>
              <c:f>Population!$C$15</c:f>
              <c:strCache>
                <c:ptCount val="1"/>
                <c:pt idx="0">
                  <c:v>Ages 17-22</c:v>
                </c:pt>
              </c:strCache>
            </c:strRef>
          </c:tx>
          <c:spPr>
            <a:ln>
              <a:prstDash val="sysDash"/>
            </a:ln>
          </c:spPr>
          <c:marker>
            <c:symbol val="square"/>
            <c:size val="8"/>
            <c:spPr>
              <a:solidFill>
                <a:schemeClr val="bg1"/>
              </a:solidFill>
              <a:ln w="15875"/>
            </c:spPr>
          </c:marker>
          <c:dPt>
            <c:idx val="0"/>
            <c:marker>
              <c:spPr>
                <a:solidFill>
                  <a:schemeClr val="accent2"/>
                </a:solidFill>
                <a:ln w="15875"/>
              </c:spPr>
            </c:marker>
            <c:bubble3D val="0"/>
            <c:extLst xmlns:c16r2="http://schemas.microsoft.com/office/drawing/2015/06/chart">
              <c:ext xmlns:c16="http://schemas.microsoft.com/office/drawing/2014/chart" uri="{C3380CC4-5D6E-409C-BE32-E72D297353CC}">
                <c16:uniqueId val="{00000004-5B33-4442-BA77-77F0DADAA8DD}"/>
              </c:ext>
            </c:extLst>
          </c:dPt>
          <c:dPt>
            <c:idx val="1"/>
            <c:marker>
              <c:spPr>
                <a:solidFill>
                  <a:schemeClr val="accent2"/>
                </a:solidFill>
                <a:ln w="15875"/>
              </c:spPr>
            </c:marker>
            <c:bubble3D val="0"/>
            <c:spPr>
              <a:ln>
                <a:prstDash val="solid"/>
              </a:ln>
            </c:spPr>
            <c:extLst xmlns:c16r2="http://schemas.microsoft.com/office/drawing/2015/06/chart">
              <c:ext xmlns:c16="http://schemas.microsoft.com/office/drawing/2014/chart" uri="{C3380CC4-5D6E-409C-BE32-E72D297353CC}">
                <c16:uniqueId val="{00000006-5B33-4442-BA77-77F0DADAA8DD}"/>
              </c:ext>
            </c:extLst>
          </c:dPt>
          <c:cat>
            <c:numRef>
              <c:f>Population!$D$13:$I$13</c:f>
              <c:numCache>
                <c:formatCode>General</c:formatCode>
                <c:ptCount val="6"/>
                <c:pt idx="0">
                  <c:v>2005</c:v>
                </c:pt>
                <c:pt idx="1">
                  <c:v>2010</c:v>
                </c:pt>
                <c:pt idx="2">
                  <c:v>2015</c:v>
                </c:pt>
                <c:pt idx="3">
                  <c:v>2020</c:v>
                </c:pt>
                <c:pt idx="4">
                  <c:v>2025</c:v>
                </c:pt>
                <c:pt idx="5">
                  <c:v>2030</c:v>
                </c:pt>
              </c:numCache>
            </c:numRef>
          </c:cat>
          <c:val>
            <c:numRef>
              <c:f>Population!$D$15:$I$15</c:f>
              <c:numCache>
                <c:formatCode>General</c:formatCode>
                <c:ptCount val="6"/>
                <c:pt idx="0">
                  <c:v>542357</c:v>
                </c:pt>
                <c:pt idx="1">
                  <c:v>559017</c:v>
                </c:pt>
                <c:pt idx="2">
                  <c:v>553059</c:v>
                </c:pt>
                <c:pt idx="3">
                  <c:v>556257</c:v>
                </c:pt>
                <c:pt idx="4">
                  <c:v>578987</c:v>
                </c:pt>
                <c:pt idx="5">
                  <c:v>605289</c:v>
                </c:pt>
              </c:numCache>
            </c:numRef>
          </c:val>
          <c:smooth val="0"/>
          <c:extLst xmlns:c16r2="http://schemas.microsoft.com/office/drawing/2015/06/chart">
            <c:ext xmlns:c16="http://schemas.microsoft.com/office/drawing/2014/chart" uri="{C3380CC4-5D6E-409C-BE32-E72D297353CC}">
              <c16:uniqueId val="{00000007-5B33-4442-BA77-77F0DADAA8DD}"/>
            </c:ext>
          </c:extLst>
        </c:ser>
        <c:ser>
          <c:idx val="2"/>
          <c:order val="2"/>
          <c:tx>
            <c:strRef>
              <c:f>Population!$C$16</c:f>
              <c:strCache>
                <c:ptCount val="1"/>
                <c:pt idx="0">
                  <c:v>Age 65+</c:v>
                </c:pt>
              </c:strCache>
            </c:strRef>
          </c:tx>
          <c:spPr>
            <a:ln>
              <a:prstDash val="sysDash"/>
            </a:ln>
          </c:spPr>
          <c:marker>
            <c:symbol val="triangle"/>
            <c:size val="8"/>
            <c:spPr>
              <a:solidFill>
                <a:schemeClr val="bg1"/>
              </a:solidFill>
              <a:ln w="15875"/>
            </c:spPr>
          </c:marker>
          <c:dPt>
            <c:idx val="0"/>
            <c:marker>
              <c:spPr>
                <a:solidFill>
                  <a:schemeClr val="accent3"/>
                </a:solidFill>
                <a:ln w="15875"/>
              </c:spPr>
            </c:marker>
            <c:bubble3D val="0"/>
            <c:extLst xmlns:c16r2="http://schemas.microsoft.com/office/drawing/2015/06/chart">
              <c:ext xmlns:c16="http://schemas.microsoft.com/office/drawing/2014/chart" uri="{C3380CC4-5D6E-409C-BE32-E72D297353CC}">
                <c16:uniqueId val="{00000008-5B33-4442-BA77-77F0DADAA8DD}"/>
              </c:ext>
            </c:extLst>
          </c:dPt>
          <c:dPt>
            <c:idx val="1"/>
            <c:marker>
              <c:spPr>
                <a:solidFill>
                  <a:schemeClr val="accent3"/>
                </a:solidFill>
                <a:ln w="15875"/>
              </c:spPr>
            </c:marker>
            <c:bubble3D val="0"/>
            <c:spPr>
              <a:ln>
                <a:prstDash val="solid"/>
              </a:ln>
            </c:spPr>
            <c:extLst xmlns:c16r2="http://schemas.microsoft.com/office/drawing/2015/06/chart">
              <c:ext xmlns:c16="http://schemas.microsoft.com/office/drawing/2014/chart" uri="{C3380CC4-5D6E-409C-BE32-E72D297353CC}">
                <c16:uniqueId val="{0000000A-5B33-4442-BA77-77F0DADAA8DD}"/>
              </c:ext>
            </c:extLst>
          </c:dPt>
          <c:cat>
            <c:numRef>
              <c:f>Population!$D$13:$I$13</c:f>
              <c:numCache>
                <c:formatCode>General</c:formatCode>
                <c:ptCount val="6"/>
                <c:pt idx="0">
                  <c:v>2005</c:v>
                </c:pt>
                <c:pt idx="1">
                  <c:v>2010</c:v>
                </c:pt>
                <c:pt idx="2">
                  <c:v>2015</c:v>
                </c:pt>
                <c:pt idx="3">
                  <c:v>2020</c:v>
                </c:pt>
                <c:pt idx="4">
                  <c:v>2025</c:v>
                </c:pt>
                <c:pt idx="5">
                  <c:v>2030</c:v>
                </c:pt>
              </c:numCache>
            </c:numRef>
          </c:cat>
          <c:val>
            <c:numRef>
              <c:f>Population!$D$16:$I$16</c:f>
              <c:numCache>
                <c:formatCode>General</c:formatCode>
                <c:ptCount val="6"/>
                <c:pt idx="0">
                  <c:v>713853</c:v>
                </c:pt>
                <c:pt idx="1">
                  <c:v>827677</c:v>
                </c:pt>
                <c:pt idx="2">
                  <c:v>1027664</c:v>
                </c:pt>
                <c:pt idx="3">
                  <c:v>1274626</c:v>
                </c:pt>
                <c:pt idx="4">
                  <c:v>1529670</c:v>
                </c:pt>
                <c:pt idx="5">
                  <c:v>1746658</c:v>
                </c:pt>
              </c:numCache>
            </c:numRef>
          </c:val>
          <c:smooth val="0"/>
          <c:extLst xmlns:c16r2="http://schemas.microsoft.com/office/drawing/2015/06/chart">
            <c:ext xmlns:c16="http://schemas.microsoft.com/office/drawing/2014/chart" uri="{C3380CC4-5D6E-409C-BE32-E72D297353CC}">
              <c16:uniqueId val="{0000000B-5B33-4442-BA77-77F0DADAA8DD}"/>
            </c:ext>
          </c:extLst>
        </c:ser>
        <c:ser>
          <c:idx val="3"/>
          <c:order val="3"/>
          <c:tx>
            <c:strRef>
              <c:f>Population!$C$17</c:f>
              <c:strCache>
                <c:ptCount val="1"/>
                <c:pt idx="0">
                  <c:v>Age 85+</c:v>
                </c:pt>
              </c:strCache>
            </c:strRef>
          </c:tx>
          <c:spPr>
            <a:ln>
              <a:prstDash val="sysDash"/>
            </a:ln>
          </c:spPr>
          <c:marker>
            <c:symbol val="diamond"/>
            <c:size val="9"/>
            <c:spPr>
              <a:solidFill>
                <a:schemeClr val="bg1"/>
              </a:solidFill>
              <a:ln w="15875"/>
            </c:spPr>
          </c:marker>
          <c:dPt>
            <c:idx val="0"/>
            <c:marker>
              <c:spPr>
                <a:solidFill>
                  <a:schemeClr val="accent4"/>
                </a:solidFill>
                <a:ln w="15875"/>
              </c:spPr>
            </c:marker>
            <c:bubble3D val="0"/>
            <c:extLst xmlns:c16r2="http://schemas.microsoft.com/office/drawing/2015/06/chart">
              <c:ext xmlns:c16="http://schemas.microsoft.com/office/drawing/2014/chart" uri="{C3380CC4-5D6E-409C-BE32-E72D297353CC}">
                <c16:uniqueId val="{0000000C-5B33-4442-BA77-77F0DADAA8DD}"/>
              </c:ext>
            </c:extLst>
          </c:dPt>
          <c:dPt>
            <c:idx val="1"/>
            <c:marker>
              <c:spPr>
                <a:solidFill>
                  <a:schemeClr val="accent4"/>
                </a:solidFill>
                <a:ln w="15875"/>
              </c:spPr>
            </c:marker>
            <c:bubble3D val="0"/>
            <c:spPr>
              <a:ln>
                <a:prstDash val="solid"/>
              </a:ln>
            </c:spPr>
            <c:extLst xmlns:c16r2="http://schemas.microsoft.com/office/drawing/2015/06/chart">
              <c:ext xmlns:c16="http://schemas.microsoft.com/office/drawing/2014/chart" uri="{C3380CC4-5D6E-409C-BE32-E72D297353CC}">
                <c16:uniqueId val="{0000000E-5B33-4442-BA77-77F0DADAA8DD}"/>
              </c:ext>
            </c:extLst>
          </c:dPt>
          <c:cat>
            <c:numRef>
              <c:f>Population!$D$13:$I$13</c:f>
              <c:numCache>
                <c:formatCode>General</c:formatCode>
                <c:ptCount val="6"/>
                <c:pt idx="0">
                  <c:v>2005</c:v>
                </c:pt>
                <c:pt idx="1">
                  <c:v>2010</c:v>
                </c:pt>
                <c:pt idx="2">
                  <c:v>2015</c:v>
                </c:pt>
                <c:pt idx="3">
                  <c:v>2020</c:v>
                </c:pt>
                <c:pt idx="4">
                  <c:v>2025</c:v>
                </c:pt>
                <c:pt idx="5">
                  <c:v>2030</c:v>
                </c:pt>
              </c:numCache>
            </c:numRef>
          </c:cat>
          <c:val>
            <c:numRef>
              <c:f>Population!$D$17:$I$17</c:f>
              <c:numCache>
                <c:formatCode>General</c:formatCode>
                <c:ptCount val="6"/>
                <c:pt idx="0">
                  <c:v>98973</c:v>
                </c:pt>
                <c:pt idx="1">
                  <c:v>117271</c:v>
                </c:pt>
                <c:pt idx="2">
                  <c:v>129316</c:v>
                </c:pt>
                <c:pt idx="3">
                  <c:v>142156</c:v>
                </c:pt>
                <c:pt idx="4">
                  <c:v>167610</c:v>
                </c:pt>
                <c:pt idx="5">
                  <c:v>222038</c:v>
                </c:pt>
              </c:numCache>
            </c:numRef>
          </c:val>
          <c:smooth val="0"/>
          <c:extLst xmlns:c16r2="http://schemas.microsoft.com/office/drawing/2015/06/chart">
            <c:ext xmlns:c16="http://schemas.microsoft.com/office/drawing/2014/chart" uri="{C3380CC4-5D6E-409C-BE32-E72D297353CC}">
              <c16:uniqueId val="{0000000F-5B33-4442-BA77-77F0DADAA8DD}"/>
            </c:ext>
          </c:extLst>
        </c:ser>
        <c:dLbls>
          <c:showLegendKey val="0"/>
          <c:showVal val="0"/>
          <c:showCatName val="0"/>
          <c:showSerName val="0"/>
          <c:showPercent val="0"/>
          <c:showBubbleSize val="0"/>
        </c:dLbls>
        <c:marker val="1"/>
        <c:smooth val="0"/>
        <c:axId val="225192192"/>
        <c:axId val="225193984"/>
      </c:lineChart>
      <c:catAx>
        <c:axId val="225192192"/>
        <c:scaling>
          <c:orientation val="minMax"/>
        </c:scaling>
        <c:delete val="0"/>
        <c:axPos val="b"/>
        <c:numFmt formatCode="General" sourceLinked="1"/>
        <c:majorTickMark val="out"/>
        <c:minorTickMark val="none"/>
        <c:tickLblPos val="nextTo"/>
        <c:txPr>
          <a:bodyPr rot="-1800000"/>
          <a:lstStyle/>
          <a:p>
            <a:pPr>
              <a:defRPr sz="1000" b="0">
                <a:latin typeface="Calibri" panose="020F0502020204030204" pitchFamily="34" charset="0"/>
              </a:defRPr>
            </a:pPr>
            <a:endParaRPr lang="en-US"/>
          </a:p>
        </c:txPr>
        <c:crossAx val="225193984"/>
        <c:crosses val="autoZero"/>
        <c:auto val="1"/>
        <c:lblAlgn val="ctr"/>
        <c:lblOffset val="100"/>
        <c:noMultiLvlLbl val="0"/>
      </c:catAx>
      <c:valAx>
        <c:axId val="225193984"/>
        <c:scaling>
          <c:orientation val="minMax"/>
        </c:scaling>
        <c:delete val="0"/>
        <c:axPos val="l"/>
        <c:majorGridlines/>
        <c:numFmt formatCode="#,##0" sourceLinked="0"/>
        <c:majorTickMark val="out"/>
        <c:minorTickMark val="none"/>
        <c:tickLblPos val="nextTo"/>
        <c:txPr>
          <a:bodyPr/>
          <a:lstStyle/>
          <a:p>
            <a:pPr>
              <a:defRPr sz="1000" b="0">
                <a:latin typeface="Calibri" panose="020F0502020204030204" pitchFamily="34" charset="0"/>
              </a:defRPr>
            </a:pPr>
            <a:endParaRPr lang="en-US"/>
          </a:p>
        </c:txPr>
        <c:crossAx val="225192192"/>
        <c:crosses val="autoZero"/>
        <c:crossBetween val="between"/>
      </c:valAx>
      <c:spPr>
        <a:ln>
          <a:solidFill>
            <a:schemeClr val="tx1"/>
          </a:solidFill>
        </a:ln>
      </c:spPr>
    </c:plotArea>
    <c:legend>
      <c:legendPos val="r"/>
      <c:layout>
        <c:manualLayout>
          <c:xMode val="edge"/>
          <c:yMode val="edge"/>
          <c:x val="0.20321542814960628"/>
          <c:y val="2.9181368975957866E-2"/>
          <c:w val="0.27074290518372701"/>
          <c:h val="0.25730420096798767"/>
        </c:manualLayout>
      </c:layout>
      <c:overlay val="0"/>
      <c:spPr>
        <a:solidFill>
          <a:schemeClr val="bg1"/>
        </a:solidFill>
        <a:ln>
          <a:solidFill>
            <a:schemeClr val="tx1"/>
          </a:solidFill>
        </a:ln>
      </c:spPr>
      <c:txPr>
        <a:bodyPr/>
        <a:lstStyle/>
        <a:p>
          <a:pPr>
            <a:defRPr sz="1000" b="1">
              <a:latin typeface="Calibri" panose="020F0502020204030204" pitchFamily="34" charset="0"/>
            </a:defRPr>
          </a:pPr>
          <a:endParaRPr lang="en-US"/>
        </a:p>
      </c:txPr>
    </c:legend>
    <c:plotVisOnly val="1"/>
    <c:dispBlanksAs val="gap"/>
    <c:showDLblsOverMax val="0"/>
  </c:chart>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56425881547415"/>
          <c:y val="0.10232648002333042"/>
          <c:w val="0.79886519803002154"/>
          <c:h val="0.75868007701864348"/>
        </c:manualLayout>
      </c:layout>
      <c:barChart>
        <c:barDir val="col"/>
        <c:grouping val="clustered"/>
        <c:varyColors val="0"/>
        <c:ser>
          <c:idx val="0"/>
          <c:order val="0"/>
          <c:tx>
            <c:strRef>
              <c:f>'CPI-U'!$A$2</c:f>
              <c:strCache>
                <c:ptCount val="1"/>
                <c:pt idx="0">
                  <c:v>CPI-U</c:v>
                </c:pt>
              </c:strCache>
            </c:strRef>
          </c:tx>
          <c:invertIfNegative val="0"/>
          <c:dLbls>
            <c:numFmt formatCode="0.0%" sourceLinked="0"/>
            <c:spPr>
              <a:noFill/>
              <a:ln>
                <a:noFill/>
              </a:ln>
              <a:effectLst/>
            </c:spPr>
            <c:txPr>
              <a:bodyPr/>
              <a:lstStyle/>
              <a:p>
                <a:pPr>
                  <a:defRPr sz="800" b="1">
                    <a:latin typeface="Calibri" panose="020F0502020204030204" pitchFamily="34"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'CPI-U'!$B$1:$Q$1</c:f>
              <c:numCache>
                <c:formatCode>General</c:formatCode>
                <c:ptCount val="16"/>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numCache>
            </c:numRef>
          </c:cat>
          <c:val>
            <c:numRef>
              <c:f>'CPI-U'!$B$2:$Q$2</c:f>
              <c:numCache>
                <c:formatCode>General</c:formatCode>
                <c:ptCount val="16"/>
                <c:pt idx="0">
                  <c:v>2.9000000000000001E-2</c:v>
                </c:pt>
                <c:pt idx="1">
                  <c:v>3.1E-2</c:v>
                </c:pt>
                <c:pt idx="2">
                  <c:v>1.4999999999999999E-2</c:v>
                </c:pt>
                <c:pt idx="3">
                  <c:v>0.02</c:v>
                </c:pt>
                <c:pt idx="4">
                  <c:v>2.7E-2</c:v>
                </c:pt>
                <c:pt idx="5">
                  <c:v>2.9000000000000001E-2</c:v>
                </c:pt>
                <c:pt idx="6">
                  <c:v>2.9000000000000001E-2</c:v>
                </c:pt>
                <c:pt idx="7">
                  <c:v>3.1E-2</c:v>
                </c:pt>
                <c:pt idx="8">
                  <c:v>3.5000000000000003E-2</c:v>
                </c:pt>
                <c:pt idx="9">
                  <c:v>-6.0000000000000001E-3</c:v>
                </c:pt>
                <c:pt idx="10">
                  <c:v>0.01</c:v>
                </c:pt>
                <c:pt idx="11">
                  <c:v>0.03</c:v>
                </c:pt>
                <c:pt idx="12">
                  <c:v>1.7000000000000001E-2</c:v>
                </c:pt>
                <c:pt idx="13">
                  <c:v>1.0999999999999999E-2</c:v>
                </c:pt>
                <c:pt idx="14">
                  <c:v>1.2999999999999999E-2</c:v>
                </c:pt>
                <c:pt idx="15">
                  <c:v>4.0000000000000001E-3</c:v>
                </c:pt>
              </c:numCache>
            </c:numRef>
          </c:val>
          <c:extLst xmlns:c16r2="http://schemas.microsoft.com/office/drawing/2015/06/chart">
            <c:ext xmlns:c16="http://schemas.microsoft.com/office/drawing/2014/chart" uri="{C3380CC4-5D6E-409C-BE32-E72D297353CC}">
              <c16:uniqueId val="{00000000-BA66-4804-911F-9FA867D927F7}"/>
            </c:ext>
          </c:extLst>
        </c:ser>
        <c:dLbls>
          <c:showLegendKey val="0"/>
          <c:showVal val="0"/>
          <c:showCatName val="0"/>
          <c:showSerName val="0"/>
          <c:showPercent val="0"/>
          <c:showBubbleSize val="0"/>
        </c:dLbls>
        <c:gapWidth val="120"/>
        <c:axId val="225259904"/>
        <c:axId val="225261440"/>
      </c:barChart>
      <c:catAx>
        <c:axId val="225259904"/>
        <c:scaling>
          <c:orientation val="minMax"/>
        </c:scaling>
        <c:delete val="0"/>
        <c:axPos val="b"/>
        <c:numFmt formatCode="General" sourceLinked="1"/>
        <c:majorTickMark val="out"/>
        <c:minorTickMark val="none"/>
        <c:tickLblPos val="low"/>
        <c:txPr>
          <a:bodyPr rot="-1800000"/>
          <a:lstStyle/>
          <a:p>
            <a:pPr>
              <a:defRPr sz="1000" b="0">
                <a:latin typeface="Calibri" panose="020F0502020204030204" pitchFamily="34" charset="0"/>
              </a:defRPr>
            </a:pPr>
            <a:endParaRPr lang="en-US"/>
          </a:p>
        </c:txPr>
        <c:crossAx val="225261440"/>
        <c:crosses val="autoZero"/>
        <c:auto val="1"/>
        <c:lblAlgn val="ctr"/>
        <c:lblOffset val="100"/>
        <c:noMultiLvlLbl val="0"/>
      </c:catAx>
      <c:valAx>
        <c:axId val="225261440"/>
        <c:scaling>
          <c:orientation val="minMax"/>
        </c:scaling>
        <c:delete val="0"/>
        <c:axPos val="l"/>
        <c:majorGridlines/>
        <c:title>
          <c:tx>
            <c:rich>
              <a:bodyPr rot="-5400000" vert="horz"/>
              <a:lstStyle/>
              <a:p>
                <a:pPr>
                  <a:defRPr sz="1000"/>
                </a:pPr>
                <a:r>
                  <a:rPr lang="en-US" sz="1000"/>
                  <a:t>Annual Change in CPI-U</a:t>
                </a:r>
              </a:p>
            </c:rich>
          </c:tx>
          <c:overlay val="0"/>
        </c:title>
        <c:numFmt formatCode="0.00%" sourceLinked="0"/>
        <c:majorTickMark val="out"/>
        <c:minorTickMark val="none"/>
        <c:tickLblPos val="nextTo"/>
        <c:txPr>
          <a:bodyPr/>
          <a:lstStyle/>
          <a:p>
            <a:pPr>
              <a:defRPr sz="1000" b="0">
                <a:latin typeface="Calibri" panose="020F0502020204030204" pitchFamily="34" charset="0"/>
              </a:defRPr>
            </a:pPr>
            <a:endParaRPr lang="en-US"/>
          </a:p>
        </c:txPr>
        <c:crossAx val="225259904"/>
        <c:crosses val="autoZero"/>
        <c:crossBetween val="between"/>
      </c:valAx>
      <c:spPr>
        <a:ln>
          <a:solidFill>
            <a:schemeClr val="tx1"/>
          </a:solidFill>
        </a:ln>
      </c:spPr>
    </c:plotArea>
    <c:plotVisOnly val="1"/>
    <c:dispBlanksAs val="gap"/>
    <c:showDLblsOverMax val="0"/>
  </c:chart>
  <c:externalData r:id="rId2">
    <c:autoUpdate val="0"/>
  </c:externalData>
  <c:userShapes r:id="rId3"/>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21427438091977632"/>
          <c:y val="6.7292001887267125E-2"/>
          <c:w val="0.7306173684811138"/>
          <c:h val="0.71059740436972796"/>
        </c:manualLayout>
      </c:layout>
      <c:lineChart>
        <c:grouping val="standard"/>
        <c:varyColors val="0"/>
        <c:ser>
          <c:idx val="0"/>
          <c:order val="0"/>
          <c:tx>
            <c:strRef>
              <c:f>'Sales Tax&amp;Values'!$A$14</c:f>
              <c:strCache>
                <c:ptCount val="1"/>
                <c:pt idx="0">
                  <c:v>Pasco</c:v>
                </c:pt>
              </c:strCache>
            </c:strRef>
          </c:tx>
          <c:cat>
            <c:numRef>
              <c:f>'Sales Tax&amp;Values'!$B$13:$K$13</c:f>
              <c:numCache>
                <c:formatCode>General</c:formatCode>
                <c:ptCount val="10"/>
                <c:pt idx="0">
                  <c:v>2005</c:v>
                </c:pt>
                <c:pt idx="1">
                  <c:v>2006</c:v>
                </c:pt>
                <c:pt idx="2">
                  <c:v>2007</c:v>
                </c:pt>
                <c:pt idx="3">
                  <c:v>2008</c:v>
                </c:pt>
                <c:pt idx="4">
                  <c:v>2009</c:v>
                </c:pt>
                <c:pt idx="5">
                  <c:v>2010</c:v>
                </c:pt>
                <c:pt idx="6">
                  <c:v>2011</c:v>
                </c:pt>
                <c:pt idx="7">
                  <c:v>2012</c:v>
                </c:pt>
                <c:pt idx="8">
                  <c:v>2013</c:v>
                </c:pt>
                <c:pt idx="9">
                  <c:v>2014</c:v>
                </c:pt>
              </c:numCache>
            </c:numRef>
          </c:cat>
          <c:val>
            <c:numRef>
              <c:f>'Sales Tax&amp;Values'!$B$14:$K$14</c:f>
              <c:numCache>
                <c:formatCode>General</c:formatCode>
                <c:ptCount val="10"/>
                <c:pt idx="0">
                  <c:v>781596534</c:v>
                </c:pt>
                <c:pt idx="1">
                  <c:v>811292511</c:v>
                </c:pt>
                <c:pt idx="2">
                  <c:v>856422037</c:v>
                </c:pt>
                <c:pt idx="3">
                  <c:v>877529074</c:v>
                </c:pt>
                <c:pt idx="4">
                  <c:v>802641083</c:v>
                </c:pt>
                <c:pt idx="5">
                  <c:v>825267329</c:v>
                </c:pt>
                <c:pt idx="6">
                  <c:v>839174222</c:v>
                </c:pt>
                <c:pt idx="7">
                  <c:v>861063371</c:v>
                </c:pt>
                <c:pt idx="8">
                  <c:v>933301814</c:v>
                </c:pt>
                <c:pt idx="9">
                  <c:v>1016794531</c:v>
                </c:pt>
              </c:numCache>
            </c:numRef>
          </c:val>
          <c:smooth val="0"/>
          <c:extLst xmlns:c16r2="http://schemas.microsoft.com/office/drawing/2015/06/chart">
            <c:ext xmlns:c16="http://schemas.microsoft.com/office/drawing/2014/chart" uri="{C3380CC4-5D6E-409C-BE32-E72D297353CC}">
              <c16:uniqueId val="{00000000-3E03-4364-88BF-4567FBA5457A}"/>
            </c:ext>
          </c:extLst>
        </c:ser>
        <c:ser>
          <c:idx val="1"/>
          <c:order val="1"/>
          <c:tx>
            <c:strRef>
              <c:f>'Sales Tax&amp;Values'!$A$15</c:f>
              <c:strCache>
                <c:ptCount val="1"/>
                <c:pt idx="0">
                  <c:v>Franklin County</c:v>
                </c:pt>
              </c:strCache>
            </c:strRef>
          </c:tx>
          <c:cat>
            <c:numRef>
              <c:f>'Sales Tax&amp;Values'!$B$13:$K$13</c:f>
              <c:numCache>
                <c:formatCode>General</c:formatCode>
                <c:ptCount val="10"/>
                <c:pt idx="0">
                  <c:v>2005</c:v>
                </c:pt>
                <c:pt idx="1">
                  <c:v>2006</c:v>
                </c:pt>
                <c:pt idx="2">
                  <c:v>2007</c:v>
                </c:pt>
                <c:pt idx="3">
                  <c:v>2008</c:v>
                </c:pt>
                <c:pt idx="4">
                  <c:v>2009</c:v>
                </c:pt>
                <c:pt idx="5">
                  <c:v>2010</c:v>
                </c:pt>
                <c:pt idx="6">
                  <c:v>2011</c:v>
                </c:pt>
                <c:pt idx="7">
                  <c:v>2012</c:v>
                </c:pt>
                <c:pt idx="8">
                  <c:v>2013</c:v>
                </c:pt>
                <c:pt idx="9">
                  <c:v>2014</c:v>
                </c:pt>
              </c:numCache>
            </c:numRef>
          </c:cat>
          <c:val>
            <c:numRef>
              <c:f>'Sales Tax&amp;Values'!$B$15:$K$15</c:f>
              <c:numCache>
                <c:formatCode>General</c:formatCode>
                <c:ptCount val="10"/>
                <c:pt idx="0">
                  <c:v>862138345</c:v>
                </c:pt>
                <c:pt idx="1">
                  <c:v>929717630</c:v>
                </c:pt>
                <c:pt idx="2">
                  <c:v>1057004462</c:v>
                </c:pt>
                <c:pt idx="3">
                  <c:v>1052102171</c:v>
                </c:pt>
                <c:pt idx="4">
                  <c:v>917095762</c:v>
                </c:pt>
                <c:pt idx="5">
                  <c:v>964584879</c:v>
                </c:pt>
                <c:pt idx="6">
                  <c:v>1007226337</c:v>
                </c:pt>
                <c:pt idx="7">
                  <c:v>1037096483</c:v>
                </c:pt>
                <c:pt idx="8">
                  <c:v>1110257463</c:v>
                </c:pt>
                <c:pt idx="9">
                  <c:v>1196017085</c:v>
                </c:pt>
              </c:numCache>
            </c:numRef>
          </c:val>
          <c:smooth val="0"/>
          <c:extLst xmlns:c16r2="http://schemas.microsoft.com/office/drawing/2015/06/chart">
            <c:ext xmlns:c16="http://schemas.microsoft.com/office/drawing/2014/chart" uri="{C3380CC4-5D6E-409C-BE32-E72D297353CC}">
              <c16:uniqueId val="{00000001-3E03-4364-88BF-4567FBA5457A}"/>
            </c:ext>
          </c:extLst>
        </c:ser>
        <c:dLbls>
          <c:showLegendKey val="0"/>
          <c:showVal val="0"/>
          <c:showCatName val="0"/>
          <c:showSerName val="0"/>
          <c:showPercent val="0"/>
          <c:showBubbleSize val="0"/>
        </c:dLbls>
        <c:marker val="1"/>
        <c:smooth val="0"/>
        <c:axId val="225284480"/>
        <c:axId val="225286016"/>
      </c:lineChart>
      <c:catAx>
        <c:axId val="225284480"/>
        <c:scaling>
          <c:orientation val="minMax"/>
        </c:scaling>
        <c:delete val="0"/>
        <c:axPos val="b"/>
        <c:numFmt formatCode="General" sourceLinked="1"/>
        <c:majorTickMark val="out"/>
        <c:minorTickMark val="none"/>
        <c:tickLblPos val="nextTo"/>
        <c:txPr>
          <a:bodyPr rot="-1800000"/>
          <a:lstStyle/>
          <a:p>
            <a:pPr>
              <a:defRPr sz="1000" b="0">
                <a:latin typeface="Calibri" panose="020F0502020204030204" pitchFamily="34" charset="0"/>
              </a:defRPr>
            </a:pPr>
            <a:endParaRPr lang="en-US"/>
          </a:p>
        </c:txPr>
        <c:crossAx val="225286016"/>
        <c:crosses val="autoZero"/>
        <c:auto val="1"/>
        <c:lblAlgn val="ctr"/>
        <c:lblOffset val="100"/>
        <c:noMultiLvlLbl val="0"/>
      </c:catAx>
      <c:valAx>
        <c:axId val="225286016"/>
        <c:scaling>
          <c:orientation val="minMax"/>
          <c:max val="1400000000"/>
          <c:min val="400000000"/>
        </c:scaling>
        <c:delete val="0"/>
        <c:axPos val="l"/>
        <c:majorGridlines/>
        <c:title>
          <c:tx>
            <c:rich>
              <a:bodyPr rot="-5400000" vert="horz"/>
              <a:lstStyle/>
              <a:p>
                <a:pPr>
                  <a:defRPr sz="1000"/>
                </a:pPr>
                <a:r>
                  <a:rPr lang="en-US" sz="1000"/>
                  <a:t>Taxable Retail Sales (Thousands)</a:t>
                </a:r>
              </a:p>
            </c:rich>
          </c:tx>
          <c:layout>
            <c:manualLayout>
              <c:xMode val="edge"/>
              <c:yMode val="edge"/>
              <c:x val="2.7075699695953848E-2"/>
              <c:y val="8.8863036264611062E-2"/>
            </c:manualLayout>
          </c:layout>
          <c:overlay val="0"/>
        </c:title>
        <c:numFmt formatCode="&quot;$&quot;#,##0" sourceLinked="0"/>
        <c:majorTickMark val="out"/>
        <c:minorTickMark val="none"/>
        <c:tickLblPos val="nextTo"/>
        <c:txPr>
          <a:bodyPr/>
          <a:lstStyle/>
          <a:p>
            <a:pPr>
              <a:defRPr sz="1000" b="0">
                <a:latin typeface="Calibri" panose="020F0502020204030204" pitchFamily="34" charset="0"/>
              </a:defRPr>
            </a:pPr>
            <a:endParaRPr lang="en-US"/>
          </a:p>
        </c:txPr>
        <c:crossAx val="225284480"/>
        <c:crosses val="autoZero"/>
        <c:crossBetween val="between"/>
        <c:majorUnit val="100000000"/>
        <c:dispUnits>
          <c:builtInUnit val="thousands"/>
        </c:dispUnits>
      </c:valAx>
      <c:spPr>
        <a:ln>
          <a:solidFill>
            <a:schemeClr val="tx1"/>
          </a:solidFill>
        </a:ln>
      </c:spPr>
    </c:plotArea>
    <c:legend>
      <c:legendPos val="r"/>
      <c:layout>
        <c:manualLayout>
          <c:xMode val="edge"/>
          <c:yMode val="edge"/>
          <c:x val="0.26083383141463751"/>
          <c:y val="0.89921417480472599"/>
          <c:w val="0.53510825059910994"/>
          <c:h val="8.1605719273729463E-2"/>
        </c:manualLayout>
      </c:layout>
      <c:overlay val="0"/>
      <c:txPr>
        <a:bodyPr/>
        <a:lstStyle/>
        <a:p>
          <a:pPr>
            <a:defRPr sz="1000" b="1">
              <a:latin typeface="Calibri" panose="020F0502020204030204" pitchFamily="34" charset="0"/>
            </a:defRPr>
          </a:pPr>
          <a:endParaRPr lang="en-US"/>
        </a:p>
      </c:txPr>
    </c:legend>
    <c:plotVisOnly val="1"/>
    <c:dispBlanksAs val="gap"/>
    <c:showDLblsOverMax val="0"/>
  </c:chart>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7005409106470387"/>
          <c:y val="8.2407511561054872E-2"/>
          <c:w val="0.77712290311537147"/>
          <c:h val="0.68767591551056118"/>
        </c:manualLayout>
      </c:layout>
      <c:barChart>
        <c:barDir val="col"/>
        <c:grouping val="stacked"/>
        <c:varyColors val="0"/>
        <c:ser>
          <c:idx val="0"/>
          <c:order val="0"/>
          <c:tx>
            <c:strRef>
              <c:f>'Sales Tax&amp;Values'!$A$4</c:f>
              <c:strCache>
                <c:ptCount val="1"/>
                <c:pt idx="0">
                  <c:v>Basic</c:v>
                </c:pt>
              </c:strCache>
            </c:strRef>
          </c:tx>
          <c:invertIfNegative val="0"/>
          <c:cat>
            <c:numRef>
              <c:f>'Sales Tax&amp;Values'!$B$3:$L$3</c:f>
              <c:numCache>
                <c:formatCode>General</c:formatCode>
                <c:ptCount val="11"/>
                <c:pt idx="0">
                  <c:v>2005</c:v>
                </c:pt>
                <c:pt idx="1">
                  <c:v>2006</c:v>
                </c:pt>
                <c:pt idx="2">
                  <c:v>2007</c:v>
                </c:pt>
                <c:pt idx="3">
                  <c:v>2008</c:v>
                </c:pt>
                <c:pt idx="4">
                  <c:v>2009</c:v>
                </c:pt>
                <c:pt idx="5">
                  <c:v>2010</c:v>
                </c:pt>
                <c:pt idx="6">
                  <c:v>2011</c:v>
                </c:pt>
                <c:pt idx="7">
                  <c:v>2012</c:v>
                </c:pt>
                <c:pt idx="8">
                  <c:v>2013</c:v>
                </c:pt>
                <c:pt idx="9">
                  <c:v>2014</c:v>
                </c:pt>
                <c:pt idx="10">
                  <c:v>2015</c:v>
                </c:pt>
              </c:numCache>
            </c:numRef>
          </c:cat>
          <c:val>
            <c:numRef>
              <c:f>'Sales Tax&amp;Values'!$B$4:$L$4</c:f>
              <c:numCache>
                <c:formatCode>0</c:formatCode>
                <c:ptCount val="11"/>
                <c:pt idx="0">
                  <c:v>3611371.27</c:v>
                </c:pt>
                <c:pt idx="1">
                  <c:v>3714651.12</c:v>
                </c:pt>
                <c:pt idx="2">
                  <c:v>3970517.35</c:v>
                </c:pt>
                <c:pt idx="3">
                  <c:v>4103139.67</c:v>
                </c:pt>
                <c:pt idx="4">
                  <c:v>3630362.91</c:v>
                </c:pt>
                <c:pt idx="5">
                  <c:v>3821607.76</c:v>
                </c:pt>
                <c:pt idx="6">
                  <c:v>4102475.91</c:v>
                </c:pt>
                <c:pt idx="7">
                  <c:v>4009868.39</c:v>
                </c:pt>
                <c:pt idx="8">
                  <c:v>4303940.5599999996</c:v>
                </c:pt>
                <c:pt idx="9">
                  <c:v>4697833.74</c:v>
                </c:pt>
                <c:pt idx="10">
                  <c:v>5144683.2</c:v>
                </c:pt>
              </c:numCache>
            </c:numRef>
          </c:val>
          <c:extLst xmlns:c16r2="http://schemas.microsoft.com/office/drawing/2015/06/chart">
            <c:ext xmlns:c16="http://schemas.microsoft.com/office/drawing/2014/chart" uri="{C3380CC4-5D6E-409C-BE32-E72D297353CC}">
              <c16:uniqueId val="{00000000-2C19-453C-84AA-804C6C6E9BDD}"/>
            </c:ext>
          </c:extLst>
        </c:ser>
        <c:ser>
          <c:idx val="1"/>
          <c:order val="1"/>
          <c:tx>
            <c:strRef>
              <c:f>'Sales Tax&amp;Values'!$A$5</c:f>
              <c:strCache>
                <c:ptCount val="1"/>
                <c:pt idx="0">
                  <c:v>Optional</c:v>
                </c:pt>
              </c:strCache>
            </c:strRef>
          </c:tx>
          <c:invertIfNegative val="0"/>
          <c:cat>
            <c:numRef>
              <c:f>'Sales Tax&amp;Values'!$B$3:$L$3</c:f>
              <c:numCache>
                <c:formatCode>General</c:formatCode>
                <c:ptCount val="11"/>
                <c:pt idx="0">
                  <c:v>2005</c:v>
                </c:pt>
                <c:pt idx="1">
                  <c:v>2006</c:v>
                </c:pt>
                <c:pt idx="2">
                  <c:v>2007</c:v>
                </c:pt>
                <c:pt idx="3">
                  <c:v>2008</c:v>
                </c:pt>
                <c:pt idx="4">
                  <c:v>2009</c:v>
                </c:pt>
                <c:pt idx="5">
                  <c:v>2010</c:v>
                </c:pt>
                <c:pt idx="6">
                  <c:v>2011</c:v>
                </c:pt>
                <c:pt idx="7">
                  <c:v>2012</c:v>
                </c:pt>
                <c:pt idx="8">
                  <c:v>2013</c:v>
                </c:pt>
                <c:pt idx="9">
                  <c:v>2014</c:v>
                </c:pt>
                <c:pt idx="10">
                  <c:v>2015</c:v>
                </c:pt>
              </c:numCache>
            </c:numRef>
          </c:cat>
          <c:val>
            <c:numRef>
              <c:f>'Sales Tax&amp;Values'!$B$5:$L$5</c:f>
              <c:numCache>
                <c:formatCode>0</c:formatCode>
                <c:ptCount val="11"/>
                <c:pt idx="0">
                  <c:v>3594824.76</c:v>
                </c:pt>
                <c:pt idx="1">
                  <c:v>3698957.58</c:v>
                </c:pt>
                <c:pt idx="2">
                  <c:v>3929142.24</c:v>
                </c:pt>
                <c:pt idx="3">
                  <c:v>4085249.32</c:v>
                </c:pt>
                <c:pt idx="4">
                  <c:v>3622606.3</c:v>
                </c:pt>
                <c:pt idx="5">
                  <c:v>3770442.48</c:v>
                </c:pt>
                <c:pt idx="6">
                  <c:v>3978579.9</c:v>
                </c:pt>
                <c:pt idx="7">
                  <c:v>3995164.56</c:v>
                </c:pt>
                <c:pt idx="8">
                  <c:v>4285394.9400000004</c:v>
                </c:pt>
                <c:pt idx="9">
                  <c:v>4652686.66</c:v>
                </c:pt>
                <c:pt idx="10">
                  <c:v>5123260.71</c:v>
                </c:pt>
              </c:numCache>
            </c:numRef>
          </c:val>
          <c:extLst xmlns:c16r2="http://schemas.microsoft.com/office/drawing/2015/06/chart">
            <c:ext xmlns:c16="http://schemas.microsoft.com/office/drawing/2014/chart" uri="{C3380CC4-5D6E-409C-BE32-E72D297353CC}">
              <c16:uniqueId val="{00000001-2C19-453C-84AA-804C6C6E9BDD}"/>
            </c:ext>
          </c:extLst>
        </c:ser>
        <c:ser>
          <c:idx val="2"/>
          <c:order val="2"/>
          <c:tx>
            <c:strRef>
              <c:f>'Sales Tax&amp;Values'!$A$6</c:f>
              <c:strCache>
                <c:ptCount val="1"/>
                <c:pt idx="0">
                  <c:v>Criminal Justice</c:v>
                </c:pt>
              </c:strCache>
            </c:strRef>
          </c:tx>
          <c:invertIfNegative val="0"/>
          <c:cat>
            <c:numRef>
              <c:f>'Sales Tax&amp;Values'!$B$3:$L$3</c:f>
              <c:numCache>
                <c:formatCode>General</c:formatCode>
                <c:ptCount val="11"/>
                <c:pt idx="0">
                  <c:v>2005</c:v>
                </c:pt>
                <c:pt idx="1">
                  <c:v>2006</c:v>
                </c:pt>
                <c:pt idx="2">
                  <c:v>2007</c:v>
                </c:pt>
                <c:pt idx="3">
                  <c:v>2008</c:v>
                </c:pt>
                <c:pt idx="4">
                  <c:v>2009</c:v>
                </c:pt>
                <c:pt idx="5">
                  <c:v>2010</c:v>
                </c:pt>
                <c:pt idx="6">
                  <c:v>2011</c:v>
                </c:pt>
                <c:pt idx="7">
                  <c:v>2012</c:v>
                </c:pt>
                <c:pt idx="8">
                  <c:v>2013</c:v>
                </c:pt>
                <c:pt idx="9">
                  <c:v>2014</c:v>
                </c:pt>
                <c:pt idx="10">
                  <c:v>2015</c:v>
                </c:pt>
              </c:numCache>
            </c:numRef>
          </c:cat>
          <c:val>
            <c:numRef>
              <c:f>'Sales Tax&amp;Values'!$B$6:$L$6</c:f>
              <c:numCache>
                <c:formatCode>0</c:formatCode>
                <c:ptCount val="11"/>
                <c:pt idx="0">
                  <c:v>612717.48</c:v>
                </c:pt>
                <c:pt idx="1">
                  <c:v>649556.81000000006</c:v>
                </c:pt>
                <c:pt idx="2">
                  <c:v>752987.04</c:v>
                </c:pt>
                <c:pt idx="3">
                  <c:v>792263.18</c:v>
                </c:pt>
                <c:pt idx="4">
                  <c:v>666491.46</c:v>
                </c:pt>
                <c:pt idx="5">
                  <c:v>706497.07</c:v>
                </c:pt>
                <c:pt idx="6">
                  <c:v>783564.02</c:v>
                </c:pt>
                <c:pt idx="7">
                  <c:v>781175.57</c:v>
                </c:pt>
                <c:pt idx="8">
                  <c:v>831949.13</c:v>
                </c:pt>
                <c:pt idx="9">
                  <c:v>912237.5</c:v>
                </c:pt>
                <c:pt idx="10">
                  <c:v>1003757.64</c:v>
                </c:pt>
              </c:numCache>
            </c:numRef>
          </c:val>
          <c:extLst xmlns:c16r2="http://schemas.microsoft.com/office/drawing/2015/06/chart">
            <c:ext xmlns:c16="http://schemas.microsoft.com/office/drawing/2014/chart" uri="{C3380CC4-5D6E-409C-BE32-E72D297353CC}">
              <c16:uniqueId val="{00000002-2C19-453C-84AA-804C6C6E9BDD}"/>
            </c:ext>
          </c:extLst>
        </c:ser>
        <c:ser>
          <c:idx val="3"/>
          <c:order val="3"/>
          <c:tx>
            <c:strRef>
              <c:f>'Sales Tax&amp;Values'!$A$7</c:f>
              <c:strCache>
                <c:ptCount val="1"/>
                <c:pt idx="0">
                  <c:v>Public Safety/Health</c:v>
                </c:pt>
              </c:strCache>
            </c:strRef>
          </c:tx>
          <c:invertIfNegative val="0"/>
          <c:cat>
            <c:numRef>
              <c:f>'Sales Tax&amp;Values'!$B$3:$L$3</c:f>
              <c:numCache>
                <c:formatCode>General</c:formatCode>
                <c:ptCount val="11"/>
                <c:pt idx="0">
                  <c:v>2005</c:v>
                </c:pt>
                <c:pt idx="1">
                  <c:v>2006</c:v>
                </c:pt>
                <c:pt idx="2">
                  <c:v>2007</c:v>
                </c:pt>
                <c:pt idx="3">
                  <c:v>2008</c:v>
                </c:pt>
                <c:pt idx="4">
                  <c:v>2009</c:v>
                </c:pt>
                <c:pt idx="5">
                  <c:v>2010</c:v>
                </c:pt>
                <c:pt idx="6">
                  <c:v>2011</c:v>
                </c:pt>
                <c:pt idx="7">
                  <c:v>2012</c:v>
                </c:pt>
                <c:pt idx="8">
                  <c:v>2013</c:v>
                </c:pt>
                <c:pt idx="9">
                  <c:v>2014</c:v>
                </c:pt>
                <c:pt idx="10">
                  <c:v>2015</c:v>
                </c:pt>
              </c:numCache>
            </c:numRef>
          </c:cat>
          <c:val>
            <c:numRef>
              <c:f>'Sales Tax&amp;Values'!$B$7:$L$7</c:f>
              <c:numCache>
                <c:formatCode>General</c:formatCode>
                <c:ptCount val="11"/>
                <c:pt idx="7" formatCode="0">
                  <c:v>668240</c:v>
                </c:pt>
                <c:pt idx="8" formatCode="0">
                  <c:v>1141739</c:v>
                </c:pt>
                <c:pt idx="9" formatCode="0">
                  <c:v>1244914</c:v>
                </c:pt>
                <c:pt idx="10" formatCode="0">
                  <c:v>1334147</c:v>
                </c:pt>
              </c:numCache>
            </c:numRef>
          </c:val>
          <c:extLst xmlns:c16r2="http://schemas.microsoft.com/office/drawing/2015/06/chart">
            <c:ext xmlns:c16="http://schemas.microsoft.com/office/drawing/2014/chart" uri="{C3380CC4-5D6E-409C-BE32-E72D297353CC}">
              <c16:uniqueId val="{00000003-2C19-453C-84AA-804C6C6E9BDD}"/>
            </c:ext>
          </c:extLst>
        </c:ser>
        <c:dLbls>
          <c:showLegendKey val="0"/>
          <c:showVal val="0"/>
          <c:showCatName val="0"/>
          <c:showSerName val="0"/>
          <c:showPercent val="0"/>
          <c:showBubbleSize val="0"/>
        </c:dLbls>
        <c:gapWidth val="150"/>
        <c:overlap val="100"/>
        <c:axId val="225325440"/>
        <c:axId val="225326976"/>
      </c:barChart>
      <c:lineChart>
        <c:grouping val="standard"/>
        <c:varyColors val="0"/>
        <c:ser>
          <c:idx val="4"/>
          <c:order val="4"/>
          <c:tx>
            <c:strRef>
              <c:f>'Sales Tax&amp;Values'!$A$8</c:f>
              <c:strCache>
                <c:ptCount val="1"/>
                <c:pt idx="0">
                  <c:v>Total</c:v>
                </c:pt>
              </c:strCache>
            </c:strRef>
          </c:tx>
          <c:spPr>
            <a:ln w="15875">
              <a:solidFill>
                <a:schemeClr val="tx1"/>
              </a:solidFill>
              <a:prstDash val="sysDot"/>
            </a:ln>
          </c:spPr>
          <c:marker>
            <c:symbol val="none"/>
          </c:marker>
          <c:dLbls>
            <c:numFmt formatCode="&quot;$&quot;#,##0" sourceLinked="0"/>
            <c:spPr>
              <a:noFill/>
              <a:ln>
                <a:noFill/>
              </a:ln>
              <a:effectLst/>
            </c:spPr>
            <c:txPr>
              <a:bodyPr/>
              <a:lstStyle/>
              <a:p>
                <a:pPr>
                  <a:defRPr sz="800" b="1">
                    <a:latin typeface="Calibri" panose="020F0502020204030204" pitchFamily="34" charset="0"/>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'Sales Tax&amp;Values'!$B$3:$L$3</c:f>
              <c:numCache>
                <c:formatCode>General</c:formatCode>
                <c:ptCount val="11"/>
                <c:pt idx="0">
                  <c:v>2005</c:v>
                </c:pt>
                <c:pt idx="1">
                  <c:v>2006</c:v>
                </c:pt>
                <c:pt idx="2">
                  <c:v>2007</c:v>
                </c:pt>
                <c:pt idx="3">
                  <c:v>2008</c:v>
                </c:pt>
                <c:pt idx="4">
                  <c:v>2009</c:v>
                </c:pt>
                <c:pt idx="5">
                  <c:v>2010</c:v>
                </c:pt>
                <c:pt idx="6">
                  <c:v>2011</c:v>
                </c:pt>
                <c:pt idx="7">
                  <c:v>2012</c:v>
                </c:pt>
                <c:pt idx="8">
                  <c:v>2013</c:v>
                </c:pt>
                <c:pt idx="9">
                  <c:v>2014</c:v>
                </c:pt>
                <c:pt idx="10">
                  <c:v>2015</c:v>
                </c:pt>
              </c:numCache>
            </c:numRef>
          </c:cat>
          <c:val>
            <c:numRef>
              <c:f>'Sales Tax&amp;Values'!$B$8:$L$8</c:f>
              <c:numCache>
                <c:formatCode>0</c:formatCode>
                <c:ptCount val="11"/>
                <c:pt idx="0">
                  <c:v>7818913.5099999998</c:v>
                </c:pt>
                <c:pt idx="1">
                  <c:v>8063165.5099999998</c:v>
                </c:pt>
                <c:pt idx="2">
                  <c:v>8652646.629999999</c:v>
                </c:pt>
                <c:pt idx="3">
                  <c:v>8980652.1699999999</c:v>
                </c:pt>
                <c:pt idx="4">
                  <c:v>7919460.6699999999</c:v>
                </c:pt>
                <c:pt idx="5">
                  <c:v>8298547.3100000005</c:v>
                </c:pt>
                <c:pt idx="6">
                  <c:v>8864619.8300000001</c:v>
                </c:pt>
                <c:pt idx="7">
                  <c:v>9454448.5199999996</c:v>
                </c:pt>
                <c:pt idx="8">
                  <c:v>10563023.630000001</c:v>
                </c:pt>
                <c:pt idx="9">
                  <c:v>11507671.9</c:v>
                </c:pt>
                <c:pt idx="10">
                  <c:v>12605848.550000001</c:v>
                </c:pt>
              </c:numCache>
            </c:numRef>
          </c:val>
          <c:smooth val="0"/>
          <c:extLst xmlns:c16r2="http://schemas.microsoft.com/office/drawing/2015/06/chart">
            <c:ext xmlns:c16="http://schemas.microsoft.com/office/drawing/2014/chart" uri="{C3380CC4-5D6E-409C-BE32-E72D297353CC}">
              <c16:uniqueId val="{00000004-2C19-453C-84AA-804C6C6E9BDD}"/>
            </c:ext>
          </c:extLst>
        </c:ser>
        <c:dLbls>
          <c:showLegendKey val="0"/>
          <c:showVal val="0"/>
          <c:showCatName val="0"/>
          <c:showSerName val="0"/>
          <c:showPercent val="0"/>
          <c:showBubbleSize val="0"/>
        </c:dLbls>
        <c:marker val="1"/>
        <c:smooth val="0"/>
        <c:axId val="225325440"/>
        <c:axId val="225326976"/>
      </c:lineChart>
      <c:catAx>
        <c:axId val="225325440"/>
        <c:scaling>
          <c:orientation val="minMax"/>
        </c:scaling>
        <c:delete val="0"/>
        <c:axPos val="b"/>
        <c:numFmt formatCode="General" sourceLinked="1"/>
        <c:majorTickMark val="out"/>
        <c:minorTickMark val="none"/>
        <c:tickLblPos val="nextTo"/>
        <c:txPr>
          <a:bodyPr rot="-1800000"/>
          <a:lstStyle/>
          <a:p>
            <a:pPr>
              <a:defRPr sz="1000" b="0">
                <a:latin typeface="Calibri" panose="020F0502020204030204" pitchFamily="34" charset="0"/>
              </a:defRPr>
            </a:pPr>
            <a:endParaRPr lang="en-US"/>
          </a:p>
        </c:txPr>
        <c:crossAx val="225326976"/>
        <c:crosses val="autoZero"/>
        <c:auto val="1"/>
        <c:lblAlgn val="ctr"/>
        <c:lblOffset val="100"/>
        <c:noMultiLvlLbl val="0"/>
      </c:catAx>
      <c:valAx>
        <c:axId val="225326976"/>
        <c:scaling>
          <c:orientation val="minMax"/>
        </c:scaling>
        <c:delete val="0"/>
        <c:axPos val="l"/>
        <c:majorGridlines/>
        <c:title>
          <c:tx>
            <c:rich>
              <a:bodyPr rot="-5400000" vert="horz"/>
              <a:lstStyle/>
              <a:p>
                <a:pPr>
                  <a:defRPr sz="1000"/>
                </a:pPr>
                <a:r>
                  <a:rPr lang="en-US" sz="1000"/>
                  <a:t>Sales &amp; Use Tax Revenue (Thousands)</a:t>
                </a:r>
              </a:p>
            </c:rich>
          </c:tx>
          <c:layout>
            <c:manualLayout>
              <c:xMode val="edge"/>
              <c:yMode val="edge"/>
              <c:x val="1.7840830765719504E-2"/>
              <c:y val="0.12684238802369632"/>
            </c:manualLayout>
          </c:layout>
          <c:overlay val="0"/>
        </c:title>
        <c:numFmt formatCode="&quot;$&quot;#,##0" sourceLinked="0"/>
        <c:majorTickMark val="out"/>
        <c:minorTickMark val="none"/>
        <c:tickLblPos val="nextTo"/>
        <c:txPr>
          <a:bodyPr/>
          <a:lstStyle/>
          <a:p>
            <a:pPr>
              <a:defRPr sz="1000" b="0">
                <a:latin typeface="Calibri" panose="020F0502020204030204" pitchFamily="34" charset="0"/>
              </a:defRPr>
            </a:pPr>
            <a:endParaRPr lang="en-US"/>
          </a:p>
        </c:txPr>
        <c:crossAx val="225325440"/>
        <c:crosses val="autoZero"/>
        <c:crossBetween val="between"/>
        <c:dispUnits>
          <c:builtInUnit val="thousands"/>
        </c:dispUnits>
      </c:valAx>
      <c:spPr>
        <a:ln>
          <a:solidFill>
            <a:schemeClr val="tx1"/>
          </a:solidFill>
        </a:ln>
      </c:spPr>
    </c:plotArea>
    <c:legend>
      <c:legendPos val="r"/>
      <c:legendEntry>
        <c:idx val="4"/>
        <c:delete val="1"/>
      </c:legendEntry>
      <c:layout>
        <c:manualLayout>
          <c:xMode val="edge"/>
          <c:yMode val="edge"/>
          <c:x val="7.7611776788770986E-2"/>
          <c:y val="0.89688570178727656"/>
          <c:w val="0.8639662216136027"/>
          <c:h val="8.2488689360058737E-2"/>
        </c:manualLayout>
      </c:layout>
      <c:overlay val="0"/>
      <c:txPr>
        <a:bodyPr/>
        <a:lstStyle/>
        <a:p>
          <a:pPr>
            <a:defRPr sz="1000" b="1">
              <a:latin typeface="Calibri" panose="020F0502020204030204" pitchFamily="34" charset="0"/>
            </a:defRPr>
          </a:pPr>
          <a:endParaRPr lang="en-US"/>
        </a:p>
      </c:txPr>
    </c:legend>
    <c:plotVisOnly val="1"/>
    <c:dispBlanksAs val="gap"/>
    <c:showDLblsOverMax val="0"/>
  </c:chart>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22679881160688248"/>
          <c:y val="7.1372005738624442E-2"/>
          <c:w val="0.71048647564887724"/>
          <c:h val="0.69888717215019003"/>
        </c:manualLayout>
      </c:layout>
      <c:barChart>
        <c:barDir val="col"/>
        <c:grouping val="stacked"/>
        <c:varyColors val="0"/>
        <c:ser>
          <c:idx val="0"/>
          <c:order val="0"/>
          <c:tx>
            <c:strRef>
              <c:f>'Sales Tax&amp;Values'!$A$26</c:f>
              <c:strCache>
                <c:ptCount val="1"/>
                <c:pt idx="0">
                  <c:v>Residential </c:v>
                </c:pt>
              </c:strCache>
            </c:strRef>
          </c:tx>
          <c:spPr>
            <a:ln>
              <a:solidFill>
                <a:schemeClr val="tx1"/>
              </a:solidFill>
            </a:ln>
          </c:spPr>
          <c:invertIfNegative val="0"/>
          <c:cat>
            <c:numRef>
              <c:f>'Sales Tax&amp;Values'!$B$20:$K$20</c:f>
              <c:numCache>
                <c:formatCode>General</c:formatCode>
                <c:ptCount val="10"/>
                <c:pt idx="0">
                  <c:v>2005</c:v>
                </c:pt>
                <c:pt idx="1">
                  <c:v>2006</c:v>
                </c:pt>
                <c:pt idx="2">
                  <c:v>2007</c:v>
                </c:pt>
                <c:pt idx="3">
                  <c:v>2008</c:v>
                </c:pt>
                <c:pt idx="4">
                  <c:v>2009</c:v>
                </c:pt>
                <c:pt idx="5">
                  <c:v>2010</c:v>
                </c:pt>
                <c:pt idx="6">
                  <c:v>2011</c:v>
                </c:pt>
                <c:pt idx="7">
                  <c:v>2012</c:v>
                </c:pt>
                <c:pt idx="8">
                  <c:v>2013</c:v>
                </c:pt>
                <c:pt idx="9">
                  <c:v>2014</c:v>
                </c:pt>
              </c:numCache>
            </c:numRef>
          </c:cat>
          <c:val>
            <c:numRef>
              <c:f>'Sales Tax&amp;Values'!$B$26:$K$26</c:f>
              <c:numCache>
                <c:formatCode>General</c:formatCode>
                <c:ptCount val="10"/>
                <c:pt idx="0">
                  <c:v>1838148</c:v>
                </c:pt>
                <c:pt idx="1">
                  <c:v>1685326</c:v>
                </c:pt>
                <c:pt idx="2">
                  <c:v>2309544</c:v>
                </c:pt>
                <c:pt idx="3">
                  <c:v>1942831</c:v>
                </c:pt>
                <c:pt idx="4">
                  <c:v>1525399</c:v>
                </c:pt>
                <c:pt idx="5">
                  <c:v>2151661</c:v>
                </c:pt>
                <c:pt idx="6">
                  <c:v>2216469</c:v>
                </c:pt>
                <c:pt idx="7">
                  <c:v>2323387</c:v>
                </c:pt>
                <c:pt idx="8">
                  <c:v>2433119</c:v>
                </c:pt>
                <c:pt idx="9">
                  <c:v>2455759</c:v>
                </c:pt>
              </c:numCache>
            </c:numRef>
          </c:val>
          <c:extLst xmlns:c16r2="http://schemas.microsoft.com/office/drawing/2015/06/chart">
            <c:ext xmlns:c16="http://schemas.microsoft.com/office/drawing/2014/chart" uri="{C3380CC4-5D6E-409C-BE32-E72D297353CC}">
              <c16:uniqueId val="{00000000-2D7C-45B7-A2CE-DAF2B51157A3}"/>
            </c:ext>
          </c:extLst>
        </c:ser>
        <c:ser>
          <c:idx val="1"/>
          <c:order val="1"/>
          <c:tx>
            <c:strRef>
              <c:f>'Sales Tax&amp;Values'!$A$27</c:f>
              <c:strCache>
                <c:ptCount val="1"/>
                <c:pt idx="0">
                  <c:v>Commercial </c:v>
                </c:pt>
              </c:strCache>
            </c:strRef>
          </c:tx>
          <c:spPr>
            <a:ln>
              <a:solidFill>
                <a:schemeClr val="tx1"/>
              </a:solidFill>
            </a:ln>
          </c:spPr>
          <c:invertIfNegative val="0"/>
          <c:cat>
            <c:numRef>
              <c:f>'Sales Tax&amp;Values'!$B$20:$K$20</c:f>
              <c:numCache>
                <c:formatCode>General</c:formatCode>
                <c:ptCount val="10"/>
                <c:pt idx="0">
                  <c:v>2005</c:v>
                </c:pt>
                <c:pt idx="1">
                  <c:v>2006</c:v>
                </c:pt>
                <c:pt idx="2">
                  <c:v>2007</c:v>
                </c:pt>
                <c:pt idx="3">
                  <c:v>2008</c:v>
                </c:pt>
                <c:pt idx="4">
                  <c:v>2009</c:v>
                </c:pt>
                <c:pt idx="5">
                  <c:v>2010</c:v>
                </c:pt>
                <c:pt idx="6">
                  <c:v>2011</c:v>
                </c:pt>
                <c:pt idx="7">
                  <c:v>2012</c:v>
                </c:pt>
                <c:pt idx="8">
                  <c:v>2013</c:v>
                </c:pt>
                <c:pt idx="9">
                  <c:v>2014</c:v>
                </c:pt>
              </c:numCache>
            </c:numRef>
          </c:cat>
          <c:val>
            <c:numRef>
              <c:f>'Sales Tax&amp;Values'!$B$27:$K$27</c:f>
              <c:numCache>
                <c:formatCode>General</c:formatCode>
                <c:ptCount val="10"/>
                <c:pt idx="0">
                  <c:v>81763</c:v>
                </c:pt>
                <c:pt idx="1">
                  <c:v>85760</c:v>
                </c:pt>
                <c:pt idx="2">
                  <c:v>113973</c:v>
                </c:pt>
                <c:pt idx="3">
                  <c:v>473136</c:v>
                </c:pt>
                <c:pt idx="4">
                  <c:v>869876</c:v>
                </c:pt>
                <c:pt idx="5">
                  <c:v>577476</c:v>
                </c:pt>
                <c:pt idx="6">
                  <c:v>582468</c:v>
                </c:pt>
                <c:pt idx="7">
                  <c:v>716283</c:v>
                </c:pt>
                <c:pt idx="8">
                  <c:v>731717</c:v>
                </c:pt>
                <c:pt idx="9">
                  <c:v>833089</c:v>
                </c:pt>
              </c:numCache>
            </c:numRef>
          </c:val>
          <c:extLst xmlns:c16r2="http://schemas.microsoft.com/office/drawing/2015/06/chart">
            <c:ext xmlns:c16="http://schemas.microsoft.com/office/drawing/2014/chart" uri="{C3380CC4-5D6E-409C-BE32-E72D297353CC}">
              <c16:uniqueId val="{00000001-2D7C-45B7-A2CE-DAF2B51157A3}"/>
            </c:ext>
          </c:extLst>
        </c:ser>
        <c:ser>
          <c:idx val="2"/>
          <c:order val="2"/>
          <c:tx>
            <c:strRef>
              <c:f>'Sales Tax&amp;Values'!$A$28</c:f>
              <c:strCache>
                <c:ptCount val="1"/>
                <c:pt idx="0">
                  <c:v>Other</c:v>
                </c:pt>
              </c:strCache>
            </c:strRef>
          </c:tx>
          <c:spPr>
            <a:ln>
              <a:solidFill>
                <a:schemeClr val="tx1"/>
              </a:solidFill>
            </a:ln>
          </c:spPr>
          <c:invertIfNegative val="0"/>
          <c:cat>
            <c:numRef>
              <c:f>'Sales Tax&amp;Values'!$B$20:$K$20</c:f>
              <c:numCache>
                <c:formatCode>General</c:formatCode>
                <c:ptCount val="10"/>
                <c:pt idx="0">
                  <c:v>2005</c:v>
                </c:pt>
                <c:pt idx="1">
                  <c:v>2006</c:v>
                </c:pt>
                <c:pt idx="2">
                  <c:v>2007</c:v>
                </c:pt>
                <c:pt idx="3">
                  <c:v>2008</c:v>
                </c:pt>
                <c:pt idx="4">
                  <c:v>2009</c:v>
                </c:pt>
                <c:pt idx="5">
                  <c:v>2010</c:v>
                </c:pt>
                <c:pt idx="6">
                  <c:v>2011</c:v>
                </c:pt>
                <c:pt idx="7">
                  <c:v>2012</c:v>
                </c:pt>
                <c:pt idx="8">
                  <c:v>2013</c:v>
                </c:pt>
                <c:pt idx="9">
                  <c:v>2014</c:v>
                </c:pt>
              </c:numCache>
            </c:numRef>
          </c:cat>
          <c:val>
            <c:numRef>
              <c:f>'Sales Tax&amp;Values'!$B$28:$K$28</c:f>
              <c:numCache>
                <c:formatCode>General</c:formatCode>
                <c:ptCount val="10"/>
                <c:pt idx="0">
                  <c:v>52699</c:v>
                </c:pt>
                <c:pt idx="1">
                  <c:v>54277</c:v>
                </c:pt>
                <c:pt idx="2">
                  <c:v>59650</c:v>
                </c:pt>
                <c:pt idx="3">
                  <c:v>445373</c:v>
                </c:pt>
                <c:pt idx="4">
                  <c:v>539517</c:v>
                </c:pt>
                <c:pt idx="5">
                  <c:v>172776</c:v>
                </c:pt>
                <c:pt idx="6">
                  <c:v>209591</c:v>
                </c:pt>
                <c:pt idx="7">
                  <c:v>180219</c:v>
                </c:pt>
                <c:pt idx="8">
                  <c:v>165958</c:v>
                </c:pt>
                <c:pt idx="9">
                  <c:v>192151</c:v>
                </c:pt>
              </c:numCache>
            </c:numRef>
          </c:val>
          <c:extLst xmlns:c16r2="http://schemas.microsoft.com/office/drawing/2015/06/chart">
            <c:ext xmlns:c16="http://schemas.microsoft.com/office/drawing/2014/chart" uri="{C3380CC4-5D6E-409C-BE32-E72D297353CC}">
              <c16:uniqueId val="{00000002-2D7C-45B7-A2CE-DAF2B51157A3}"/>
            </c:ext>
          </c:extLst>
        </c:ser>
        <c:dLbls>
          <c:showLegendKey val="0"/>
          <c:showVal val="0"/>
          <c:showCatName val="0"/>
          <c:showSerName val="0"/>
          <c:showPercent val="0"/>
          <c:showBubbleSize val="0"/>
        </c:dLbls>
        <c:gapWidth val="150"/>
        <c:overlap val="100"/>
        <c:axId val="225353088"/>
        <c:axId val="225371264"/>
      </c:barChart>
      <c:lineChart>
        <c:grouping val="standard"/>
        <c:varyColors val="0"/>
        <c:ser>
          <c:idx val="3"/>
          <c:order val="3"/>
          <c:tx>
            <c:strRef>
              <c:f>'Sales Tax&amp;Values'!$A$29</c:f>
              <c:strCache>
                <c:ptCount val="1"/>
                <c:pt idx="0">
                  <c:v>Total Property Value</c:v>
                </c:pt>
              </c:strCache>
            </c:strRef>
          </c:tx>
          <c:spPr>
            <a:ln w="15875">
              <a:solidFill>
                <a:schemeClr val="tx1"/>
              </a:solidFill>
              <a:prstDash val="sysDot"/>
            </a:ln>
          </c:spPr>
          <c:marker>
            <c:symbol val="none"/>
          </c:marker>
          <c:dLbls>
            <c:dLbl>
              <c:idx val="0"/>
              <c:layout>
                <c:manualLayout>
                  <c:x val="-6.4317220764071162E-2"/>
                  <c:y val="-9.9666210792583421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2D7C-45B7-A2CE-DAF2B51157A3}"/>
                </c:ext>
              </c:extLst>
            </c:dLbl>
            <c:dLbl>
              <c:idx val="1"/>
              <c:layout>
                <c:manualLayout>
                  <c:x val="-6.8946850393700784E-2"/>
                  <c:y val="-6.2107531517416645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2D7C-45B7-A2CE-DAF2B51157A3}"/>
                </c:ext>
              </c:extLst>
            </c:dLbl>
            <c:dLbl>
              <c:idx val="2"/>
              <c:layout>
                <c:manualLayout>
                  <c:x val="-7.1261847477398665E-2"/>
                  <c:y val="-4.9587971759027717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2D7C-45B7-A2CE-DAF2B51157A3}"/>
                </c:ext>
              </c:extLst>
            </c:dLbl>
            <c:dLbl>
              <c:idx val="3"/>
              <c:layout>
                <c:manualLayout>
                  <c:x val="-6.8946850393700784E-2"/>
                  <c:y val="-5.3761158345157364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2D7C-45B7-A2CE-DAF2B51157A3}"/>
                </c:ext>
              </c:extLst>
            </c:dLbl>
            <c:dLbl>
              <c:idx val="4"/>
              <c:layout>
                <c:manualLayout>
                  <c:x val="-7.3576480023330421E-2"/>
                  <c:y val="-0.10801258396484271"/>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2D7C-45B7-A2CE-DAF2B51157A3}"/>
                </c:ext>
              </c:extLst>
            </c:dLbl>
            <c:dLbl>
              <c:idx val="5"/>
              <c:layout>
                <c:manualLayout>
                  <c:x val="-6.4317220764071162E-2"/>
                  <c:y val="-4.5414785172898077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2D7C-45B7-A2CE-DAF2B51157A3}"/>
                </c:ext>
              </c:extLst>
            </c:dLbl>
            <c:dLbl>
              <c:idx val="6"/>
              <c:layout>
                <c:manualLayout>
                  <c:x val="-6.4317220764071162E-2"/>
                  <c:y val="-9.549302420645378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2D7C-45B7-A2CE-DAF2B51157A3}"/>
                </c:ext>
              </c:extLst>
            </c:dLbl>
            <c:dLbl>
              <c:idx val="7"/>
              <c:layout>
                <c:manualLayout>
                  <c:x val="-6.8946850393700784E-2"/>
                  <c:y val="-0.12470565890673027"/>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2D7C-45B7-A2CE-DAF2B51157A3}"/>
                </c:ext>
              </c:extLst>
            </c:dLbl>
            <c:dLbl>
              <c:idx val="8"/>
              <c:layout>
                <c:manualLayout>
                  <c:x val="-6.6632035578885973E-2"/>
                  <c:y val="-3.7068412000638797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2D7C-45B7-A2CE-DAF2B51157A3}"/>
                </c:ext>
              </c:extLst>
            </c:dLbl>
            <c:dLbl>
              <c:idx val="9"/>
              <c:layout>
                <c:manualLayout>
                  <c:x val="-5.1283172936716241E-2"/>
                  <c:y val="-7.4627419873174561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2D7C-45B7-A2CE-DAF2B51157A3}"/>
                </c:ext>
              </c:extLst>
            </c:dLbl>
            <c:numFmt formatCode="&quot;$&quot;#,##0" sourceLinked="0"/>
            <c:spPr>
              <a:solidFill>
                <a:schemeClr val="bg1"/>
              </a:solidFill>
              <a:ln>
                <a:solidFill>
                  <a:schemeClr val="tx1"/>
                </a:solidFill>
              </a:ln>
            </c:spPr>
            <c:txPr>
              <a:bodyPr/>
              <a:lstStyle/>
              <a:p>
                <a:pPr>
                  <a:defRPr sz="800" b="1">
                    <a:latin typeface="Calibri" panose="020F0502020204030204" pitchFamily="34" charset="0"/>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'Sales Tax&amp;Values'!$B$20:$K$20</c:f>
              <c:numCache>
                <c:formatCode>General</c:formatCode>
                <c:ptCount val="10"/>
                <c:pt idx="0">
                  <c:v>2005</c:v>
                </c:pt>
                <c:pt idx="1">
                  <c:v>2006</c:v>
                </c:pt>
                <c:pt idx="2">
                  <c:v>2007</c:v>
                </c:pt>
                <c:pt idx="3">
                  <c:v>2008</c:v>
                </c:pt>
                <c:pt idx="4">
                  <c:v>2009</c:v>
                </c:pt>
                <c:pt idx="5">
                  <c:v>2010</c:v>
                </c:pt>
                <c:pt idx="6">
                  <c:v>2011</c:v>
                </c:pt>
                <c:pt idx="7">
                  <c:v>2012</c:v>
                </c:pt>
                <c:pt idx="8">
                  <c:v>2013</c:v>
                </c:pt>
                <c:pt idx="9">
                  <c:v>2014</c:v>
                </c:pt>
              </c:numCache>
            </c:numRef>
          </c:cat>
          <c:val>
            <c:numRef>
              <c:f>'Sales Tax&amp;Values'!$B$29:$K$29</c:f>
              <c:numCache>
                <c:formatCode>General</c:formatCode>
                <c:ptCount val="10"/>
                <c:pt idx="0">
                  <c:v>1972610</c:v>
                </c:pt>
                <c:pt idx="1">
                  <c:v>1825363</c:v>
                </c:pt>
                <c:pt idx="2">
                  <c:v>2483167</c:v>
                </c:pt>
                <c:pt idx="3">
                  <c:v>2861340</c:v>
                </c:pt>
                <c:pt idx="4">
                  <c:v>2934792</c:v>
                </c:pt>
                <c:pt idx="5">
                  <c:v>2901913</c:v>
                </c:pt>
                <c:pt idx="6">
                  <c:v>3008528</c:v>
                </c:pt>
                <c:pt idx="7">
                  <c:v>3219889</c:v>
                </c:pt>
                <c:pt idx="8">
                  <c:v>3330794</c:v>
                </c:pt>
                <c:pt idx="9">
                  <c:v>3480999</c:v>
                </c:pt>
              </c:numCache>
            </c:numRef>
          </c:val>
          <c:smooth val="0"/>
          <c:extLst xmlns:c16r2="http://schemas.microsoft.com/office/drawing/2015/06/chart">
            <c:ext xmlns:c16="http://schemas.microsoft.com/office/drawing/2014/chart" uri="{C3380CC4-5D6E-409C-BE32-E72D297353CC}">
              <c16:uniqueId val="{0000000D-2D7C-45B7-A2CE-DAF2B51157A3}"/>
            </c:ext>
          </c:extLst>
        </c:ser>
        <c:dLbls>
          <c:showLegendKey val="0"/>
          <c:showVal val="0"/>
          <c:showCatName val="0"/>
          <c:showSerName val="0"/>
          <c:showPercent val="0"/>
          <c:showBubbleSize val="0"/>
        </c:dLbls>
        <c:marker val="1"/>
        <c:smooth val="0"/>
        <c:axId val="225353088"/>
        <c:axId val="225371264"/>
      </c:lineChart>
      <c:catAx>
        <c:axId val="225353088"/>
        <c:scaling>
          <c:orientation val="minMax"/>
        </c:scaling>
        <c:delete val="0"/>
        <c:axPos val="b"/>
        <c:numFmt formatCode="General" sourceLinked="1"/>
        <c:majorTickMark val="out"/>
        <c:minorTickMark val="none"/>
        <c:tickLblPos val="nextTo"/>
        <c:txPr>
          <a:bodyPr rot="-1800000"/>
          <a:lstStyle/>
          <a:p>
            <a:pPr>
              <a:defRPr sz="1000" b="0">
                <a:latin typeface="Calibri" panose="020F0502020204030204" pitchFamily="34" charset="0"/>
              </a:defRPr>
            </a:pPr>
            <a:endParaRPr lang="en-US"/>
          </a:p>
        </c:txPr>
        <c:crossAx val="225371264"/>
        <c:crosses val="autoZero"/>
        <c:auto val="1"/>
        <c:lblAlgn val="ctr"/>
        <c:lblOffset val="100"/>
        <c:noMultiLvlLbl val="0"/>
      </c:catAx>
      <c:valAx>
        <c:axId val="225371264"/>
        <c:scaling>
          <c:orientation val="minMax"/>
        </c:scaling>
        <c:delete val="0"/>
        <c:axPos val="l"/>
        <c:majorGridlines/>
        <c:title>
          <c:tx>
            <c:rich>
              <a:bodyPr rot="-5400000" vert="horz"/>
              <a:lstStyle/>
              <a:p>
                <a:pPr>
                  <a:defRPr sz="1000">
                    <a:latin typeface="Calibri" panose="020F0502020204030204" pitchFamily="34" charset="0"/>
                  </a:defRPr>
                </a:pPr>
                <a:r>
                  <a:rPr lang="en-US" sz="1000">
                    <a:latin typeface="Calibri" panose="020F0502020204030204" pitchFamily="34" charset="0"/>
                  </a:rPr>
                  <a:t>Property Value (Thousands)</a:t>
                </a:r>
              </a:p>
            </c:rich>
          </c:tx>
          <c:layout>
            <c:manualLayout>
              <c:xMode val="edge"/>
              <c:yMode val="edge"/>
              <c:x val="3.0902777777777782E-2"/>
              <c:y val="0.14771174650158811"/>
            </c:manualLayout>
          </c:layout>
          <c:overlay val="0"/>
        </c:title>
        <c:numFmt formatCode="&quot;$&quot;#,##0" sourceLinked="0"/>
        <c:majorTickMark val="out"/>
        <c:minorTickMark val="none"/>
        <c:tickLblPos val="nextTo"/>
        <c:txPr>
          <a:bodyPr/>
          <a:lstStyle/>
          <a:p>
            <a:pPr>
              <a:defRPr sz="1000" b="0">
                <a:latin typeface="Calibri" panose="020F0502020204030204" pitchFamily="34" charset="0"/>
              </a:defRPr>
            </a:pPr>
            <a:endParaRPr lang="en-US"/>
          </a:p>
        </c:txPr>
        <c:crossAx val="225353088"/>
        <c:crosses val="autoZero"/>
        <c:crossBetween val="between"/>
      </c:valAx>
      <c:spPr>
        <a:ln>
          <a:solidFill>
            <a:schemeClr val="tx1"/>
          </a:solidFill>
        </a:ln>
      </c:spPr>
    </c:plotArea>
    <c:legend>
      <c:legendPos val="r"/>
      <c:legendEntry>
        <c:idx val="3"/>
        <c:delete val="1"/>
      </c:legendEntry>
      <c:layout>
        <c:manualLayout>
          <c:xMode val="edge"/>
          <c:yMode val="edge"/>
          <c:x val="8.3565543890347024E-2"/>
          <c:y val="0.90010672842544681"/>
          <c:w val="0.8377307524059493"/>
          <c:h val="9.1546898402293866E-2"/>
        </c:manualLayout>
      </c:layout>
      <c:overlay val="0"/>
      <c:txPr>
        <a:bodyPr/>
        <a:lstStyle/>
        <a:p>
          <a:pPr>
            <a:defRPr sz="1000" b="1">
              <a:latin typeface="Calibri" panose="020F0502020204030204" pitchFamily="34" charset="0"/>
            </a:defRPr>
          </a:pPr>
          <a:endParaRPr lang="en-US"/>
        </a:p>
      </c:txPr>
    </c:legend>
    <c:plotVisOnly val="1"/>
    <c:dispBlanksAs val="gap"/>
    <c:showDLblsOverMax val="0"/>
  </c:chart>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6515901480901274"/>
          <c:y val="9.2843332518872154E-2"/>
          <c:w val="0.73990957936540658"/>
          <c:h val="0.68135308115324211"/>
        </c:manualLayout>
      </c:layout>
      <c:barChart>
        <c:barDir val="col"/>
        <c:grouping val="stacked"/>
        <c:varyColors val="0"/>
        <c:ser>
          <c:idx val="1"/>
          <c:order val="1"/>
          <c:tx>
            <c:strRef>
              <c:f>'Sales Tax&amp;Values'!$A$30</c:f>
              <c:strCache>
                <c:ptCount val="1"/>
                <c:pt idx="0">
                  <c:v>Operating Millage</c:v>
                </c:pt>
              </c:strCache>
            </c:strRef>
          </c:tx>
          <c:spPr>
            <a:ln>
              <a:solidFill>
                <a:schemeClr val="tx1"/>
              </a:solidFill>
            </a:ln>
          </c:spPr>
          <c:invertIfNegative val="0"/>
          <c:cat>
            <c:numRef>
              <c:f>'Sales Tax&amp;Values'!$B$20:$K$20</c:f>
              <c:numCache>
                <c:formatCode>General</c:formatCode>
                <c:ptCount val="10"/>
                <c:pt idx="0">
                  <c:v>2005</c:v>
                </c:pt>
                <c:pt idx="1">
                  <c:v>2006</c:v>
                </c:pt>
                <c:pt idx="2">
                  <c:v>2007</c:v>
                </c:pt>
                <c:pt idx="3">
                  <c:v>2008</c:v>
                </c:pt>
                <c:pt idx="4">
                  <c:v>2009</c:v>
                </c:pt>
                <c:pt idx="5">
                  <c:v>2010</c:v>
                </c:pt>
                <c:pt idx="6">
                  <c:v>2011</c:v>
                </c:pt>
                <c:pt idx="7">
                  <c:v>2012</c:v>
                </c:pt>
                <c:pt idx="8">
                  <c:v>2013</c:v>
                </c:pt>
                <c:pt idx="9">
                  <c:v>2014</c:v>
                </c:pt>
              </c:numCache>
            </c:numRef>
          </c:cat>
          <c:val>
            <c:numRef>
              <c:f>'Sales Tax&amp;Values'!$B$30:$K$30</c:f>
              <c:numCache>
                <c:formatCode>General</c:formatCode>
                <c:ptCount val="10"/>
                <c:pt idx="0">
                  <c:v>2.4159999999999999</c:v>
                </c:pt>
                <c:pt idx="1">
                  <c:v>2.391</c:v>
                </c:pt>
                <c:pt idx="2">
                  <c:v>2.2490000000000001</c:v>
                </c:pt>
                <c:pt idx="3">
                  <c:v>2.2210000000000001</c:v>
                </c:pt>
                <c:pt idx="4">
                  <c:v>2.004</c:v>
                </c:pt>
                <c:pt idx="5">
                  <c:v>1.9990000000000001</c:v>
                </c:pt>
                <c:pt idx="6">
                  <c:v>1.972</c:v>
                </c:pt>
                <c:pt idx="7">
                  <c:v>1.968</c:v>
                </c:pt>
                <c:pt idx="8">
                  <c:v>1.9670000000000001</c:v>
                </c:pt>
                <c:pt idx="9">
                  <c:v>1.956</c:v>
                </c:pt>
              </c:numCache>
            </c:numRef>
          </c:val>
          <c:extLst xmlns:c16r2="http://schemas.microsoft.com/office/drawing/2015/06/chart">
            <c:ext xmlns:c16="http://schemas.microsoft.com/office/drawing/2014/chart" uri="{C3380CC4-5D6E-409C-BE32-E72D297353CC}">
              <c16:uniqueId val="{00000000-0318-441D-A103-008F99C4E82E}"/>
            </c:ext>
          </c:extLst>
        </c:ser>
        <c:ser>
          <c:idx val="2"/>
          <c:order val="2"/>
          <c:tx>
            <c:strRef>
              <c:f>'Sales Tax&amp;Values'!$A$31</c:f>
              <c:strCache>
                <c:ptCount val="1"/>
                <c:pt idx="0">
                  <c:v>Debt Service Millage</c:v>
                </c:pt>
              </c:strCache>
            </c:strRef>
          </c:tx>
          <c:spPr>
            <a:ln>
              <a:solidFill>
                <a:schemeClr val="tx1"/>
              </a:solidFill>
            </a:ln>
          </c:spPr>
          <c:invertIfNegative val="0"/>
          <c:cat>
            <c:numRef>
              <c:f>'Sales Tax&amp;Values'!$B$20:$K$20</c:f>
              <c:numCache>
                <c:formatCode>General</c:formatCode>
                <c:ptCount val="10"/>
                <c:pt idx="0">
                  <c:v>2005</c:v>
                </c:pt>
                <c:pt idx="1">
                  <c:v>2006</c:v>
                </c:pt>
                <c:pt idx="2">
                  <c:v>2007</c:v>
                </c:pt>
                <c:pt idx="3">
                  <c:v>2008</c:v>
                </c:pt>
                <c:pt idx="4">
                  <c:v>2009</c:v>
                </c:pt>
                <c:pt idx="5">
                  <c:v>2010</c:v>
                </c:pt>
                <c:pt idx="6">
                  <c:v>2011</c:v>
                </c:pt>
                <c:pt idx="7">
                  <c:v>2012</c:v>
                </c:pt>
                <c:pt idx="8">
                  <c:v>2013</c:v>
                </c:pt>
                <c:pt idx="9">
                  <c:v>2014</c:v>
                </c:pt>
              </c:numCache>
            </c:numRef>
          </c:cat>
          <c:val>
            <c:numRef>
              <c:f>'Sales Tax&amp;Values'!$B$31:$K$31</c:f>
              <c:numCache>
                <c:formatCode>General</c:formatCode>
                <c:ptCount val="10"/>
                <c:pt idx="0">
                  <c:v>0.38900000000000001</c:v>
                </c:pt>
                <c:pt idx="1">
                  <c:v>0.35</c:v>
                </c:pt>
                <c:pt idx="2">
                  <c:v>0.29299999999999998</c:v>
                </c:pt>
                <c:pt idx="3">
                  <c:v>0.26800000000000002</c:v>
                </c:pt>
                <c:pt idx="4">
                  <c:v>0.23</c:v>
                </c:pt>
                <c:pt idx="5">
                  <c:v>0.22500000000000001</c:v>
                </c:pt>
                <c:pt idx="6">
                  <c:v>0.21199999999999999</c:v>
                </c:pt>
                <c:pt idx="7">
                  <c:v>0.20300000000000001</c:v>
                </c:pt>
                <c:pt idx="8">
                  <c:v>0.19700000000000001</c:v>
                </c:pt>
                <c:pt idx="9">
                  <c:v>4.4999999999999998E-2</c:v>
                </c:pt>
              </c:numCache>
            </c:numRef>
          </c:val>
          <c:extLst xmlns:c16r2="http://schemas.microsoft.com/office/drawing/2015/06/chart">
            <c:ext xmlns:c16="http://schemas.microsoft.com/office/drawing/2014/chart" uri="{C3380CC4-5D6E-409C-BE32-E72D297353CC}">
              <c16:uniqueId val="{00000001-0318-441D-A103-008F99C4E82E}"/>
            </c:ext>
          </c:extLst>
        </c:ser>
        <c:dLbls>
          <c:showLegendKey val="0"/>
          <c:showVal val="0"/>
          <c:showCatName val="0"/>
          <c:showSerName val="0"/>
          <c:showPercent val="0"/>
          <c:showBubbleSize val="0"/>
        </c:dLbls>
        <c:gapWidth val="150"/>
        <c:overlap val="100"/>
        <c:axId val="225405184"/>
        <c:axId val="225403648"/>
      </c:barChart>
      <c:lineChart>
        <c:grouping val="standard"/>
        <c:varyColors val="0"/>
        <c:ser>
          <c:idx val="0"/>
          <c:order val="0"/>
          <c:tx>
            <c:strRef>
              <c:f>'Sales Tax&amp;Values'!$A$29</c:f>
              <c:strCache>
                <c:ptCount val="1"/>
                <c:pt idx="0">
                  <c:v>Total Property Value</c:v>
                </c:pt>
              </c:strCache>
            </c:strRef>
          </c:tx>
          <c:cat>
            <c:numRef>
              <c:f>'Sales Tax&amp;Values'!$B$20:$K$20</c:f>
              <c:numCache>
                <c:formatCode>General</c:formatCode>
                <c:ptCount val="10"/>
                <c:pt idx="0">
                  <c:v>2005</c:v>
                </c:pt>
                <c:pt idx="1">
                  <c:v>2006</c:v>
                </c:pt>
                <c:pt idx="2">
                  <c:v>2007</c:v>
                </c:pt>
                <c:pt idx="3">
                  <c:v>2008</c:v>
                </c:pt>
                <c:pt idx="4">
                  <c:v>2009</c:v>
                </c:pt>
                <c:pt idx="5">
                  <c:v>2010</c:v>
                </c:pt>
                <c:pt idx="6">
                  <c:v>2011</c:v>
                </c:pt>
                <c:pt idx="7">
                  <c:v>2012</c:v>
                </c:pt>
                <c:pt idx="8">
                  <c:v>2013</c:v>
                </c:pt>
                <c:pt idx="9">
                  <c:v>2014</c:v>
                </c:pt>
              </c:numCache>
            </c:numRef>
          </c:cat>
          <c:val>
            <c:numRef>
              <c:f>'Sales Tax&amp;Values'!$B$29:$K$29</c:f>
              <c:numCache>
                <c:formatCode>General</c:formatCode>
                <c:ptCount val="10"/>
                <c:pt idx="0">
                  <c:v>1972610</c:v>
                </c:pt>
                <c:pt idx="1">
                  <c:v>1825363</c:v>
                </c:pt>
                <c:pt idx="2">
                  <c:v>2483167</c:v>
                </c:pt>
                <c:pt idx="3">
                  <c:v>2861340</c:v>
                </c:pt>
                <c:pt idx="4">
                  <c:v>2934792</c:v>
                </c:pt>
                <c:pt idx="5">
                  <c:v>2901913</c:v>
                </c:pt>
                <c:pt idx="6">
                  <c:v>3008528</c:v>
                </c:pt>
                <c:pt idx="7">
                  <c:v>3219889</c:v>
                </c:pt>
                <c:pt idx="8">
                  <c:v>3330794</c:v>
                </c:pt>
                <c:pt idx="9">
                  <c:v>3480999</c:v>
                </c:pt>
              </c:numCache>
            </c:numRef>
          </c:val>
          <c:smooth val="0"/>
          <c:extLst xmlns:c16r2="http://schemas.microsoft.com/office/drawing/2015/06/chart">
            <c:ext xmlns:c16="http://schemas.microsoft.com/office/drawing/2014/chart" uri="{C3380CC4-5D6E-409C-BE32-E72D297353CC}">
              <c16:uniqueId val="{00000002-0318-441D-A103-008F99C4E82E}"/>
            </c:ext>
          </c:extLst>
        </c:ser>
        <c:dLbls>
          <c:showLegendKey val="0"/>
          <c:showVal val="0"/>
          <c:showCatName val="0"/>
          <c:showSerName val="0"/>
          <c:showPercent val="0"/>
          <c:showBubbleSize val="0"/>
        </c:dLbls>
        <c:marker val="1"/>
        <c:smooth val="0"/>
        <c:axId val="225396224"/>
        <c:axId val="225397760"/>
      </c:lineChart>
      <c:catAx>
        <c:axId val="225396224"/>
        <c:scaling>
          <c:orientation val="minMax"/>
        </c:scaling>
        <c:delete val="0"/>
        <c:axPos val="b"/>
        <c:numFmt formatCode="General" sourceLinked="1"/>
        <c:majorTickMark val="out"/>
        <c:minorTickMark val="none"/>
        <c:tickLblPos val="nextTo"/>
        <c:txPr>
          <a:bodyPr rot="-1800000"/>
          <a:lstStyle/>
          <a:p>
            <a:pPr>
              <a:defRPr sz="1000" b="0">
                <a:latin typeface="Calibri" panose="020F0502020204030204" pitchFamily="34" charset="0"/>
              </a:defRPr>
            </a:pPr>
            <a:endParaRPr lang="en-US"/>
          </a:p>
        </c:txPr>
        <c:crossAx val="225397760"/>
        <c:crosses val="autoZero"/>
        <c:auto val="1"/>
        <c:lblAlgn val="ctr"/>
        <c:lblOffset val="100"/>
        <c:noMultiLvlLbl val="0"/>
      </c:catAx>
      <c:valAx>
        <c:axId val="225397760"/>
        <c:scaling>
          <c:orientation val="minMax"/>
        </c:scaling>
        <c:delete val="0"/>
        <c:axPos val="l"/>
        <c:majorGridlines/>
        <c:numFmt formatCode="&quot;$&quot;#,##0" sourceLinked="0"/>
        <c:majorTickMark val="out"/>
        <c:minorTickMark val="none"/>
        <c:tickLblPos val="nextTo"/>
        <c:txPr>
          <a:bodyPr/>
          <a:lstStyle/>
          <a:p>
            <a:pPr>
              <a:defRPr sz="1000" b="0">
                <a:latin typeface="Calibri" panose="020F0502020204030204" pitchFamily="34" charset="0"/>
              </a:defRPr>
            </a:pPr>
            <a:endParaRPr lang="en-US"/>
          </a:p>
        </c:txPr>
        <c:crossAx val="225396224"/>
        <c:crosses val="autoZero"/>
        <c:crossBetween val="between"/>
      </c:valAx>
      <c:valAx>
        <c:axId val="225403648"/>
        <c:scaling>
          <c:orientation val="minMax"/>
          <c:max val="4"/>
        </c:scaling>
        <c:delete val="0"/>
        <c:axPos val="r"/>
        <c:numFmt formatCode="General" sourceLinked="1"/>
        <c:majorTickMark val="out"/>
        <c:minorTickMark val="none"/>
        <c:tickLblPos val="nextTo"/>
        <c:txPr>
          <a:bodyPr/>
          <a:lstStyle/>
          <a:p>
            <a:pPr>
              <a:defRPr sz="1000" b="0">
                <a:latin typeface="Calibri" panose="020F0502020204030204" pitchFamily="34" charset="0"/>
              </a:defRPr>
            </a:pPr>
            <a:endParaRPr lang="en-US"/>
          </a:p>
        </c:txPr>
        <c:crossAx val="225405184"/>
        <c:crosses val="max"/>
        <c:crossBetween val="between"/>
      </c:valAx>
      <c:catAx>
        <c:axId val="225405184"/>
        <c:scaling>
          <c:orientation val="minMax"/>
        </c:scaling>
        <c:delete val="1"/>
        <c:axPos val="b"/>
        <c:numFmt formatCode="General" sourceLinked="1"/>
        <c:majorTickMark val="out"/>
        <c:minorTickMark val="none"/>
        <c:tickLblPos val="nextTo"/>
        <c:crossAx val="225403648"/>
        <c:crosses val="autoZero"/>
        <c:auto val="1"/>
        <c:lblAlgn val="ctr"/>
        <c:lblOffset val="100"/>
        <c:noMultiLvlLbl val="0"/>
      </c:catAx>
      <c:spPr>
        <a:ln>
          <a:solidFill>
            <a:schemeClr val="tx1"/>
          </a:solidFill>
        </a:ln>
      </c:spPr>
    </c:plotArea>
    <c:legend>
      <c:legendPos val="r"/>
      <c:layout>
        <c:manualLayout>
          <c:xMode val="edge"/>
          <c:yMode val="edge"/>
          <c:x val="9.3077370564281555E-3"/>
          <c:y val="0.89222319653394833"/>
          <c:w val="0.9627690517742874"/>
          <c:h val="8.471609717968305E-2"/>
        </c:manualLayout>
      </c:layout>
      <c:overlay val="0"/>
      <c:txPr>
        <a:bodyPr/>
        <a:lstStyle/>
        <a:p>
          <a:pPr>
            <a:defRPr sz="1000" b="1">
              <a:latin typeface="Calibri" panose="020F0502020204030204" pitchFamily="34" charset="0"/>
            </a:defRPr>
          </a:pPr>
          <a:endParaRPr lang="en-US"/>
        </a:p>
      </c:txPr>
    </c:legend>
    <c:plotVisOnly val="1"/>
    <c:dispBlanksAs val="gap"/>
    <c:showDLblsOverMax val="0"/>
  </c:chart>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7024215451329452"/>
          <c:y val="0.10927269652732477"/>
          <c:w val="0.74709300467876294"/>
          <c:h val="0.63096113574355905"/>
        </c:manualLayout>
      </c:layout>
      <c:lineChart>
        <c:grouping val="standard"/>
        <c:varyColors val="0"/>
        <c:ser>
          <c:idx val="0"/>
          <c:order val="0"/>
          <c:tx>
            <c:strRef>
              <c:f>'Sales Tax&amp;Values'!$A$21</c:f>
              <c:strCache>
                <c:ptCount val="1"/>
                <c:pt idx="0">
                  <c:v>Property Tax</c:v>
                </c:pt>
              </c:strCache>
            </c:strRef>
          </c:tx>
          <c:cat>
            <c:numRef>
              <c:f>'Sales Tax&amp;Values'!$B$20:$K$20</c:f>
              <c:numCache>
                <c:formatCode>General</c:formatCode>
                <c:ptCount val="10"/>
                <c:pt idx="0">
                  <c:v>2005</c:v>
                </c:pt>
                <c:pt idx="1">
                  <c:v>2006</c:v>
                </c:pt>
                <c:pt idx="2">
                  <c:v>2007</c:v>
                </c:pt>
                <c:pt idx="3">
                  <c:v>2008</c:v>
                </c:pt>
                <c:pt idx="4">
                  <c:v>2009</c:v>
                </c:pt>
                <c:pt idx="5">
                  <c:v>2010</c:v>
                </c:pt>
                <c:pt idx="6">
                  <c:v>2011</c:v>
                </c:pt>
                <c:pt idx="7">
                  <c:v>2012</c:v>
                </c:pt>
                <c:pt idx="8">
                  <c:v>2013</c:v>
                </c:pt>
                <c:pt idx="9">
                  <c:v>2014</c:v>
                </c:pt>
              </c:numCache>
            </c:numRef>
          </c:cat>
          <c:val>
            <c:numRef>
              <c:f>'Sales Tax&amp;Values'!$B$21:$K$21</c:f>
              <c:numCache>
                <c:formatCode>General</c:formatCode>
                <c:ptCount val="10"/>
                <c:pt idx="0">
                  <c:v>4883</c:v>
                </c:pt>
                <c:pt idx="1">
                  <c:v>5303</c:v>
                </c:pt>
                <c:pt idx="2">
                  <c:v>5774</c:v>
                </c:pt>
                <c:pt idx="3">
                  <c:v>6055</c:v>
                </c:pt>
                <c:pt idx="4">
                  <c:v>6276</c:v>
                </c:pt>
                <c:pt idx="5">
                  <c:v>6080</c:v>
                </c:pt>
                <c:pt idx="6">
                  <c:v>6847</c:v>
                </c:pt>
                <c:pt idx="7">
                  <c:v>6658</c:v>
                </c:pt>
                <c:pt idx="8">
                  <c:v>7149</c:v>
                </c:pt>
                <c:pt idx="9">
                  <c:v>7069</c:v>
                </c:pt>
              </c:numCache>
            </c:numRef>
          </c:val>
          <c:smooth val="0"/>
          <c:extLst xmlns:c16r2="http://schemas.microsoft.com/office/drawing/2015/06/chart">
            <c:ext xmlns:c16="http://schemas.microsoft.com/office/drawing/2014/chart" uri="{C3380CC4-5D6E-409C-BE32-E72D297353CC}">
              <c16:uniqueId val="{00000000-4ADB-426D-93DD-FBE0BCC0A357}"/>
            </c:ext>
          </c:extLst>
        </c:ser>
        <c:ser>
          <c:idx val="1"/>
          <c:order val="1"/>
          <c:tx>
            <c:strRef>
              <c:f>'Sales Tax&amp;Values'!$A$22</c:f>
              <c:strCache>
                <c:ptCount val="1"/>
                <c:pt idx="0">
                  <c:v>Sales and Use Tax</c:v>
                </c:pt>
              </c:strCache>
            </c:strRef>
          </c:tx>
          <c:cat>
            <c:numRef>
              <c:f>'Sales Tax&amp;Values'!$B$20:$K$20</c:f>
              <c:numCache>
                <c:formatCode>General</c:formatCode>
                <c:ptCount val="10"/>
                <c:pt idx="0">
                  <c:v>2005</c:v>
                </c:pt>
                <c:pt idx="1">
                  <c:v>2006</c:v>
                </c:pt>
                <c:pt idx="2">
                  <c:v>2007</c:v>
                </c:pt>
                <c:pt idx="3">
                  <c:v>2008</c:v>
                </c:pt>
                <c:pt idx="4">
                  <c:v>2009</c:v>
                </c:pt>
                <c:pt idx="5">
                  <c:v>2010</c:v>
                </c:pt>
                <c:pt idx="6">
                  <c:v>2011</c:v>
                </c:pt>
                <c:pt idx="7">
                  <c:v>2012</c:v>
                </c:pt>
                <c:pt idx="8">
                  <c:v>2013</c:v>
                </c:pt>
                <c:pt idx="9">
                  <c:v>2014</c:v>
                </c:pt>
              </c:numCache>
            </c:numRef>
          </c:cat>
          <c:val>
            <c:numRef>
              <c:f>'Sales Tax&amp;Values'!$B$22:$K$22</c:f>
              <c:numCache>
                <c:formatCode>General</c:formatCode>
                <c:ptCount val="10"/>
                <c:pt idx="0">
                  <c:v>7858</c:v>
                </c:pt>
                <c:pt idx="1">
                  <c:v>8226</c:v>
                </c:pt>
                <c:pt idx="2">
                  <c:v>8646</c:v>
                </c:pt>
                <c:pt idx="3">
                  <c:v>8843</c:v>
                </c:pt>
                <c:pt idx="4">
                  <c:v>8000</c:v>
                </c:pt>
                <c:pt idx="5">
                  <c:v>8245</c:v>
                </c:pt>
                <c:pt idx="6">
                  <c:v>9403</c:v>
                </c:pt>
                <c:pt idx="7">
                  <c:v>10284</c:v>
                </c:pt>
                <c:pt idx="8">
                  <c:v>11472</c:v>
                </c:pt>
                <c:pt idx="9">
                  <c:v>12695</c:v>
                </c:pt>
              </c:numCache>
            </c:numRef>
          </c:val>
          <c:smooth val="0"/>
          <c:extLst xmlns:c16r2="http://schemas.microsoft.com/office/drawing/2015/06/chart">
            <c:ext xmlns:c16="http://schemas.microsoft.com/office/drawing/2014/chart" uri="{C3380CC4-5D6E-409C-BE32-E72D297353CC}">
              <c16:uniqueId val="{00000001-4ADB-426D-93DD-FBE0BCC0A357}"/>
            </c:ext>
          </c:extLst>
        </c:ser>
        <c:dLbls>
          <c:showLegendKey val="0"/>
          <c:showVal val="0"/>
          <c:showCatName val="0"/>
          <c:showSerName val="0"/>
          <c:showPercent val="0"/>
          <c:showBubbleSize val="0"/>
        </c:dLbls>
        <c:marker val="1"/>
        <c:smooth val="0"/>
        <c:axId val="225414528"/>
        <c:axId val="225424512"/>
      </c:lineChart>
      <c:catAx>
        <c:axId val="225414528"/>
        <c:scaling>
          <c:orientation val="minMax"/>
        </c:scaling>
        <c:delete val="0"/>
        <c:axPos val="b"/>
        <c:numFmt formatCode="General" sourceLinked="1"/>
        <c:majorTickMark val="out"/>
        <c:minorTickMark val="none"/>
        <c:tickLblPos val="nextTo"/>
        <c:txPr>
          <a:bodyPr rot="-1800000"/>
          <a:lstStyle/>
          <a:p>
            <a:pPr>
              <a:defRPr>
                <a:latin typeface="Calibri" panose="020F0502020204030204" pitchFamily="34" charset="0"/>
              </a:defRPr>
            </a:pPr>
            <a:endParaRPr lang="en-US"/>
          </a:p>
        </c:txPr>
        <c:crossAx val="225424512"/>
        <c:crosses val="autoZero"/>
        <c:auto val="1"/>
        <c:lblAlgn val="ctr"/>
        <c:lblOffset val="100"/>
        <c:noMultiLvlLbl val="0"/>
      </c:catAx>
      <c:valAx>
        <c:axId val="225424512"/>
        <c:scaling>
          <c:orientation val="minMax"/>
        </c:scaling>
        <c:delete val="0"/>
        <c:axPos val="l"/>
        <c:majorGridlines/>
        <c:title>
          <c:tx>
            <c:rich>
              <a:bodyPr rot="-5400000" vert="horz"/>
              <a:lstStyle/>
              <a:p>
                <a:pPr>
                  <a:defRPr/>
                </a:pPr>
                <a:r>
                  <a:rPr lang="en-US"/>
                  <a:t>Revenue (Thousands)</a:t>
                </a:r>
              </a:p>
            </c:rich>
          </c:tx>
          <c:layout>
            <c:manualLayout>
              <c:xMode val="edge"/>
              <c:yMode val="edge"/>
              <c:x val="2.4E-2"/>
              <c:y val="0.1883744441217742"/>
            </c:manualLayout>
          </c:layout>
          <c:overlay val="0"/>
        </c:title>
        <c:numFmt formatCode="#,##0" sourceLinked="0"/>
        <c:majorTickMark val="out"/>
        <c:minorTickMark val="none"/>
        <c:tickLblPos val="nextTo"/>
        <c:txPr>
          <a:bodyPr/>
          <a:lstStyle/>
          <a:p>
            <a:pPr>
              <a:defRPr b="1"/>
            </a:pPr>
            <a:endParaRPr lang="en-US"/>
          </a:p>
        </c:txPr>
        <c:crossAx val="225414528"/>
        <c:crosses val="autoZero"/>
        <c:crossBetween val="between"/>
      </c:valAx>
      <c:spPr>
        <a:ln>
          <a:solidFill>
            <a:schemeClr val="tx1"/>
          </a:solidFill>
        </a:ln>
      </c:spPr>
    </c:plotArea>
    <c:legend>
      <c:legendPos val="r"/>
      <c:layout>
        <c:manualLayout>
          <c:xMode val="edge"/>
          <c:yMode val="edge"/>
          <c:x val="0.15376158849709004"/>
          <c:y val="0.87223247551762473"/>
          <c:w val="0.74884710715508385"/>
          <c:h val="0.10116513987974472"/>
        </c:manualLayout>
      </c:layout>
      <c:overlay val="0"/>
      <c:txPr>
        <a:bodyPr/>
        <a:lstStyle/>
        <a:p>
          <a:pPr>
            <a:defRPr b="1"/>
          </a:pPr>
          <a:endParaRPr lang="en-US"/>
        </a:p>
      </c:txPr>
    </c:legend>
    <c:plotVisOnly val="1"/>
    <c:dispBlanksAs val="gap"/>
    <c:showDLblsOverMax val="0"/>
  </c:chart>
  <c:txPr>
    <a:bodyPr/>
    <a:lstStyle/>
    <a:p>
      <a:pPr>
        <a:defRPr>
          <a:latin typeface="Calibri" panose="020F0502020204030204" pitchFamily="34" charset="0"/>
        </a:defRPr>
      </a:pPr>
      <a:endParaRPr lang="en-US"/>
    </a:p>
  </c:tx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8882524059492564"/>
          <c:y val="9.9687247831885095E-2"/>
          <c:w val="0.76182939632545932"/>
          <c:h val="0.74297037382403819"/>
        </c:manualLayout>
      </c:layout>
      <c:lineChart>
        <c:grouping val="standard"/>
        <c:varyColors val="0"/>
        <c:ser>
          <c:idx val="0"/>
          <c:order val="0"/>
          <c:tx>
            <c:strRef>
              <c:f>'Historical Revenue'!$D$13</c:f>
              <c:strCache>
                <c:ptCount val="1"/>
                <c:pt idx="0">
                  <c:v>Total Recurring Fire Revenue</c:v>
                </c:pt>
              </c:strCache>
            </c:strRef>
          </c:tx>
          <c:spPr>
            <a:ln>
              <a:solidFill>
                <a:schemeClr val="accent2"/>
              </a:solidFill>
            </a:ln>
          </c:spPr>
          <c:marker>
            <c:symbol val="diamond"/>
            <c:size val="8"/>
            <c:spPr>
              <a:solidFill>
                <a:schemeClr val="accent2"/>
              </a:solidFill>
              <a:ln>
                <a:solidFill>
                  <a:schemeClr val="accent2"/>
                </a:solidFill>
              </a:ln>
            </c:spPr>
          </c:marker>
          <c:dLbls>
            <c:dLbl>
              <c:idx val="0"/>
              <c:layout>
                <c:manualLayout>
                  <c:x val="-6.1599607741340025E-2"/>
                  <c:y val="-4.8333416921610917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09BA-40F5-89A2-E77C7463BB13}"/>
                </c:ext>
              </c:extLst>
            </c:dLbl>
            <c:dLbl>
              <c:idx val="1"/>
              <c:layout>
                <c:manualLayout>
                  <c:x val="-5.8492844916124616E-2"/>
                  <c:y val="-3.5910136692622434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09BA-40F5-89A2-E77C7463BB13}"/>
                </c:ext>
              </c:extLst>
            </c:dLbl>
            <c:dLbl>
              <c:idx val="2"/>
              <c:layout>
                <c:manualLayout>
                  <c:x val="-6.1599607741340025E-2"/>
                  <c:y val="-4.8333416921610917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09BA-40F5-89A2-E77C7463BB13}"/>
                </c:ext>
              </c:extLst>
            </c:dLbl>
            <c:dLbl>
              <c:idx val="3"/>
              <c:layout>
                <c:manualLayout>
                  <c:x val="-6.3130570217184392E-2"/>
                  <c:y val="-3.8581339752913051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09BA-40F5-89A2-E77C7463BB13}"/>
                </c:ext>
              </c:extLst>
            </c:dLbl>
            <c:dLbl>
              <c:idx val="4"/>
              <c:layout>
                <c:manualLayout>
                  <c:x val="-5.8492844916124616E-2"/>
                  <c:y val="-5.6662403646298577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09BA-40F5-89A2-E77C7463BB13}"/>
                </c:ext>
              </c:extLst>
            </c:dLbl>
            <c:dLbl>
              <c:idx val="5"/>
              <c:layout>
                <c:manualLayout>
                  <c:x val="-6.0811685495834759E-2"/>
                  <c:y val="-5.6662403646298577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09BA-40F5-89A2-E77C7463BB13}"/>
                </c:ext>
              </c:extLst>
            </c:dLbl>
            <c:numFmt formatCode="&quot;$&quot;#,##0" sourceLinked="0"/>
            <c:spPr>
              <a:noFill/>
              <a:ln>
                <a:noFill/>
              </a:ln>
              <a:effectLst/>
            </c:spPr>
            <c:txPr>
              <a:bodyPr/>
              <a:lstStyle/>
              <a:p>
                <a:pPr>
                  <a:defRPr sz="800" b="1">
                    <a:latin typeface="Calibri" panose="020F0502020204030204" pitchFamily="34" charset="0"/>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'Historical Revenue'!$E$1:$J$1</c:f>
              <c:numCache>
                <c:formatCode>General</c:formatCode>
                <c:ptCount val="6"/>
                <c:pt idx="0">
                  <c:v>2011</c:v>
                </c:pt>
                <c:pt idx="1">
                  <c:v>2012</c:v>
                </c:pt>
                <c:pt idx="2">
                  <c:v>2013</c:v>
                </c:pt>
                <c:pt idx="3">
                  <c:v>2014</c:v>
                </c:pt>
                <c:pt idx="4">
                  <c:v>2015</c:v>
                </c:pt>
                <c:pt idx="5">
                  <c:v>2016</c:v>
                </c:pt>
              </c:numCache>
            </c:numRef>
          </c:cat>
          <c:val>
            <c:numRef>
              <c:f>'Historical Revenue'!$E$13:$J$13</c:f>
              <c:numCache>
                <c:formatCode>0</c:formatCode>
                <c:ptCount val="6"/>
                <c:pt idx="0">
                  <c:v>438856.25</c:v>
                </c:pt>
                <c:pt idx="1">
                  <c:v>538557.99</c:v>
                </c:pt>
                <c:pt idx="2">
                  <c:v>449633.98</c:v>
                </c:pt>
                <c:pt idx="3">
                  <c:v>549756.29</c:v>
                </c:pt>
                <c:pt idx="4">
                  <c:v>734616.31</c:v>
                </c:pt>
                <c:pt idx="5">
                  <c:v>729000</c:v>
                </c:pt>
              </c:numCache>
            </c:numRef>
          </c:val>
          <c:smooth val="0"/>
          <c:extLst xmlns:c16r2="http://schemas.microsoft.com/office/drawing/2015/06/chart">
            <c:ext xmlns:c16="http://schemas.microsoft.com/office/drawing/2014/chart" uri="{C3380CC4-5D6E-409C-BE32-E72D297353CC}">
              <c16:uniqueId val="{00000006-09BA-40F5-89A2-E77C7463BB13}"/>
            </c:ext>
          </c:extLst>
        </c:ser>
        <c:ser>
          <c:idx val="1"/>
          <c:order val="1"/>
          <c:tx>
            <c:strRef>
              <c:f>'Historical Revenue'!$D$35</c:f>
              <c:strCache>
                <c:ptCount val="1"/>
                <c:pt idx="0">
                  <c:v>Total Recurring Ambulance Revenue</c:v>
                </c:pt>
              </c:strCache>
            </c:strRef>
          </c:tx>
          <c:spPr>
            <a:ln>
              <a:solidFill>
                <a:schemeClr val="accent1"/>
              </a:solidFill>
            </a:ln>
          </c:spPr>
          <c:marker>
            <c:symbol val="square"/>
            <c:size val="7"/>
            <c:spPr>
              <a:solidFill>
                <a:schemeClr val="accent1"/>
              </a:solidFill>
              <a:ln>
                <a:solidFill>
                  <a:schemeClr val="accent1"/>
                </a:solidFill>
              </a:ln>
            </c:spPr>
          </c:marker>
          <c:dLbls>
            <c:dLbl>
              <c:idx val="0"/>
              <c:layout>
                <c:manualLayout>
                  <c:x val="-7.0892869160585695E-2"/>
                  <c:y val="-4.4556898540548673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09BA-40F5-89A2-E77C7463BB13}"/>
                </c:ext>
              </c:extLst>
            </c:dLbl>
            <c:dLbl>
              <c:idx val="1"/>
              <c:layout>
                <c:manualLayout>
                  <c:x val="-7.3704439119023163E-2"/>
                  <c:y val="-4.4556914589987492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09BA-40F5-89A2-E77C7463BB13}"/>
                </c:ext>
              </c:extLst>
            </c:dLbl>
            <c:dLbl>
              <c:idx val="3"/>
              <c:layout>
                <c:manualLayout>
                  <c:x val="-7.1385598539313019E-2"/>
                  <c:y val="-5.1474336907879545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09BA-40F5-89A2-E77C7463BB13}"/>
                </c:ext>
              </c:extLst>
            </c:dLbl>
            <c:dLbl>
              <c:idx val="4"/>
              <c:layout>
                <c:manualLayout>
                  <c:x val="-8.2610250641746708E-2"/>
                  <c:y val="-8.6540615544076105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09BA-40F5-89A2-E77C7463BB13}"/>
                </c:ext>
              </c:extLst>
            </c:dLbl>
            <c:numFmt formatCode="&quot;$&quot;#,##0" sourceLinked="0"/>
            <c:spPr>
              <a:noFill/>
              <a:ln>
                <a:noFill/>
              </a:ln>
              <a:effectLst/>
            </c:spPr>
            <c:txPr>
              <a:bodyPr/>
              <a:lstStyle/>
              <a:p>
                <a:pPr>
                  <a:defRPr sz="800" b="1">
                    <a:latin typeface="Calibri" panose="020F0502020204030204" pitchFamily="34" charset="0"/>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'Historical Revenue'!$E$1:$J$1</c:f>
              <c:numCache>
                <c:formatCode>General</c:formatCode>
                <c:ptCount val="6"/>
                <c:pt idx="0">
                  <c:v>2011</c:v>
                </c:pt>
                <c:pt idx="1">
                  <c:v>2012</c:v>
                </c:pt>
                <c:pt idx="2">
                  <c:v>2013</c:v>
                </c:pt>
                <c:pt idx="3">
                  <c:v>2014</c:v>
                </c:pt>
                <c:pt idx="4">
                  <c:v>2015</c:v>
                </c:pt>
                <c:pt idx="5">
                  <c:v>2016</c:v>
                </c:pt>
              </c:numCache>
            </c:numRef>
          </c:cat>
          <c:val>
            <c:numRef>
              <c:f>'Historical Revenue'!$E$35:$J$35</c:f>
              <c:numCache>
                <c:formatCode>0</c:formatCode>
                <c:ptCount val="6"/>
                <c:pt idx="0">
                  <c:v>2030267.3699999999</c:v>
                </c:pt>
                <c:pt idx="1">
                  <c:v>2507286.5</c:v>
                </c:pt>
                <c:pt idx="2">
                  <c:v>2839935.9100000006</c:v>
                </c:pt>
                <c:pt idx="3">
                  <c:v>3361368.2300000004</c:v>
                </c:pt>
                <c:pt idx="4">
                  <c:v>3457938.7500000009</c:v>
                </c:pt>
                <c:pt idx="5">
                  <c:v>4993669</c:v>
                </c:pt>
              </c:numCache>
            </c:numRef>
          </c:val>
          <c:smooth val="0"/>
          <c:extLst xmlns:c16r2="http://schemas.microsoft.com/office/drawing/2015/06/chart">
            <c:ext xmlns:c16="http://schemas.microsoft.com/office/drawing/2014/chart" uri="{C3380CC4-5D6E-409C-BE32-E72D297353CC}">
              <c16:uniqueId val="{0000000B-09BA-40F5-89A2-E77C7463BB13}"/>
            </c:ext>
          </c:extLst>
        </c:ser>
        <c:dLbls>
          <c:showLegendKey val="0"/>
          <c:showVal val="0"/>
          <c:showCatName val="0"/>
          <c:showSerName val="0"/>
          <c:showPercent val="0"/>
          <c:showBubbleSize val="0"/>
        </c:dLbls>
        <c:marker val="1"/>
        <c:smooth val="0"/>
        <c:axId val="225447296"/>
        <c:axId val="225465472"/>
      </c:lineChart>
      <c:catAx>
        <c:axId val="225447296"/>
        <c:scaling>
          <c:orientation val="minMax"/>
        </c:scaling>
        <c:delete val="0"/>
        <c:axPos val="b"/>
        <c:numFmt formatCode="General" sourceLinked="1"/>
        <c:majorTickMark val="out"/>
        <c:minorTickMark val="none"/>
        <c:tickLblPos val="nextTo"/>
        <c:txPr>
          <a:bodyPr/>
          <a:lstStyle/>
          <a:p>
            <a:pPr>
              <a:defRPr sz="1000" b="0">
                <a:latin typeface="Calibri" panose="020F0502020204030204" pitchFamily="34" charset="0"/>
              </a:defRPr>
            </a:pPr>
            <a:endParaRPr lang="en-US"/>
          </a:p>
        </c:txPr>
        <c:crossAx val="225465472"/>
        <c:crosses val="autoZero"/>
        <c:auto val="1"/>
        <c:lblAlgn val="ctr"/>
        <c:lblOffset val="100"/>
        <c:noMultiLvlLbl val="0"/>
      </c:catAx>
      <c:valAx>
        <c:axId val="225465472"/>
        <c:scaling>
          <c:orientation val="minMax"/>
        </c:scaling>
        <c:delete val="0"/>
        <c:axPos val="l"/>
        <c:majorGridlines/>
        <c:numFmt formatCode="&quot;$&quot;#,##0" sourceLinked="0"/>
        <c:majorTickMark val="out"/>
        <c:minorTickMark val="none"/>
        <c:tickLblPos val="nextTo"/>
        <c:txPr>
          <a:bodyPr/>
          <a:lstStyle/>
          <a:p>
            <a:pPr>
              <a:defRPr sz="1000" b="0">
                <a:latin typeface="Calibri" panose="020F0502020204030204" pitchFamily="34" charset="0"/>
              </a:defRPr>
            </a:pPr>
            <a:endParaRPr lang="en-US"/>
          </a:p>
        </c:txPr>
        <c:crossAx val="225447296"/>
        <c:crosses val="autoZero"/>
        <c:crossBetween val="between"/>
      </c:valAx>
      <c:spPr>
        <a:ln>
          <a:solidFill>
            <a:schemeClr val="tx1"/>
          </a:solidFill>
        </a:ln>
      </c:spPr>
    </c:plotArea>
    <c:legend>
      <c:legendPos val="r"/>
      <c:layout>
        <c:manualLayout>
          <c:xMode val="edge"/>
          <c:yMode val="edge"/>
          <c:x val="0.20353486249001485"/>
          <c:y val="0.15009662604088142"/>
          <c:w val="0.4950158621476663"/>
          <c:h val="0.13257811785108911"/>
        </c:manualLayout>
      </c:layout>
      <c:overlay val="0"/>
      <c:spPr>
        <a:solidFill>
          <a:schemeClr val="bg1"/>
        </a:solidFill>
        <a:ln>
          <a:solidFill>
            <a:schemeClr val="tx1"/>
          </a:solidFill>
        </a:ln>
      </c:spPr>
      <c:txPr>
        <a:bodyPr/>
        <a:lstStyle/>
        <a:p>
          <a:pPr>
            <a:defRPr sz="1000" b="1">
              <a:latin typeface="Calibri" panose="020F0502020204030204" pitchFamily="34" charset="0"/>
            </a:defRPr>
          </a:pPr>
          <a:endParaRPr lang="en-US"/>
        </a:p>
      </c:txPr>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065463768260656"/>
          <c:y val="2.6634843040155089E-2"/>
          <c:w val="0.85889742079143661"/>
          <c:h val="0.90235783519985879"/>
        </c:manualLayout>
      </c:layout>
      <c:barChart>
        <c:barDir val="col"/>
        <c:grouping val="clustered"/>
        <c:varyColors val="0"/>
        <c:ser>
          <c:idx val="0"/>
          <c:order val="0"/>
          <c:tx>
            <c:strRef>
              <c:f>Charts!$B$28:$B$29</c:f>
              <c:strCache>
                <c:ptCount val="2"/>
                <c:pt idx="0">
                  <c:v>Comparison of Fires Per 1,000 Population</c:v>
                </c:pt>
                <c:pt idx="1">
                  <c:v>Fires</c:v>
                </c:pt>
              </c:strCache>
            </c:strRef>
          </c:tx>
          <c:spPr>
            <a:solidFill>
              <a:srgbClr val="9999FF"/>
            </a:solidFill>
            <a:ln w="12700">
              <a:noFill/>
              <a:prstDash val="solid"/>
            </a:ln>
          </c:spPr>
          <c:invertIfNegative val="0"/>
          <c:dPt>
            <c:idx val="0"/>
            <c:invertIfNegative val="0"/>
            <c:bubble3D val="0"/>
            <c:spPr>
              <a:solidFill>
                <a:schemeClr val="tx2">
                  <a:lumMod val="75000"/>
                </a:schemeClr>
              </a:solidFill>
              <a:ln w="12700">
                <a:noFill/>
                <a:prstDash val="solid"/>
              </a:ln>
            </c:spPr>
            <c:extLst xmlns:c16r2="http://schemas.microsoft.com/office/drawing/2015/06/chart">
              <c:ext xmlns:c16="http://schemas.microsoft.com/office/drawing/2014/chart" uri="{C3380CC4-5D6E-409C-BE32-E72D297353CC}">
                <c16:uniqueId val="{00000001-39B3-4A5E-B162-A92F81BB2248}"/>
              </c:ext>
            </c:extLst>
          </c:dPt>
          <c:dPt>
            <c:idx val="1"/>
            <c:invertIfNegative val="0"/>
            <c:bubble3D val="0"/>
            <c:spPr>
              <a:solidFill>
                <a:srgbClr val="C00000"/>
              </a:solidFill>
              <a:ln w="12700">
                <a:noFill/>
                <a:prstDash val="solid"/>
              </a:ln>
            </c:spPr>
            <c:extLst xmlns:c16r2="http://schemas.microsoft.com/office/drawing/2015/06/chart">
              <c:ext xmlns:c16="http://schemas.microsoft.com/office/drawing/2014/chart" uri="{C3380CC4-5D6E-409C-BE32-E72D297353CC}">
                <c16:uniqueId val="{00000003-39B3-4A5E-B162-A92F81BB2248}"/>
              </c:ext>
            </c:extLst>
          </c:dPt>
          <c:dPt>
            <c:idx val="2"/>
            <c:invertIfNegative val="0"/>
            <c:bubble3D val="0"/>
            <c:spPr>
              <a:solidFill>
                <a:srgbClr val="339966"/>
              </a:solidFill>
              <a:ln w="12700">
                <a:noFill/>
                <a:prstDash val="solid"/>
              </a:ln>
            </c:spPr>
            <c:extLst xmlns:c16r2="http://schemas.microsoft.com/office/drawing/2015/06/chart">
              <c:ext xmlns:c16="http://schemas.microsoft.com/office/drawing/2014/chart" uri="{C3380CC4-5D6E-409C-BE32-E72D297353CC}">
                <c16:uniqueId val="{00000005-39B3-4A5E-B162-A92F81BB2248}"/>
              </c:ext>
            </c:extLst>
          </c:dPt>
          <c:dPt>
            <c:idx val="3"/>
            <c:invertIfNegative val="0"/>
            <c:bubble3D val="0"/>
            <c:spPr>
              <a:solidFill>
                <a:srgbClr val="339966"/>
              </a:solidFill>
              <a:ln w="12700">
                <a:noFill/>
                <a:prstDash val="solid"/>
              </a:ln>
            </c:spPr>
            <c:extLst xmlns:c16r2="http://schemas.microsoft.com/office/drawing/2015/06/chart">
              <c:ext xmlns:c16="http://schemas.microsoft.com/office/drawing/2014/chart" uri="{C3380CC4-5D6E-409C-BE32-E72D297353CC}">
                <c16:uniqueId val="{00000007-39B3-4A5E-B162-A92F81BB2248}"/>
              </c:ext>
            </c:extLst>
          </c:dPt>
          <c:dPt>
            <c:idx val="4"/>
            <c:invertIfNegative val="0"/>
            <c:bubble3D val="0"/>
            <c:spPr>
              <a:solidFill>
                <a:schemeClr val="tx2"/>
              </a:solidFill>
              <a:ln w="12700">
                <a:noFill/>
                <a:prstDash val="solid"/>
              </a:ln>
            </c:spPr>
            <c:extLst xmlns:c16r2="http://schemas.microsoft.com/office/drawing/2015/06/chart">
              <c:ext xmlns:c16="http://schemas.microsoft.com/office/drawing/2014/chart" uri="{C3380CC4-5D6E-409C-BE32-E72D297353CC}">
                <c16:uniqueId val="{00000009-39B3-4A5E-B162-A92F81BB2248}"/>
              </c:ext>
            </c:extLst>
          </c:dPt>
          <c:dPt>
            <c:idx val="5"/>
            <c:invertIfNegative val="0"/>
            <c:bubble3D val="0"/>
            <c:spPr>
              <a:solidFill>
                <a:srgbClr val="C00000"/>
              </a:solidFill>
              <a:ln w="12700">
                <a:noFill/>
                <a:prstDash val="solid"/>
              </a:ln>
            </c:spPr>
            <c:extLst xmlns:c16r2="http://schemas.microsoft.com/office/drawing/2015/06/chart">
              <c:ext xmlns:c16="http://schemas.microsoft.com/office/drawing/2014/chart" uri="{C3380CC4-5D6E-409C-BE32-E72D297353CC}">
                <c16:uniqueId val="{0000000B-39B3-4A5E-B162-A92F81BB2248}"/>
              </c:ext>
            </c:extLst>
          </c:dPt>
          <c:dLbls>
            <c:spPr>
              <a:noFill/>
              <a:ln w="25400">
                <a:noFill/>
              </a:ln>
            </c:spPr>
            <c:txPr>
              <a:bodyPr/>
              <a:lstStyle/>
              <a:p>
                <a:pPr>
                  <a:defRPr b="1">
                    <a:latin typeface="Calibri" panose="020F0502020204030204" pitchFamily="34"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Charts!$A$30:$A$31</c:f>
              <c:strCache>
                <c:ptCount val="2"/>
                <c:pt idx="0">
                  <c:v>Regional Median</c:v>
                </c:pt>
                <c:pt idx="1">
                  <c:v>PFD</c:v>
                </c:pt>
              </c:strCache>
            </c:strRef>
          </c:cat>
          <c:val>
            <c:numRef>
              <c:f>Charts!$B$30:$B$31</c:f>
              <c:numCache>
                <c:formatCode>0.0</c:formatCode>
                <c:ptCount val="2"/>
                <c:pt idx="0">
                  <c:v>2</c:v>
                </c:pt>
                <c:pt idx="1">
                  <c:v>4.0005861664712778</c:v>
                </c:pt>
              </c:numCache>
            </c:numRef>
          </c:val>
          <c:extLst xmlns:c16r2="http://schemas.microsoft.com/office/drawing/2015/06/chart">
            <c:ext xmlns:c16="http://schemas.microsoft.com/office/drawing/2014/chart" uri="{C3380CC4-5D6E-409C-BE32-E72D297353CC}">
              <c16:uniqueId val="{0000000C-39B3-4A5E-B162-A92F81BB2248}"/>
            </c:ext>
          </c:extLst>
        </c:ser>
        <c:dLbls>
          <c:showLegendKey val="0"/>
          <c:showVal val="1"/>
          <c:showCatName val="0"/>
          <c:showSerName val="0"/>
          <c:showPercent val="0"/>
          <c:showBubbleSize val="0"/>
        </c:dLbls>
        <c:gapWidth val="40"/>
        <c:axId val="168157184"/>
        <c:axId val="172504192"/>
      </c:barChart>
      <c:catAx>
        <c:axId val="168157184"/>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a:latin typeface="Calibri" panose="020F0502020204030204" pitchFamily="34" charset="0"/>
              </a:defRPr>
            </a:pPr>
            <a:endParaRPr lang="en-US"/>
          </a:p>
        </c:txPr>
        <c:crossAx val="172504192"/>
        <c:crosses val="autoZero"/>
        <c:auto val="1"/>
        <c:lblAlgn val="ctr"/>
        <c:lblOffset val="100"/>
        <c:tickLblSkip val="1"/>
        <c:tickMarkSkip val="1"/>
        <c:noMultiLvlLbl val="0"/>
      </c:catAx>
      <c:valAx>
        <c:axId val="172504192"/>
        <c:scaling>
          <c:orientation val="minMax"/>
          <c:max val="5"/>
        </c:scaling>
        <c:delete val="0"/>
        <c:axPos val="l"/>
        <c:majorGridlines>
          <c:spPr>
            <a:ln w="3175">
              <a:solidFill>
                <a:srgbClr val="000000"/>
              </a:solidFill>
              <a:prstDash val="solid"/>
            </a:ln>
          </c:spPr>
        </c:majorGridlines>
        <c:numFmt formatCode="0" sourceLinked="0"/>
        <c:majorTickMark val="out"/>
        <c:minorTickMark val="none"/>
        <c:tickLblPos val="nextTo"/>
        <c:spPr>
          <a:ln w="3175">
            <a:solidFill>
              <a:srgbClr val="000000"/>
            </a:solidFill>
            <a:prstDash val="solid"/>
          </a:ln>
        </c:spPr>
        <c:txPr>
          <a:bodyPr rot="0" vert="horz"/>
          <a:lstStyle/>
          <a:p>
            <a:pPr>
              <a:defRPr/>
            </a:pPr>
            <a:endParaRPr lang="en-US"/>
          </a:p>
        </c:txPr>
        <c:crossAx val="168157184"/>
        <c:crosses val="autoZero"/>
        <c:crossBetween val="between"/>
        <c:majorUnit val="1"/>
      </c:valAx>
      <c:spPr>
        <a:noFill/>
        <a:ln w="12700">
          <a:noFill/>
          <a:prstDash val="solid"/>
        </a:ln>
      </c:spPr>
    </c:plotArea>
    <c:plotVisOnly val="1"/>
    <c:dispBlanksAs val="gap"/>
    <c:showDLblsOverMax val="0"/>
  </c:chart>
  <c:spPr>
    <a:noFill/>
    <a:ln w="3175">
      <a:noFill/>
      <a:prstDash val="solid"/>
    </a:ln>
  </c:spPr>
  <c:txPr>
    <a:bodyPr/>
    <a:lstStyle/>
    <a:p>
      <a:pPr>
        <a:defRPr sz="1000" b="0" i="0" u="none" strike="noStrike" baseline="0">
          <a:solidFill>
            <a:srgbClr val="000000"/>
          </a:solidFill>
          <a:latin typeface="+mn-lt"/>
          <a:ea typeface="Arial"/>
          <a:cs typeface="Arial"/>
        </a:defRPr>
      </a:pPr>
      <a:endParaRPr lang="en-US"/>
    </a:p>
  </c:tx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511787287458633"/>
          <c:y val="4.3603408810484953E-2"/>
          <c:w val="0.78927344516718023"/>
          <c:h val="0.83444608066578063"/>
        </c:manualLayout>
      </c:layout>
      <c:barChart>
        <c:barDir val="col"/>
        <c:grouping val="stacked"/>
        <c:varyColors val="0"/>
        <c:ser>
          <c:idx val="1"/>
          <c:order val="0"/>
          <c:tx>
            <c:strRef>
              <c:f>'Historical Revenue'!$D$44</c:f>
              <c:strCache>
                <c:ptCount val="1"/>
                <c:pt idx="0">
                  <c:v>Charge for Services/Misc Sources</c:v>
                </c:pt>
              </c:strCache>
            </c:strRef>
          </c:tx>
          <c:spPr>
            <a:ln>
              <a:solidFill>
                <a:schemeClr val="tx1"/>
              </a:solidFill>
            </a:ln>
          </c:spPr>
          <c:invertIfNegative val="0"/>
          <c:cat>
            <c:numRef>
              <c:f>'Historical Revenue'!$E$1:$J$1</c:f>
              <c:numCache>
                <c:formatCode>General</c:formatCode>
                <c:ptCount val="6"/>
                <c:pt idx="0">
                  <c:v>2011</c:v>
                </c:pt>
                <c:pt idx="1">
                  <c:v>2012</c:v>
                </c:pt>
                <c:pt idx="2">
                  <c:v>2013</c:v>
                </c:pt>
                <c:pt idx="3">
                  <c:v>2014</c:v>
                </c:pt>
                <c:pt idx="4">
                  <c:v>2015</c:v>
                </c:pt>
                <c:pt idx="5">
                  <c:v>2016</c:v>
                </c:pt>
              </c:numCache>
            </c:numRef>
          </c:cat>
          <c:val>
            <c:numRef>
              <c:f>'Historical Revenue'!$E$44:$J$44</c:f>
              <c:numCache>
                <c:formatCode>0</c:formatCode>
                <c:ptCount val="6"/>
                <c:pt idx="0">
                  <c:v>42575.09</c:v>
                </c:pt>
                <c:pt idx="1">
                  <c:v>50948.800000000003</c:v>
                </c:pt>
                <c:pt idx="2">
                  <c:v>31697.78</c:v>
                </c:pt>
                <c:pt idx="3">
                  <c:v>36032.53</c:v>
                </c:pt>
                <c:pt idx="4">
                  <c:v>67893.66</c:v>
                </c:pt>
                <c:pt idx="5">
                  <c:v>29000</c:v>
                </c:pt>
              </c:numCache>
            </c:numRef>
          </c:val>
          <c:extLst xmlns:c16r2="http://schemas.microsoft.com/office/drawing/2015/06/chart">
            <c:ext xmlns:c16="http://schemas.microsoft.com/office/drawing/2014/chart" uri="{C3380CC4-5D6E-409C-BE32-E72D297353CC}">
              <c16:uniqueId val="{00000000-3CAA-48A9-A6CC-C53BD864A737}"/>
            </c:ext>
          </c:extLst>
        </c:ser>
        <c:ser>
          <c:idx val="0"/>
          <c:order val="1"/>
          <c:tx>
            <c:strRef>
              <c:f>'Historical Revenue'!$D$43</c:f>
              <c:strCache>
                <c:ptCount val="1"/>
                <c:pt idx="0">
                  <c:v>Airport Fire Protection Agreement</c:v>
                </c:pt>
              </c:strCache>
            </c:strRef>
          </c:tx>
          <c:spPr>
            <a:ln>
              <a:solidFill>
                <a:schemeClr val="tx1"/>
              </a:solidFill>
            </a:ln>
          </c:spPr>
          <c:invertIfNegative val="0"/>
          <c:cat>
            <c:numRef>
              <c:f>'Historical Revenue'!$E$1:$J$1</c:f>
              <c:numCache>
                <c:formatCode>General</c:formatCode>
                <c:ptCount val="6"/>
                <c:pt idx="0">
                  <c:v>2011</c:v>
                </c:pt>
                <c:pt idx="1">
                  <c:v>2012</c:v>
                </c:pt>
                <c:pt idx="2">
                  <c:v>2013</c:v>
                </c:pt>
                <c:pt idx="3">
                  <c:v>2014</c:v>
                </c:pt>
                <c:pt idx="4">
                  <c:v>2015</c:v>
                </c:pt>
                <c:pt idx="5">
                  <c:v>2016</c:v>
                </c:pt>
              </c:numCache>
            </c:numRef>
          </c:cat>
          <c:val>
            <c:numRef>
              <c:f>'Historical Revenue'!$E$43:$J$43</c:f>
              <c:numCache>
                <c:formatCode>0</c:formatCode>
                <c:ptCount val="6"/>
                <c:pt idx="0">
                  <c:v>396281.16</c:v>
                </c:pt>
                <c:pt idx="1">
                  <c:v>487609.19</c:v>
                </c:pt>
                <c:pt idx="2">
                  <c:v>417936.2</c:v>
                </c:pt>
                <c:pt idx="3">
                  <c:v>513723.76</c:v>
                </c:pt>
                <c:pt idx="4">
                  <c:v>666722.65</c:v>
                </c:pt>
                <c:pt idx="5">
                  <c:v>700000</c:v>
                </c:pt>
              </c:numCache>
            </c:numRef>
          </c:val>
          <c:extLst xmlns:c16r2="http://schemas.microsoft.com/office/drawing/2015/06/chart">
            <c:ext xmlns:c16="http://schemas.microsoft.com/office/drawing/2014/chart" uri="{C3380CC4-5D6E-409C-BE32-E72D297353CC}">
              <c16:uniqueId val="{00000001-3CAA-48A9-A6CC-C53BD864A737}"/>
            </c:ext>
          </c:extLst>
        </c:ser>
        <c:dLbls>
          <c:showLegendKey val="0"/>
          <c:showVal val="0"/>
          <c:showCatName val="0"/>
          <c:showSerName val="0"/>
          <c:showPercent val="0"/>
          <c:showBubbleSize val="0"/>
        </c:dLbls>
        <c:gapWidth val="150"/>
        <c:overlap val="100"/>
        <c:axId val="225512064"/>
        <c:axId val="225542528"/>
      </c:barChart>
      <c:lineChart>
        <c:grouping val="standard"/>
        <c:varyColors val="0"/>
        <c:ser>
          <c:idx val="2"/>
          <c:order val="2"/>
          <c:tx>
            <c:strRef>
              <c:f>'Historical Revenue'!$D$13</c:f>
              <c:strCache>
                <c:ptCount val="1"/>
                <c:pt idx="0">
                  <c:v>Total Recurring Fire Revenue</c:v>
                </c:pt>
              </c:strCache>
            </c:strRef>
          </c:tx>
          <c:spPr>
            <a:ln w="22225">
              <a:solidFill>
                <a:schemeClr val="accent6"/>
              </a:solidFill>
              <a:prstDash val="sysDash"/>
            </a:ln>
          </c:spPr>
          <c:marker>
            <c:symbol val="diamond"/>
            <c:size val="5"/>
            <c:spPr>
              <a:solidFill>
                <a:schemeClr val="accent6"/>
              </a:solidFill>
              <a:ln>
                <a:solidFill>
                  <a:schemeClr val="tx1"/>
                </a:solidFill>
              </a:ln>
            </c:spPr>
          </c:marker>
          <c:dLbls>
            <c:dLbl>
              <c:idx val="0"/>
              <c:layout>
                <c:manualLayout>
                  <c:x val="-5.9652265205979688E-2"/>
                  <c:y val="-4.6666736760986822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3CAA-48A9-A6CC-C53BD864A737}"/>
                </c:ext>
              </c:extLst>
            </c:dLbl>
            <c:dLbl>
              <c:idx val="1"/>
              <c:layout>
                <c:manualLayout>
                  <c:x val="-6.197110578568979E-2"/>
                  <c:y val="-4.2739393234702376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3CAA-48A9-A6CC-C53BD864A737}"/>
                </c:ext>
              </c:extLst>
            </c:dLbl>
            <c:dLbl>
              <c:idx val="2"/>
              <c:layout>
                <c:manualLayout>
                  <c:x val="-5.50145840465594E-2"/>
                  <c:y val="-7.023079791869348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3CAA-48A9-A6CC-C53BD864A737}"/>
                </c:ext>
              </c:extLst>
            </c:dLbl>
            <c:dLbl>
              <c:idx val="3"/>
              <c:numFmt formatCode="&quot;$&quot;#,##0" sourceLinked="0"/>
              <c:spPr>
                <a:solidFill>
                  <a:schemeClr val="bg1"/>
                </a:solidFill>
              </c:spPr>
              <c:txPr>
                <a:bodyPr/>
                <a:lstStyle/>
                <a:p>
                  <a:pPr>
                    <a:defRPr sz="800" b="1">
                      <a:latin typeface="Calibri" panose="020F0502020204030204" pitchFamily="34" charset="0"/>
                    </a:defRPr>
                  </a:pPr>
                  <a:endParaRPr lang="en-US"/>
                </a:p>
              </c:txPr>
              <c:dLblPos val="t"/>
              <c:showLegendKey val="0"/>
              <c:showVal val="1"/>
              <c:showCatName val="0"/>
              <c:showSerName val="0"/>
              <c:showPercent val="0"/>
              <c:showBubbleSize val="0"/>
            </c:dLbl>
            <c:dLbl>
              <c:idx val="4"/>
              <c:layout>
                <c:manualLayout>
                  <c:x val="-5.50145840465594E-2"/>
                  <c:y val="-3.8812049708417937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3CAA-48A9-A6CC-C53BD864A737}"/>
                </c:ext>
              </c:extLst>
            </c:dLbl>
            <c:dLbl>
              <c:idx val="5"/>
              <c:layout>
                <c:manualLayout>
                  <c:x val="-5.50145840465594E-2"/>
                  <c:y val="-4.2739393234702376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3CAA-48A9-A6CC-C53BD864A737}"/>
                </c:ext>
              </c:extLst>
            </c:dLbl>
            <c:numFmt formatCode="&quot;$&quot;#,##0" sourceLinked="0"/>
            <c:spPr>
              <a:noFill/>
              <a:ln>
                <a:noFill/>
              </a:ln>
              <a:effectLst/>
            </c:spPr>
            <c:txPr>
              <a:bodyPr/>
              <a:lstStyle/>
              <a:p>
                <a:pPr>
                  <a:defRPr sz="800" b="1">
                    <a:latin typeface="Calibri" panose="020F0502020204030204" pitchFamily="34" charset="0"/>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'Historical Revenue'!$E$1:$J$1</c:f>
              <c:numCache>
                <c:formatCode>General</c:formatCode>
                <c:ptCount val="6"/>
                <c:pt idx="0">
                  <c:v>2011</c:v>
                </c:pt>
                <c:pt idx="1">
                  <c:v>2012</c:v>
                </c:pt>
                <c:pt idx="2">
                  <c:v>2013</c:v>
                </c:pt>
                <c:pt idx="3">
                  <c:v>2014</c:v>
                </c:pt>
                <c:pt idx="4">
                  <c:v>2015</c:v>
                </c:pt>
                <c:pt idx="5">
                  <c:v>2016</c:v>
                </c:pt>
              </c:numCache>
            </c:numRef>
          </c:cat>
          <c:val>
            <c:numRef>
              <c:f>'Historical Revenue'!$E$13:$J$13</c:f>
              <c:numCache>
                <c:formatCode>0</c:formatCode>
                <c:ptCount val="6"/>
                <c:pt idx="0">
                  <c:v>438856.25</c:v>
                </c:pt>
                <c:pt idx="1">
                  <c:v>538557.99</c:v>
                </c:pt>
                <c:pt idx="2">
                  <c:v>449633.98</c:v>
                </c:pt>
                <c:pt idx="3">
                  <c:v>549756.29</c:v>
                </c:pt>
                <c:pt idx="4">
                  <c:v>734616.31</c:v>
                </c:pt>
                <c:pt idx="5">
                  <c:v>729000</c:v>
                </c:pt>
              </c:numCache>
            </c:numRef>
          </c:val>
          <c:smooth val="0"/>
          <c:extLst xmlns:c16r2="http://schemas.microsoft.com/office/drawing/2015/06/chart">
            <c:ext xmlns:c16="http://schemas.microsoft.com/office/drawing/2014/chart" uri="{C3380CC4-5D6E-409C-BE32-E72D297353CC}">
              <c16:uniqueId val="{00000008-3CAA-48A9-A6CC-C53BD864A737}"/>
            </c:ext>
          </c:extLst>
        </c:ser>
        <c:dLbls>
          <c:showLegendKey val="0"/>
          <c:showVal val="0"/>
          <c:showCatName val="0"/>
          <c:showSerName val="0"/>
          <c:showPercent val="0"/>
          <c:showBubbleSize val="0"/>
        </c:dLbls>
        <c:marker val="1"/>
        <c:smooth val="0"/>
        <c:axId val="225512064"/>
        <c:axId val="225542528"/>
      </c:lineChart>
      <c:catAx>
        <c:axId val="225512064"/>
        <c:scaling>
          <c:orientation val="minMax"/>
        </c:scaling>
        <c:delete val="0"/>
        <c:axPos val="b"/>
        <c:numFmt formatCode="General" sourceLinked="1"/>
        <c:majorTickMark val="out"/>
        <c:minorTickMark val="none"/>
        <c:tickLblPos val="nextTo"/>
        <c:txPr>
          <a:bodyPr/>
          <a:lstStyle/>
          <a:p>
            <a:pPr>
              <a:defRPr sz="1000" b="0">
                <a:latin typeface="Calibri" panose="020F0502020204030204" pitchFamily="34" charset="0"/>
              </a:defRPr>
            </a:pPr>
            <a:endParaRPr lang="en-US"/>
          </a:p>
        </c:txPr>
        <c:crossAx val="225542528"/>
        <c:crosses val="autoZero"/>
        <c:auto val="1"/>
        <c:lblAlgn val="ctr"/>
        <c:lblOffset val="100"/>
        <c:noMultiLvlLbl val="0"/>
      </c:catAx>
      <c:valAx>
        <c:axId val="225542528"/>
        <c:scaling>
          <c:orientation val="minMax"/>
        </c:scaling>
        <c:delete val="0"/>
        <c:axPos val="l"/>
        <c:majorGridlines/>
        <c:numFmt formatCode="&quot;$&quot;#,##0" sourceLinked="0"/>
        <c:majorTickMark val="out"/>
        <c:minorTickMark val="none"/>
        <c:tickLblPos val="nextTo"/>
        <c:txPr>
          <a:bodyPr/>
          <a:lstStyle/>
          <a:p>
            <a:pPr>
              <a:defRPr sz="1000" b="0">
                <a:latin typeface="Calibri" panose="020F0502020204030204" pitchFamily="34" charset="0"/>
              </a:defRPr>
            </a:pPr>
            <a:endParaRPr lang="en-US"/>
          </a:p>
        </c:txPr>
        <c:crossAx val="225512064"/>
        <c:crosses val="autoZero"/>
        <c:crossBetween val="between"/>
      </c:valAx>
      <c:spPr>
        <a:ln>
          <a:solidFill>
            <a:schemeClr val="tx1"/>
          </a:solidFill>
        </a:ln>
      </c:spPr>
    </c:plotArea>
    <c:legend>
      <c:legendPos val="r"/>
      <c:layout>
        <c:manualLayout>
          <c:xMode val="edge"/>
          <c:yMode val="edge"/>
          <c:x val="0.40824229145269886"/>
          <c:y val="0.51080514253164599"/>
          <c:w val="0.47813452014150404"/>
          <c:h val="0.1983209524086367"/>
        </c:manualLayout>
      </c:layout>
      <c:overlay val="0"/>
      <c:spPr>
        <a:solidFill>
          <a:schemeClr val="bg1"/>
        </a:solidFill>
        <a:ln>
          <a:solidFill>
            <a:schemeClr val="tx1"/>
          </a:solidFill>
        </a:ln>
      </c:spPr>
      <c:txPr>
        <a:bodyPr/>
        <a:lstStyle/>
        <a:p>
          <a:pPr>
            <a:defRPr sz="1000" b="1">
              <a:latin typeface="Calibri" panose="020F0502020204030204" pitchFamily="34" charset="0"/>
            </a:defRPr>
          </a:pPr>
          <a:endParaRPr lang="en-US"/>
        </a:p>
      </c:txPr>
    </c:legend>
    <c:plotVisOnly val="1"/>
    <c:dispBlanksAs val="gap"/>
    <c:showDLblsOverMax val="0"/>
  </c:chart>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6661362642169728"/>
          <c:y val="7.1094813494476036E-2"/>
          <c:w val="0.77371227034120738"/>
          <c:h val="0.80695467598178949"/>
        </c:manualLayout>
      </c:layout>
      <c:barChart>
        <c:barDir val="col"/>
        <c:grouping val="stacked"/>
        <c:varyColors val="0"/>
        <c:ser>
          <c:idx val="1"/>
          <c:order val="0"/>
          <c:tx>
            <c:strRef>
              <c:f>'Historical Revenue'!$D$46</c:f>
              <c:strCache>
                <c:ptCount val="1"/>
                <c:pt idx="0">
                  <c:v>Ambulance Billing</c:v>
                </c:pt>
              </c:strCache>
            </c:strRef>
          </c:tx>
          <c:spPr>
            <a:ln>
              <a:solidFill>
                <a:schemeClr val="tx1"/>
              </a:solidFill>
            </a:ln>
          </c:spPr>
          <c:invertIfNegative val="0"/>
          <c:dLbls>
            <c:numFmt formatCode="&quot;$&quot;#,##0" sourceLinked="0"/>
            <c:spPr>
              <a:solidFill>
                <a:schemeClr val="bg1"/>
              </a:solidFill>
              <a:ln>
                <a:solidFill>
                  <a:schemeClr val="tx1"/>
                </a:solidFill>
              </a:ln>
            </c:spPr>
            <c:txPr>
              <a:bodyPr/>
              <a:lstStyle/>
              <a:p>
                <a:pPr>
                  <a:defRPr sz="800" b="1">
                    <a:latin typeface="Calibri" panose="020F0502020204030204" pitchFamily="34" charset="0"/>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'Historical Revenue'!$E$1:$J$1</c:f>
              <c:numCache>
                <c:formatCode>General</c:formatCode>
                <c:ptCount val="6"/>
                <c:pt idx="0">
                  <c:v>2011</c:v>
                </c:pt>
                <c:pt idx="1">
                  <c:v>2012</c:v>
                </c:pt>
                <c:pt idx="2">
                  <c:v>2013</c:v>
                </c:pt>
                <c:pt idx="3">
                  <c:v>2014</c:v>
                </c:pt>
                <c:pt idx="4">
                  <c:v>2015</c:v>
                </c:pt>
                <c:pt idx="5">
                  <c:v>2016</c:v>
                </c:pt>
              </c:numCache>
            </c:numRef>
          </c:cat>
          <c:val>
            <c:numRef>
              <c:f>'Historical Revenue'!$E$46:$J$46</c:f>
              <c:numCache>
                <c:formatCode>0</c:formatCode>
                <c:ptCount val="6"/>
                <c:pt idx="0">
                  <c:v>1148437.3</c:v>
                </c:pt>
                <c:pt idx="1">
                  <c:v>1241466.29</c:v>
                </c:pt>
                <c:pt idx="2">
                  <c:v>1204938.9799999997</c:v>
                </c:pt>
                <c:pt idx="3">
                  <c:v>1331714.6099999999</c:v>
                </c:pt>
                <c:pt idx="4">
                  <c:v>1332989.9099999997</c:v>
                </c:pt>
                <c:pt idx="5">
                  <c:v>1500000</c:v>
                </c:pt>
              </c:numCache>
            </c:numRef>
          </c:val>
          <c:extLst xmlns:c16r2="http://schemas.microsoft.com/office/drawing/2015/06/chart">
            <c:ext xmlns:c16="http://schemas.microsoft.com/office/drawing/2014/chart" uri="{C3380CC4-5D6E-409C-BE32-E72D297353CC}">
              <c16:uniqueId val="{00000000-AE2D-46B9-8B84-D169ADD5C2DE}"/>
            </c:ext>
          </c:extLst>
        </c:ser>
        <c:ser>
          <c:idx val="2"/>
          <c:order val="1"/>
          <c:tx>
            <c:strRef>
              <c:f>'Historical Revenue'!$D$47</c:f>
              <c:strCache>
                <c:ptCount val="1"/>
                <c:pt idx="0">
                  <c:v>Contractual Services/Misc Sources</c:v>
                </c:pt>
              </c:strCache>
            </c:strRef>
          </c:tx>
          <c:spPr>
            <a:ln>
              <a:solidFill>
                <a:schemeClr val="tx1"/>
              </a:solidFill>
            </a:ln>
          </c:spPr>
          <c:invertIfNegative val="0"/>
          <c:cat>
            <c:numRef>
              <c:f>'Historical Revenue'!$E$1:$J$1</c:f>
              <c:numCache>
                <c:formatCode>General</c:formatCode>
                <c:ptCount val="6"/>
                <c:pt idx="0">
                  <c:v>2011</c:v>
                </c:pt>
                <c:pt idx="1">
                  <c:v>2012</c:v>
                </c:pt>
                <c:pt idx="2">
                  <c:v>2013</c:v>
                </c:pt>
                <c:pt idx="3">
                  <c:v>2014</c:v>
                </c:pt>
                <c:pt idx="4">
                  <c:v>2015</c:v>
                </c:pt>
                <c:pt idx="5">
                  <c:v>2016</c:v>
                </c:pt>
              </c:numCache>
            </c:numRef>
          </c:cat>
          <c:val>
            <c:numRef>
              <c:f>'Historical Revenue'!$E$47:$J$47</c:f>
              <c:numCache>
                <c:formatCode>0</c:formatCode>
                <c:ptCount val="6"/>
                <c:pt idx="0">
                  <c:v>4988.47</c:v>
                </c:pt>
                <c:pt idx="1">
                  <c:v>3246.41</c:v>
                </c:pt>
                <c:pt idx="2">
                  <c:v>6438.52</c:v>
                </c:pt>
                <c:pt idx="3">
                  <c:v>29803.670000000002</c:v>
                </c:pt>
                <c:pt idx="4">
                  <c:v>29084.54</c:v>
                </c:pt>
                <c:pt idx="5">
                  <c:v>27650</c:v>
                </c:pt>
              </c:numCache>
            </c:numRef>
          </c:val>
          <c:extLst xmlns:c16r2="http://schemas.microsoft.com/office/drawing/2015/06/chart">
            <c:ext xmlns:c16="http://schemas.microsoft.com/office/drawing/2014/chart" uri="{C3380CC4-5D6E-409C-BE32-E72D297353CC}">
              <c16:uniqueId val="{00000001-AE2D-46B9-8B84-D169ADD5C2DE}"/>
            </c:ext>
          </c:extLst>
        </c:ser>
        <c:ser>
          <c:idx val="0"/>
          <c:order val="2"/>
          <c:tx>
            <c:strRef>
              <c:f>'Historical Revenue'!$D$45</c:f>
              <c:strCache>
                <c:ptCount val="1"/>
                <c:pt idx="0">
                  <c:v>Ambulance Utility Fee</c:v>
                </c:pt>
              </c:strCache>
            </c:strRef>
          </c:tx>
          <c:spPr>
            <a:ln>
              <a:solidFill>
                <a:schemeClr val="tx1"/>
              </a:solidFill>
            </a:ln>
          </c:spPr>
          <c:invertIfNegative val="0"/>
          <c:dLbls>
            <c:numFmt formatCode="&quot;$&quot;#,##0" sourceLinked="0"/>
            <c:spPr>
              <a:solidFill>
                <a:schemeClr val="bg1"/>
              </a:solidFill>
              <a:ln>
                <a:solidFill>
                  <a:schemeClr val="tx1"/>
                </a:solidFill>
              </a:ln>
            </c:spPr>
            <c:txPr>
              <a:bodyPr/>
              <a:lstStyle/>
              <a:p>
                <a:pPr>
                  <a:defRPr sz="800" b="1">
                    <a:latin typeface="Calibri" panose="020F0502020204030204" pitchFamily="34" charset="0"/>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'Historical Revenue'!$E$1:$J$1</c:f>
              <c:numCache>
                <c:formatCode>General</c:formatCode>
                <c:ptCount val="6"/>
                <c:pt idx="0">
                  <c:v>2011</c:v>
                </c:pt>
                <c:pt idx="1">
                  <c:v>2012</c:v>
                </c:pt>
                <c:pt idx="2">
                  <c:v>2013</c:v>
                </c:pt>
                <c:pt idx="3">
                  <c:v>2014</c:v>
                </c:pt>
                <c:pt idx="4">
                  <c:v>2015</c:v>
                </c:pt>
                <c:pt idx="5">
                  <c:v>2016</c:v>
                </c:pt>
              </c:numCache>
            </c:numRef>
          </c:cat>
          <c:val>
            <c:numRef>
              <c:f>'Historical Revenue'!$E$45:$J$45</c:f>
              <c:numCache>
                <c:formatCode>0</c:formatCode>
                <c:ptCount val="6"/>
                <c:pt idx="0">
                  <c:v>876841.6</c:v>
                </c:pt>
                <c:pt idx="1">
                  <c:v>1262573.8</c:v>
                </c:pt>
                <c:pt idx="2">
                  <c:v>1628558.41</c:v>
                </c:pt>
                <c:pt idx="3">
                  <c:v>1999849.95</c:v>
                </c:pt>
                <c:pt idx="4">
                  <c:v>2095864.3</c:v>
                </c:pt>
                <c:pt idx="5">
                  <c:v>3466019</c:v>
                </c:pt>
              </c:numCache>
            </c:numRef>
          </c:val>
          <c:extLst xmlns:c16r2="http://schemas.microsoft.com/office/drawing/2015/06/chart">
            <c:ext xmlns:c16="http://schemas.microsoft.com/office/drawing/2014/chart" uri="{C3380CC4-5D6E-409C-BE32-E72D297353CC}">
              <c16:uniqueId val="{00000002-AE2D-46B9-8B84-D169ADD5C2DE}"/>
            </c:ext>
          </c:extLst>
        </c:ser>
        <c:dLbls>
          <c:showLegendKey val="0"/>
          <c:showVal val="0"/>
          <c:showCatName val="0"/>
          <c:showSerName val="0"/>
          <c:showPercent val="0"/>
          <c:showBubbleSize val="0"/>
        </c:dLbls>
        <c:gapWidth val="105"/>
        <c:overlap val="100"/>
        <c:axId val="225569024"/>
        <c:axId val="225595392"/>
      </c:barChart>
      <c:lineChart>
        <c:grouping val="standard"/>
        <c:varyColors val="0"/>
        <c:ser>
          <c:idx val="3"/>
          <c:order val="3"/>
          <c:tx>
            <c:strRef>
              <c:f>'Historical Revenue'!$D$35</c:f>
              <c:strCache>
                <c:ptCount val="1"/>
                <c:pt idx="0">
                  <c:v>Total Recurring Ambulance Revenue</c:v>
                </c:pt>
              </c:strCache>
            </c:strRef>
          </c:tx>
          <c:spPr>
            <a:ln w="22225">
              <a:solidFill>
                <a:schemeClr val="accent6"/>
              </a:solidFill>
              <a:prstDash val="sysDash"/>
            </a:ln>
          </c:spPr>
          <c:marker>
            <c:symbol val="diamond"/>
            <c:size val="5"/>
            <c:spPr>
              <a:solidFill>
                <a:schemeClr val="accent6"/>
              </a:solidFill>
              <a:ln>
                <a:solidFill>
                  <a:schemeClr val="tx1"/>
                </a:solidFill>
              </a:ln>
            </c:spPr>
          </c:marker>
          <c:dLbls>
            <c:dLbl>
              <c:idx val="4"/>
              <c:layout>
                <c:manualLayout>
                  <c:x val="-6.2002405949256344E-2"/>
                  <c:y val="-4.2739393234702376E-2"/>
                </c:manualLayout>
              </c:layout>
              <c:numFmt formatCode="&quot;$&quot;#,##0" sourceLinked="0"/>
              <c:spPr>
                <a:solidFill>
                  <a:schemeClr val="bg1"/>
                </a:solidFill>
              </c:spPr>
              <c:txPr>
                <a:bodyPr/>
                <a:lstStyle/>
                <a:p>
                  <a:pPr>
                    <a:defRPr sz="800" b="1">
                      <a:latin typeface="Calibri" panose="020F0502020204030204" pitchFamily="34" charset="0"/>
                    </a:defRPr>
                  </a:pPr>
                  <a:endParaRPr lang="en-US"/>
                </a:p>
              </c:txPr>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AE2D-46B9-8B84-D169ADD5C2DE}"/>
                </c:ext>
              </c:extLst>
            </c:dLbl>
            <c:numFmt formatCode="&quot;$&quot;#,##0" sourceLinked="0"/>
            <c:spPr>
              <a:noFill/>
              <a:ln>
                <a:noFill/>
              </a:ln>
              <a:effectLst/>
            </c:spPr>
            <c:txPr>
              <a:bodyPr/>
              <a:lstStyle/>
              <a:p>
                <a:pPr>
                  <a:defRPr sz="800" b="1">
                    <a:latin typeface="Calibri" panose="020F0502020204030204" pitchFamily="34" charset="0"/>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'Historical Revenue'!$E$1:$J$1</c:f>
              <c:numCache>
                <c:formatCode>General</c:formatCode>
                <c:ptCount val="6"/>
                <c:pt idx="0">
                  <c:v>2011</c:v>
                </c:pt>
                <c:pt idx="1">
                  <c:v>2012</c:v>
                </c:pt>
                <c:pt idx="2">
                  <c:v>2013</c:v>
                </c:pt>
                <c:pt idx="3">
                  <c:v>2014</c:v>
                </c:pt>
                <c:pt idx="4">
                  <c:v>2015</c:v>
                </c:pt>
                <c:pt idx="5">
                  <c:v>2016</c:v>
                </c:pt>
              </c:numCache>
            </c:numRef>
          </c:cat>
          <c:val>
            <c:numRef>
              <c:f>'Historical Revenue'!$E$35:$J$35</c:f>
              <c:numCache>
                <c:formatCode>0</c:formatCode>
                <c:ptCount val="6"/>
                <c:pt idx="0">
                  <c:v>2030267.3699999999</c:v>
                </c:pt>
                <c:pt idx="1">
                  <c:v>2507286.5</c:v>
                </c:pt>
                <c:pt idx="2">
                  <c:v>2839935.9100000006</c:v>
                </c:pt>
                <c:pt idx="3">
                  <c:v>3361368.2300000004</c:v>
                </c:pt>
                <c:pt idx="4">
                  <c:v>3457938.7500000009</c:v>
                </c:pt>
                <c:pt idx="5">
                  <c:v>4993669</c:v>
                </c:pt>
              </c:numCache>
            </c:numRef>
          </c:val>
          <c:smooth val="0"/>
          <c:extLst xmlns:c16r2="http://schemas.microsoft.com/office/drawing/2015/06/chart">
            <c:ext xmlns:c16="http://schemas.microsoft.com/office/drawing/2014/chart" uri="{C3380CC4-5D6E-409C-BE32-E72D297353CC}">
              <c16:uniqueId val="{00000004-AE2D-46B9-8B84-D169ADD5C2DE}"/>
            </c:ext>
          </c:extLst>
        </c:ser>
        <c:dLbls>
          <c:showLegendKey val="0"/>
          <c:showVal val="0"/>
          <c:showCatName val="0"/>
          <c:showSerName val="0"/>
          <c:showPercent val="0"/>
          <c:showBubbleSize val="0"/>
        </c:dLbls>
        <c:marker val="1"/>
        <c:smooth val="0"/>
        <c:axId val="225569024"/>
        <c:axId val="225595392"/>
      </c:lineChart>
      <c:catAx>
        <c:axId val="225569024"/>
        <c:scaling>
          <c:orientation val="minMax"/>
        </c:scaling>
        <c:delete val="0"/>
        <c:axPos val="b"/>
        <c:numFmt formatCode="General" sourceLinked="1"/>
        <c:majorTickMark val="out"/>
        <c:minorTickMark val="none"/>
        <c:tickLblPos val="nextTo"/>
        <c:txPr>
          <a:bodyPr/>
          <a:lstStyle/>
          <a:p>
            <a:pPr>
              <a:defRPr sz="1000" b="0">
                <a:latin typeface="Calibri" panose="020F0502020204030204" pitchFamily="34" charset="0"/>
              </a:defRPr>
            </a:pPr>
            <a:endParaRPr lang="en-US"/>
          </a:p>
        </c:txPr>
        <c:crossAx val="225595392"/>
        <c:crosses val="autoZero"/>
        <c:auto val="1"/>
        <c:lblAlgn val="ctr"/>
        <c:lblOffset val="100"/>
        <c:noMultiLvlLbl val="0"/>
      </c:catAx>
      <c:valAx>
        <c:axId val="225595392"/>
        <c:scaling>
          <c:orientation val="minMax"/>
        </c:scaling>
        <c:delete val="0"/>
        <c:axPos val="l"/>
        <c:majorGridlines/>
        <c:numFmt formatCode="&quot;$&quot;#,##0" sourceLinked="0"/>
        <c:majorTickMark val="out"/>
        <c:minorTickMark val="none"/>
        <c:tickLblPos val="nextTo"/>
        <c:txPr>
          <a:bodyPr/>
          <a:lstStyle/>
          <a:p>
            <a:pPr>
              <a:defRPr sz="1000" b="0">
                <a:latin typeface="Calibri" panose="020F0502020204030204" pitchFamily="34" charset="0"/>
              </a:defRPr>
            </a:pPr>
            <a:endParaRPr lang="en-US"/>
          </a:p>
        </c:txPr>
        <c:crossAx val="225569024"/>
        <c:crosses val="autoZero"/>
        <c:crossBetween val="between"/>
      </c:valAx>
      <c:spPr>
        <a:ln>
          <a:solidFill>
            <a:schemeClr val="tx1"/>
          </a:solidFill>
        </a:ln>
      </c:spPr>
    </c:plotArea>
    <c:legend>
      <c:legendPos val="r"/>
      <c:layout>
        <c:manualLayout>
          <c:xMode val="edge"/>
          <c:yMode val="edge"/>
          <c:x val="0.18795936767446056"/>
          <c:y val="3.1343473370176553E-2"/>
          <c:w val="0.55504317685480153"/>
          <c:h val="0.27094504491286414"/>
        </c:manualLayout>
      </c:layout>
      <c:overlay val="1"/>
      <c:spPr>
        <a:solidFill>
          <a:schemeClr val="bg1"/>
        </a:solidFill>
        <a:ln>
          <a:solidFill>
            <a:schemeClr val="tx1"/>
          </a:solidFill>
        </a:ln>
      </c:spPr>
      <c:txPr>
        <a:bodyPr/>
        <a:lstStyle/>
        <a:p>
          <a:pPr>
            <a:defRPr sz="1000" b="1">
              <a:latin typeface="Calibri" panose="020F0502020204030204" pitchFamily="34" charset="0"/>
            </a:defRPr>
          </a:pPr>
          <a:endParaRPr lang="en-US"/>
        </a:p>
      </c:txPr>
    </c:legend>
    <c:plotVisOnly val="1"/>
    <c:dispBlanksAs val="gap"/>
    <c:showDLblsOverMax val="0"/>
  </c:chart>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8326968503937008"/>
          <c:y val="8.6642988866459492E-2"/>
          <c:w val="0.75943012587907388"/>
          <c:h val="0.76996654295380917"/>
        </c:manualLayout>
      </c:layout>
      <c:barChart>
        <c:barDir val="col"/>
        <c:grouping val="clustered"/>
        <c:varyColors val="0"/>
        <c:ser>
          <c:idx val="1"/>
          <c:order val="1"/>
          <c:tx>
            <c:strRef>
              <c:f>'Historical Revenue'!$D$36</c:f>
              <c:strCache>
                <c:ptCount val="1"/>
                <c:pt idx="0">
                  <c:v>I/F Transfer (Subsidy)</c:v>
                </c:pt>
              </c:strCache>
            </c:strRef>
          </c:tx>
          <c:spPr>
            <a:ln>
              <a:solidFill>
                <a:schemeClr val="tx1"/>
              </a:solidFill>
            </a:ln>
          </c:spPr>
          <c:invertIfNegative val="0"/>
          <c:dLbls>
            <c:dLbl>
              <c:idx val="0"/>
              <c:layout>
                <c:manualLayout>
                  <c:x val="2.2262442680690699E-17"/>
                  <c:y val="-1.5663237918109016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A8C4-4C00-9B19-F8E77302AB02}"/>
                </c:ext>
              </c:extLst>
            </c:dLbl>
            <c:dLbl>
              <c:idx val="3"/>
              <c:layout>
                <c:manualLayout>
                  <c:x val="0"/>
                  <c:y val="-1.1747428438581762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A8C4-4C00-9B19-F8E77302AB02}"/>
                </c:ext>
              </c:extLst>
            </c:dLbl>
            <c:dLbl>
              <c:idx val="4"/>
              <c:layout>
                <c:manualLayout>
                  <c:x val="-1.8158236057068837E-2"/>
                  <c:y val="1.7204301075268817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2991-473A-96F9-848E3BB13A90}"/>
                </c:ext>
              </c:extLst>
            </c:dLbl>
            <c:dLbl>
              <c:idx val="5"/>
              <c:layout>
                <c:manualLayout>
                  <c:x val="-2.5940337224384012E-2"/>
                  <c:y val="1.2903225806451613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2991-473A-96F9-848E3BB13A90}"/>
                </c:ext>
              </c:extLst>
            </c:dLbl>
            <c:numFmt formatCode="&quot;$&quot;#,##0" sourceLinked="0"/>
            <c:spPr>
              <a:noFill/>
              <a:ln>
                <a:noFill/>
              </a:ln>
              <a:effectLst/>
            </c:spPr>
            <c:txPr>
              <a:bodyPr/>
              <a:lstStyle/>
              <a:p>
                <a:pPr>
                  <a:defRPr sz="800" b="1">
                    <a:latin typeface="+mj-lt"/>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'Historical Revenue'!$E$1:$J$1</c:f>
              <c:numCache>
                <c:formatCode>General</c:formatCode>
                <c:ptCount val="6"/>
                <c:pt idx="0">
                  <c:v>2011</c:v>
                </c:pt>
                <c:pt idx="1">
                  <c:v>2012</c:v>
                </c:pt>
                <c:pt idx="2">
                  <c:v>2013</c:v>
                </c:pt>
                <c:pt idx="3">
                  <c:v>2014</c:v>
                </c:pt>
                <c:pt idx="4">
                  <c:v>2015</c:v>
                </c:pt>
                <c:pt idx="5">
                  <c:v>2016</c:v>
                </c:pt>
              </c:numCache>
            </c:numRef>
          </c:cat>
          <c:val>
            <c:numRef>
              <c:f>'Historical Revenue'!$E$36:$J$36</c:f>
              <c:numCache>
                <c:formatCode>0</c:formatCode>
                <c:ptCount val="6"/>
                <c:pt idx="0">
                  <c:v>420000</c:v>
                </c:pt>
                <c:pt idx="1">
                  <c:v>890000</c:v>
                </c:pt>
                <c:pt idx="2">
                  <c:v>1157000</c:v>
                </c:pt>
                <c:pt idx="3">
                  <c:v>420000</c:v>
                </c:pt>
                <c:pt idx="4">
                  <c:v>420000</c:v>
                </c:pt>
                <c:pt idx="5">
                  <c:v>420000</c:v>
                </c:pt>
              </c:numCache>
            </c:numRef>
          </c:val>
          <c:extLst xmlns:c16r2="http://schemas.microsoft.com/office/drawing/2015/06/chart">
            <c:ext xmlns:c16="http://schemas.microsoft.com/office/drawing/2014/chart" uri="{C3380CC4-5D6E-409C-BE32-E72D297353CC}">
              <c16:uniqueId val="{00000002-A8C4-4C00-9B19-F8E77302AB02}"/>
            </c:ext>
          </c:extLst>
        </c:ser>
        <c:ser>
          <c:idx val="2"/>
          <c:order val="2"/>
          <c:tx>
            <c:strRef>
              <c:f>'Historical Revenue'!$D$37</c:f>
              <c:strCache>
                <c:ptCount val="1"/>
                <c:pt idx="0">
                  <c:v>Beginning Fund Balance</c:v>
                </c:pt>
              </c:strCache>
            </c:strRef>
          </c:tx>
          <c:spPr>
            <a:ln>
              <a:solidFill>
                <a:schemeClr val="tx1"/>
              </a:solidFill>
            </a:ln>
          </c:spPr>
          <c:invertIfNegative val="0"/>
          <c:dLbls>
            <c:dLbl>
              <c:idx val="0"/>
              <c:layout>
                <c:manualLayout>
                  <c:x val="1.9429265330904676E-2"/>
                  <c:y val="7.8316189590545079E-3"/>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A8C4-4C00-9B19-F8E77302AB02}"/>
                </c:ext>
              </c:extLst>
            </c:dLbl>
            <c:dLbl>
              <c:idx val="1"/>
              <c:layout>
                <c:manualLayout>
                  <c:x val="2.042137728892833E-2"/>
                  <c:y val="4.3010752688172043E-3"/>
                </c:manualLayout>
              </c:layout>
              <c:numFmt formatCode="&quot;$&quot;#,##0" sourceLinked="0"/>
              <c:spPr>
                <a:noFill/>
              </c:spPr>
              <c:txPr>
                <a:bodyPr/>
                <a:lstStyle/>
                <a:p>
                  <a:pPr>
                    <a:defRPr sz="800" b="1">
                      <a:latin typeface="Calibri" panose="020F0502020204030204" pitchFamily="34" charset="0"/>
                    </a:defRPr>
                  </a:pPr>
                  <a:endParaRPr lang="en-US"/>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A8C4-4C00-9B19-F8E77302AB02}"/>
                </c:ext>
              </c:extLst>
            </c:dLbl>
            <c:dLbl>
              <c:idx val="2"/>
              <c:layout>
                <c:manualLayout>
                  <c:x val="2.0752269779507039E-2"/>
                  <c:y val="1.6433832867665737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A8C4-4C00-9B19-F8E77302AB02}"/>
                </c:ext>
              </c:extLst>
            </c:dLbl>
            <c:dLbl>
              <c:idx val="3"/>
              <c:layout>
                <c:manualLayout>
                  <c:x val="0"/>
                  <c:y val="-4.6989713754327048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A8C4-4C00-9B19-F8E77302AB02}"/>
                </c:ext>
              </c:extLst>
            </c:dLbl>
            <c:dLbl>
              <c:idx val="4"/>
              <c:layout>
                <c:manualLayout>
                  <c:x val="-8.9049770722762797E-17"/>
                  <c:y val="-1.1747428438581762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A8C4-4C00-9B19-F8E77302AB02}"/>
                </c:ext>
              </c:extLst>
            </c:dLbl>
            <c:dLbl>
              <c:idx val="5"/>
              <c:layout>
                <c:manualLayout>
                  <c:x val="-7.2859744990892532E-3"/>
                  <c:y val="-1.1747428438581762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A8C4-4C00-9B19-F8E77302AB02}"/>
                </c:ext>
              </c:extLst>
            </c:dLbl>
            <c:numFmt formatCode="&quot;$&quot;#,##0" sourceLinked="0"/>
            <c:spPr>
              <a:noFill/>
              <a:ln>
                <a:noFill/>
              </a:ln>
              <a:effectLst/>
            </c:spPr>
            <c:txPr>
              <a:bodyPr/>
              <a:lstStyle/>
              <a:p>
                <a:pPr>
                  <a:defRPr sz="800" b="1">
                    <a:latin typeface="Calibri" panose="020F0502020204030204" pitchFamily="34"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'Historical Revenue'!$E$1:$J$1</c:f>
              <c:numCache>
                <c:formatCode>General</c:formatCode>
                <c:ptCount val="6"/>
                <c:pt idx="0">
                  <c:v>2011</c:v>
                </c:pt>
                <c:pt idx="1">
                  <c:v>2012</c:v>
                </c:pt>
                <c:pt idx="2">
                  <c:v>2013</c:v>
                </c:pt>
                <c:pt idx="3">
                  <c:v>2014</c:v>
                </c:pt>
                <c:pt idx="4">
                  <c:v>2015</c:v>
                </c:pt>
                <c:pt idx="5">
                  <c:v>2016</c:v>
                </c:pt>
              </c:numCache>
            </c:numRef>
          </c:cat>
          <c:val>
            <c:numRef>
              <c:f>'Historical Revenue'!$E$37:$J$37</c:f>
              <c:numCache>
                <c:formatCode>0</c:formatCode>
                <c:ptCount val="6"/>
                <c:pt idx="0">
                  <c:v>318894</c:v>
                </c:pt>
                <c:pt idx="1">
                  <c:v>82491.550000000279</c:v>
                </c:pt>
                <c:pt idx="2">
                  <c:v>255700.70000000019</c:v>
                </c:pt>
                <c:pt idx="3">
                  <c:v>563575.1399999992</c:v>
                </c:pt>
                <c:pt idx="4">
                  <c:v>927533.31999999937</c:v>
                </c:pt>
                <c:pt idx="5">
                  <c:v>857990.75999999931</c:v>
                </c:pt>
              </c:numCache>
            </c:numRef>
          </c:val>
          <c:extLst xmlns:c16r2="http://schemas.microsoft.com/office/drawing/2015/06/chart">
            <c:ext xmlns:c16="http://schemas.microsoft.com/office/drawing/2014/chart" uri="{C3380CC4-5D6E-409C-BE32-E72D297353CC}">
              <c16:uniqueId val="{00000009-A8C4-4C00-9B19-F8E77302AB02}"/>
            </c:ext>
          </c:extLst>
        </c:ser>
        <c:dLbls>
          <c:showLegendKey val="0"/>
          <c:showVal val="0"/>
          <c:showCatName val="0"/>
          <c:showSerName val="0"/>
          <c:showPercent val="0"/>
          <c:showBubbleSize val="0"/>
        </c:dLbls>
        <c:gapWidth val="150"/>
        <c:axId val="225657600"/>
        <c:axId val="225659136"/>
      </c:barChart>
      <c:lineChart>
        <c:grouping val="standard"/>
        <c:varyColors val="0"/>
        <c:ser>
          <c:idx val="0"/>
          <c:order val="0"/>
          <c:tx>
            <c:strRef>
              <c:f>'Historical Revenue'!$D$35</c:f>
              <c:strCache>
                <c:ptCount val="1"/>
                <c:pt idx="0">
                  <c:v>Total Recurring Ambulance Revenue</c:v>
                </c:pt>
              </c:strCache>
            </c:strRef>
          </c:tx>
          <c:dLbls>
            <c:dLbl>
              <c:idx val="4"/>
              <c:numFmt formatCode="&quot;$&quot;#,##0" sourceLinked="0"/>
              <c:spPr>
                <a:solidFill>
                  <a:schemeClr val="bg1"/>
                </a:solidFill>
              </c:spPr>
              <c:txPr>
                <a:bodyPr/>
                <a:lstStyle/>
                <a:p>
                  <a:pPr>
                    <a:defRPr sz="800" b="1">
                      <a:latin typeface="Calibri" panose="020F0502020204030204" pitchFamily="34" charset="0"/>
                    </a:defRPr>
                  </a:pPr>
                  <a:endParaRPr lang="en-US"/>
                </a:p>
              </c:txPr>
              <c:dLblPos val="t"/>
              <c:showLegendKey val="0"/>
              <c:showVal val="1"/>
              <c:showCatName val="0"/>
              <c:showSerName val="0"/>
              <c:showPercent val="0"/>
              <c:showBubbleSize val="0"/>
            </c:dLbl>
            <c:numFmt formatCode="&quot;$&quot;#,##0" sourceLinked="0"/>
            <c:spPr>
              <a:noFill/>
              <a:ln>
                <a:noFill/>
              </a:ln>
              <a:effectLst/>
            </c:spPr>
            <c:txPr>
              <a:bodyPr/>
              <a:lstStyle/>
              <a:p>
                <a:pPr>
                  <a:defRPr sz="800" b="1">
                    <a:latin typeface="Calibri" panose="020F0502020204030204" pitchFamily="34" charset="0"/>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'Historical Revenue'!$E$1:$J$1</c:f>
              <c:numCache>
                <c:formatCode>General</c:formatCode>
                <c:ptCount val="6"/>
                <c:pt idx="0">
                  <c:v>2011</c:v>
                </c:pt>
                <c:pt idx="1">
                  <c:v>2012</c:v>
                </c:pt>
                <c:pt idx="2">
                  <c:v>2013</c:v>
                </c:pt>
                <c:pt idx="3">
                  <c:v>2014</c:v>
                </c:pt>
                <c:pt idx="4">
                  <c:v>2015</c:v>
                </c:pt>
                <c:pt idx="5">
                  <c:v>2016</c:v>
                </c:pt>
              </c:numCache>
            </c:numRef>
          </c:cat>
          <c:val>
            <c:numRef>
              <c:f>'Historical Revenue'!$E$35:$J$35</c:f>
              <c:numCache>
                <c:formatCode>0</c:formatCode>
                <c:ptCount val="6"/>
                <c:pt idx="0">
                  <c:v>2030267.3699999999</c:v>
                </c:pt>
                <c:pt idx="1">
                  <c:v>2507286.5</c:v>
                </c:pt>
                <c:pt idx="2">
                  <c:v>2839935.9100000006</c:v>
                </c:pt>
                <c:pt idx="3">
                  <c:v>3361368.2300000004</c:v>
                </c:pt>
                <c:pt idx="4">
                  <c:v>3457938.7500000009</c:v>
                </c:pt>
                <c:pt idx="5">
                  <c:v>4993669</c:v>
                </c:pt>
              </c:numCache>
            </c:numRef>
          </c:val>
          <c:smooth val="0"/>
          <c:extLst xmlns:c16r2="http://schemas.microsoft.com/office/drawing/2015/06/chart">
            <c:ext xmlns:c16="http://schemas.microsoft.com/office/drawing/2014/chart" uri="{C3380CC4-5D6E-409C-BE32-E72D297353CC}">
              <c16:uniqueId val="{0000000B-A8C4-4C00-9B19-F8E77302AB02}"/>
            </c:ext>
          </c:extLst>
        </c:ser>
        <c:dLbls>
          <c:showLegendKey val="0"/>
          <c:showVal val="0"/>
          <c:showCatName val="0"/>
          <c:showSerName val="0"/>
          <c:showPercent val="0"/>
          <c:showBubbleSize val="0"/>
        </c:dLbls>
        <c:marker val="1"/>
        <c:smooth val="0"/>
        <c:axId val="225657600"/>
        <c:axId val="225659136"/>
      </c:lineChart>
      <c:catAx>
        <c:axId val="225657600"/>
        <c:scaling>
          <c:orientation val="minMax"/>
        </c:scaling>
        <c:delete val="0"/>
        <c:axPos val="b"/>
        <c:numFmt formatCode="General" sourceLinked="1"/>
        <c:majorTickMark val="out"/>
        <c:minorTickMark val="none"/>
        <c:tickLblPos val="nextTo"/>
        <c:txPr>
          <a:bodyPr/>
          <a:lstStyle/>
          <a:p>
            <a:pPr>
              <a:defRPr sz="1000" b="0">
                <a:latin typeface="Calibri" panose="020F0502020204030204" pitchFamily="34" charset="0"/>
              </a:defRPr>
            </a:pPr>
            <a:endParaRPr lang="en-US"/>
          </a:p>
        </c:txPr>
        <c:crossAx val="225659136"/>
        <c:crosses val="autoZero"/>
        <c:auto val="1"/>
        <c:lblAlgn val="ctr"/>
        <c:lblOffset val="100"/>
        <c:noMultiLvlLbl val="0"/>
      </c:catAx>
      <c:valAx>
        <c:axId val="225659136"/>
        <c:scaling>
          <c:orientation val="minMax"/>
        </c:scaling>
        <c:delete val="0"/>
        <c:axPos val="l"/>
        <c:majorGridlines/>
        <c:numFmt formatCode="&quot;$&quot;#,##0" sourceLinked="0"/>
        <c:majorTickMark val="out"/>
        <c:minorTickMark val="none"/>
        <c:tickLblPos val="nextTo"/>
        <c:txPr>
          <a:bodyPr/>
          <a:lstStyle/>
          <a:p>
            <a:pPr>
              <a:defRPr sz="1000" b="0">
                <a:latin typeface="Calibri" panose="020F0502020204030204" pitchFamily="34" charset="0"/>
              </a:defRPr>
            </a:pPr>
            <a:endParaRPr lang="en-US"/>
          </a:p>
        </c:txPr>
        <c:crossAx val="225657600"/>
        <c:crosses val="autoZero"/>
        <c:crossBetween val="between"/>
      </c:valAx>
      <c:spPr>
        <a:ln>
          <a:solidFill>
            <a:schemeClr val="tx1"/>
          </a:solidFill>
        </a:ln>
      </c:spPr>
    </c:plotArea>
    <c:legend>
      <c:legendPos val="r"/>
      <c:layout>
        <c:manualLayout>
          <c:xMode val="edge"/>
          <c:yMode val="edge"/>
          <c:x val="0.19310720039776447"/>
          <c:y val="6.1888906326745624E-2"/>
          <c:w val="0.5041454517638847"/>
          <c:h val="0.19711475757593511"/>
        </c:manualLayout>
      </c:layout>
      <c:overlay val="0"/>
      <c:spPr>
        <a:solidFill>
          <a:schemeClr val="bg1"/>
        </a:solidFill>
        <a:ln>
          <a:solidFill>
            <a:schemeClr val="tx1"/>
          </a:solidFill>
        </a:ln>
      </c:spPr>
      <c:txPr>
        <a:bodyPr/>
        <a:lstStyle/>
        <a:p>
          <a:pPr>
            <a:defRPr sz="1000" b="1">
              <a:latin typeface="Calibri" panose="020F0502020204030204" pitchFamily="34" charset="0"/>
            </a:defRPr>
          </a:pPr>
          <a:endParaRPr lang="en-US"/>
        </a:p>
      </c:txPr>
    </c:legend>
    <c:plotVisOnly val="1"/>
    <c:dispBlanksAs val="gap"/>
    <c:showDLblsOverMax val="0"/>
  </c:chart>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4612714196223961"/>
          <c:y val="0.13057819526945097"/>
          <c:w val="0.79929252801103789"/>
          <c:h val="0.76461665975963533"/>
        </c:manualLayout>
      </c:layout>
      <c:barChart>
        <c:barDir val="col"/>
        <c:grouping val="stacked"/>
        <c:varyColors val="0"/>
        <c:ser>
          <c:idx val="1"/>
          <c:order val="0"/>
          <c:tx>
            <c:strRef>
              <c:f>'Historical Expense'!$B$128</c:f>
              <c:strCache>
                <c:ptCount val="1"/>
                <c:pt idx="0">
                  <c:v>Sub-total Ambulance</c:v>
                </c:pt>
              </c:strCache>
            </c:strRef>
          </c:tx>
          <c:spPr>
            <a:solidFill>
              <a:schemeClr val="accent1"/>
            </a:solidFill>
            <a:ln>
              <a:solidFill>
                <a:schemeClr val="tx1"/>
              </a:solidFill>
            </a:ln>
          </c:spPr>
          <c:invertIfNegative val="0"/>
          <c:dLbls>
            <c:numFmt formatCode="&quot;$&quot;#,##0" sourceLinked="0"/>
            <c:spPr>
              <a:solidFill>
                <a:schemeClr val="bg1"/>
              </a:solidFill>
              <a:ln>
                <a:solidFill>
                  <a:schemeClr val="tx1"/>
                </a:solidFill>
              </a:ln>
            </c:spPr>
            <c:txPr>
              <a:bodyPr/>
              <a:lstStyle/>
              <a:p>
                <a:pPr>
                  <a:defRPr sz="800" b="1">
                    <a:latin typeface="Calibri" panose="020F0502020204030204" pitchFamily="34" charset="0"/>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'Historical Expense'!$E$1:$J$1</c:f>
              <c:numCache>
                <c:formatCode>General</c:formatCode>
                <c:ptCount val="6"/>
                <c:pt idx="0">
                  <c:v>2011</c:v>
                </c:pt>
                <c:pt idx="1">
                  <c:v>2012</c:v>
                </c:pt>
                <c:pt idx="2">
                  <c:v>2013</c:v>
                </c:pt>
                <c:pt idx="3">
                  <c:v>2014</c:v>
                </c:pt>
                <c:pt idx="4">
                  <c:v>2015</c:v>
                </c:pt>
                <c:pt idx="5">
                  <c:v>2016</c:v>
                </c:pt>
              </c:numCache>
            </c:numRef>
          </c:cat>
          <c:val>
            <c:numRef>
              <c:f>'Historical Expense'!$E$128:$J$128</c:f>
              <c:numCache>
                <c:formatCode>0</c:formatCode>
                <c:ptCount val="6"/>
                <c:pt idx="0">
                  <c:v>2686669.82</c:v>
                </c:pt>
                <c:pt idx="1">
                  <c:v>3224077.35</c:v>
                </c:pt>
                <c:pt idx="2">
                  <c:v>3689061.47</c:v>
                </c:pt>
                <c:pt idx="3">
                  <c:v>3417410.05</c:v>
                </c:pt>
                <c:pt idx="4">
                  <c:v>3947481.31</c:v>
                </c:pt>
                <c:pt idx="5">
                  <c:v>5569551</c:v>
                </c:pt>
              </c:numCache>
            </c:numRef>
          </c:val>
          <c:extLst xmlns:c16r2="http://schemas.microsoft.com/office/drawing/2015/06/chart">
            <c:ext xmlns:c16="http://schemas.microsoft.com/office/drawing/2014/chart" uri="{C3380CC4-5D6E-409C-BE32-E72D297353CC}">
              <c16:uniqueId val="{00000000-4012-4D1A-823C-A82162CFC419}"/>
            </c:ext>
          </c:extLst>
        </c:ser>
        <c:ser>
          <c:idx val="0"/>
          <c:order val="1"/>
          <c:tx>
            <c:strRef>
              <c:f>'Historical Expense'!$B$127</c:f>
              <c:strCache>
                <c:ptCount val="1"/>
                <c:pt idx="0">
                  <c:v>Sub-total Fire</c:v>
                </c:pt>
              </c:strCache>
            </c:strRef>
          </c:tx>
          <c:spPr>
            <a:solidFill>
              <a:schemeClr val="accent2"/>
            </a:solidFill>
            <a:ln>
              <a:solidFill>
                <a:schemeClr val="tx1"/>
              </a:solidFill>
            </a:ln>
          </c:spPr>
          <c:invertIfNegative val="0"/>
          <c:dLbls>
            <c:numFmt formatCode="&quot;$&quot;#,##0" sourceLinked="0"/>
            <c:spPr>
              <a:solidFill>
                <a:schemeClr val="bg1"/>
              </a:solidFill>
              <a:ln>
                <a:solidFill>
                  <a:schemeClr val="tx1"/>
                </a:solidFill>
              </a:ln>
            </c:spPr>
            <c:txPr>
              <a:bodyPr/>
              <a:lstStyle/>
              <a:p>
                <a:pPr>
                  <a:defRPr sz="800" b="1">
                    <a:latin typeface="Calibri" panose="020F0502020204030204" pitchFamily="34" charset="0"/>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'Historical Expense'!$E$1:$J$1</c:f>
              <c:numCache>
                <c:formatCode>General</c:formatCode>
                <c:ptCount val="6"/>
                <c:pt idx="0">
                  <c:v>2011</c:v>
                </c:pt>
                <c:pt idx="1">
                  <c:v>2012</c:v>
                </c:pt>
                <c:pt idx="2">
                  <c:v>2013</c:v>
                </c:pt>
                <c:pt idx="3">
                  <c:v>2014</c:v>
                </c:pt>
                <c:pt idx="4">
                  <c:v>2015</c:v>
                </c:pt>
                <c:pt idx="5">
                  <c:v>2016</c:v>
                </c:pt>
              </c:numCache>
            </c:numRef>
          </c:cat>
          <c:val>
            <c:numRef>
              <c:f>'Historical Expense'!$E$127:$J$127</c:f>
              <c:numCache>
                <c:formatCode>0</c:formatCode>
                <c:ptCount val="6"/>
                <c:pt idx="0">
                  <c:v>4280872.1400000006</c:v>
                </c:pt>
                <c:pt idx="1">
                  <c:v>4418654.37</c:v>
                </c:pt>
                <c:pt idx="2">
                  <c:v>5660320.4800000004</c:v>
                </c:pt>
                <c:pt idx="3">
                  <c:v>5327427.57</c:v>
                </c:pt>
                <c:pt idx="4">
                  <c:v>6335610.9799999995</c:v>
                </c:pt>
                <c:pt idx="5">
                  <c:v>5602747</c:v>
                </c:pt>
              </c:numCache>
            </c:numRef>
          </c:val>
          <c:extLst xmlns:c16r2="http://schemas.microsoft.com/office/drawing/2015/06/chart">
            <c:ext xmlns:c16="http://schemas.microsoft.com/office/drawing/2014/chart" uri="{C3380CC4-5D6E-409C-BE32-E72D297353CC}">
              <c16:uniqueId val="{00000001-4012-4D1A-823C-A82162CFC419}"/>
            </c:ext>
          </c:extLst>
        </c:ser>
        <c:dLbls>
          <c:showLegendKey val="0"/>
          <c:showVal val="0"/>
          <c:showCatName val="0"/>
          <c:showSerName val="0"/>
          <c:showPercent val="0"/>
          <c:showBubbleSize val="0"/>
        </c:dLbls>
        <c:gapWidth val="150"/>
        <c:overlap val="100"/>
        <c:axId val="225696768"/>
        <c:axId val="225714944"/>
      </c:barChart>
      <c:lineChart>
        <c:grouping val="standard"/>
        <c:varyColors val="0"/>
        <c:ser>
          <c:idx val="2"/>
          <c:order val="2"/>
          <c:tx>
            <c:strRef>
              <c:f>'Historical Expense'!$B$129</c:f>
              <c:strCache>
                <c:ptCount val="1"/>
                <c:pt idx="0">
                  <c:v>Total Department</c:v>
                </c:pt>
              </c:strCache>
            </c:strRef>
          </c:tx>
          <c:spPr>
            <a:ln w="22225">
              <a:prstDash val="sysDash"/>
            </a:ln>
          </c:spPr>
          <c:marker>
            <c:symbol val="triangle"/>
            <c:size val="6"/>
            <c:spPr>
              <a:ln>
                <a:solidFill>
                  <a:schemeClr val="tx1"/>
                </a:solidFill>
              </a:ln>
            </c:spPr>
          </c:marker>
          <c:dLbls>
            <c:dLbl>
              <c:idx val="1"/>
              <c:layout>
                <c:manualLayout>
                  <c:x val="-5.6968860765516091E-2"/>
                  <c:y val="-4.7762616204637308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4012-4D1A-823C-A82162CFC419}"/>
                </c:ext>
              </c:extLst>
            </c:dLbl>
            <c:dLbl>
              <c:idx val="2"/>
              <c:layout>
                <c:manualLayout>
                  <c:x val="-5.4954762074680245E-2"/>
                  <c:y val="-5.7725255001715353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4012-4D1A-823C-A82162CFC419}"/>
                </c:ext>
              </c:extLst>
            </c:dLbl>
            <c:dLbl>
              <c:idx val="5"/>
              <c:layout>
                <c:manualLayout>
                  <c:x val="-5.9038307522737907E-2"/>
                  <c:y val="-3.1158218209507232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4012-4D1A-823C-A82162CFC419}"/>
                </c:ext>
              </c:extLst>
            </c:dLbl>
            <c:numFmt formatCode="&quot;$&quot;#,##0" sourceLinked="0"/>
            <c:spPr>
              <a:noFill/>
              <a:ln>
                <a:noFill/>
              </a:ln>
              <a:effectLst/>
            </c:spPr>
            <c:txPr>
              <a:bodyPr/>
              <a:lstStyle/>
              <a:p>
                <a:pPr>
                  <a:defRPr sz="800" b="1">
                    <a:latin typeface="Calibri" panose="020F0502020204030204" pitchFamily="34" charset="0"/>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'Historical Expense'!$E$1:$J$1</c:f>
              <c:numCache>
                <c:formatCode>General</c:formatCode>
                <c:ptCount val="6"/>
                <c:pt idx="0">
                  <c:v>2011</c:v>
                </c:pt>
                <c:pt idx="1">
                  <c:v>2012</c:v>
                </c:pt>
                <c:pt idx="2">
                  <c:v>2013</c:v>
                </c:pt>
                <c:pt idx="3">
                  <c:v>2014</c:v>
                </c:pt>
                <c:pt idx="4">
                  <c:v>2015</c:v>
                </c:pt>
                <c:pt idx="5">
                  <c:v>2016</c:v>
                </c:pt>
              </c:numCache>
            </c:numRef>
          </c:cat>
          <c:val>
            <c:numRef>
              <c:f>'Historical Expense'!$E$129:$J$129</c:f>
              <c:numCache>
                <c:formatCode>0</c:formatCode>
                <c:ptCount val="6"/>
                <c:pt idx="0">
                  <c:v>6967541.9600000009</c:v>
                </c:pt>
                <c:pt idx="1">
                  <c:v>7642731.7200000007</c:v>
                </c:pt>
                <c:pt idx="2">
                  <c:v>9349381.9500000011</c:v>
                </c:pt>
                <c:pt idx="3">
                  <c:v>8744837.620000001</c:v>
                </c:pt>
                <c:pt idx="4">
                  <c:v>10283092.289999999</c:v>
                </c:pt>
                <c:pt idx="5">
                  <c:v>11172298</c:v>
                </c:pt>
              </c:numCache>
            </c:numRef>
          </c:val>
          <c:smooth val="0"/>
          <c:extLst xmlns:c16r2="http://schemas.microsoft.com/office/drawing/2015/06/chart">
            <c:ext xmlns:c16="http://schemas.microsoft.com/office/drawing/2014/chart" uri="{C3380CC4-5D6E-409C-BE32-E72D297353CC}">
              <c16:uniqueId val="{00000005-4012-4D1A-823C-A82162CFC419}"/>
            </c:ext>
          </c:extLst>
        </c:ser>
        <c:dLbls>
          <c:showLegendKey val="0"/>
          <c:showVal val="0"/>
          <c:showCatName val="0"/>
          <c:showSerName val="0"/>
          <c:showPercent val="0"/>
          <c:showBubbleSize val="0"/>
        </c:dLbls>
        <c:marker val="1"/>
        <c:smooth val="0"/>
        <c:axId val="225696768"/>
        <c:axId val="225714944"/>
      </c:lineChart>
      <c:catAx>
        <c:axId val="225696768"/>
        <c:scaling>
          <c:orientation val="minMax"/>
        </c:scaling>
        <c:delete val="0"/>
        <c:axPos val="b"/>
        <c:numFmt formatCode="General" sourceLinked="1"/>
        <c:majorTickMark val="out"/>
        <c:minorTickMark val="none"/>
        <c:tickLblPos val="nextTo"/>
        <c:spPr>
          <a:noFill/>
          <a:ln>
            <a:noFill/>
          </a:ln>
        </c:spPr>
        <c:txPr>
          <a:bodyPr/>
          <a:lstStyle/>
          <a:p>
            <a:pPr>
              <a:defRPr sz="1000" b="0">
                <a:latin typeface="Calibri" panose="020F0502020204030204" pitchFamily="34" charset="0"/>
              </a:defRPr>
            </a:pPr>
            <a:endParaRPr lang="en-US"/>
          </a:p>
        </c:txPr>
        <c:crossAx val="225714944"/>
        <c:crosses val="autoZero"/>
        <c:auto val="1"/>
        <c:lblAlgn val="ctr"/>
        <c:lblOffset val="100"/>
        <c:noMultiLvlLbl val="0"/>
      </c:catAx>
      <c:valAx>
        <c:axId val="225714944"/>
        <c:scaling>
          <c:orientation val="minMax"/>
        </c:scaling>
        <c:delete val="0"/>
        <c:axPos val="l"/>
        <c:majorGridlines/>
        <c:numFmt formatCode="&quot;$&quot;#,##0" sourceLinked="0"/>
        <c:majorTickMark val="out"/>
        <c:minorTickMark val="none"/>
        <c:tickLblPos val="nextTo"/>
        <c:txPr>
          <a:bodyPr/>
          <a:lstStyle/>
          <a:p>
            <a:pPr>
              <a:defRPr sz="1000" b="0">
                <a:latin typeface="Calibri" panose="020F0502020204030204" pitchFamily="34" charset="0"/>
              </a:defRPr>
            </a:pPr>
            <a:endParaRPr lang="en-US"/>
          </a:p>
        </c:txPr>
        <c:crossAx val="225696768"/>
        <c:crosses val="autoZero"/>
        <c:crossBetween val="between"/>
      </c:valAx>
      <c:spPr>
        <a:ln>
          <a:solidFill>
            <a:schemeClr val="tx1"/>
          </a:solidFill>
        </a:ln>
      </c:spPr>
    </c:plotArea>
    <c:legend>
      <c:legendPos val="r"/>
      <c:layout>
        <c:manualLayout>
          <c:xMode val="edge"/>
          <c:yMode val="edge"/>
          <c:x val="0.17355843700556761"/>
          <c:y val="4.4081179993345904E-2"/>
          <c:w val="0.31604094303677766"/>
          <c:h val="0.17224649735684447"/>
        </c:manualLayout>
      </c:layout>
      <c:overlay val="0"/>
      <c:spPr>
        <a:solidFill>
          <a:schemeClr val="bg1"/>
        </a:solidFill>
        <a:ln>
          <a:solidFill>
            <a:schemeClr val="tx1"/>
          </a:solidFill>
        </a:ln>
      </c:spPr>
      <c:txPr>
        <a:bodyPr/>
        <a:lstStyle/>
        <a:p>
          <a:pPr>
            <a:defRPr sz="1000" b="1">
              <a:latin typeface="Calibri" panose="020F0502020204030204" pitchFamily="34" charset="0"/>
            </a:defRPr>
          </a:pPr>
          <a:endParaRPr lang="en-US"/>
        </a:p>
      </c:txPr>
    </c:legend>
    <c:plotVisOnly val="1"/>
    <c:dispBlanksAs val="gap"/>
    <c:showDLblsOverMax val="0"/>
  </c:chart>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5619763541641887"/>
          <c:y val="0.10328772310035228"/>
          <c:w val="0.73510780185709412"/>
          <c:h val="0.76851534194077431"/>
        </c:manualLayout>
      </c:layout>
      <c:barChart>
        <c:barDir val="col"/>
        <c:grouping val="clustered"/>
        <c:varyColors val="0"/>
        <c:ser>
          <c:idx val="1"/>
          <c:order val="0"/>
          <c:tx>
            <c:strRef>
              <c:f>'Historical Expense'!$B$131</c:f>
              <c:strCache>
                <c:ptCount val="1"/>
                <c:pt idx="0">
                  <c:v>Sub-total Ambulance</c:v>
                </c:pt>
              </c:strCache>
            </c:strRef>
          </c:tx>
          <c:spPr>
            <a:solidFill>
              <a:schemeClr val="accent1"/>
            </a:solidFill>
            <a:ln>
              <a:solidFill>
                <a:schemeClr val="tx1"/>
              </a:solidFill>
            </a:ln>
          </c:spPr>
          <c:invertIfNegative val="0"/>
          <c:dLbls>
            <c:dLbl>
              <c:idx val="5"/>
              <c:layout>
                <c:manualLayout>
                  <c:x val="-1.2084592145015106E-2"/>
                  <c:y val="0.22271622848488398"/>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D8EA-4CE1-A68D-A0853431DAC7}"/>
                </c:ext>
              </c:extLst>
            </c:dLbl>
            <c:numFmt formatCode="0.0%" sourceLinked="0"/>
            <c:spPr>
              <a:solidFill>
                <a:schemeClr val="bg1"/>
              </a:solidFill>
              <a:ln>
                <a:solidFill>
                  <a:schemeClr val="tx1"/>
                </a:solidFill>
              </a:ln>
            </c:spPr>
            <c:txPr>
              <a:bodyPr/>
              <a:lstStyle/>
              <a:p>
                <a:pPr>
                  <a:defRPr sz="800" b="1">
                    <a:latin typeface="Calibri" panose="020F0502020204030204" pitchFamily="34" charset="0"/>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'Historical Expense'!$E$1:$J$1</c:f>
              <c:numCache>
                <c:formatCode>General</c:formatCode>
                <c:ptCount val="6"/>
                <c:pt idx="0">
                  <c:v>2011</c:v>
                </c:pt>
                <c:pt idx="1">
                  <c:v>2012</c:v>
                </c:pt>
                <c:pt idx="2">
                  <c:v>2013</c:v>
                </c:pt>
                <c:pt idx="3">
                  <c:v>2014</c:v>
                </c:pt>
                <c:pt idx="4">
                  <c:v>2015</c:v>
                </c:pt>
                <c:pt idx="5">
                  <c:v>2016</c:v>
                </c:pt>
              </c:numCache>
            </c:numRef>
          </c:cat>
          <c:val>
            <c:numRef>
              <c:f>'Historical Expense'!$E$131:$J$131</c:f>
              <c:numCache>
                <c:formatCode>0.0%</c:formatCode>
                <c:ptCount val="6"/>
                <c:pt idx="0">
                  <c:v>0.3855979390470724</c:v>
                </c:pt>
                <c:pt idx="1">
                  <c:v>0.42184881899792759</c:v>
                </c:pt>
                <c:pt idx="2">
                  <c:v>0.3945781111231636</c:v>
                </c:pt>
                <c:pt idx="3">
                  <c:v>0.39079171032108878</c:v>
                </c:pt>
                <c:pt idx="4">
                  <c:v>0.38388076258333381</c:v>
                </c:pt>
                <c:pt idx="5">
                  <c:v>0.49851436114575531</c:v>
                </c:pt>
              </c:numCache>
            </c:numRef>
          </c:val>
          <c:extLst xmlns:c16r2="http://schemas.microsoft.com/office/drawing/2015/06/chart">
            <c:ext xmlns:c16="http://schemas.microsoft.com/office/drawing/2014/chart" uri="{C3380CC4-5D6E-409C-BE32-E72D297353CC}">
              <c16:uniqueId val="{00000001-D8EA-4CE1-A68D-A0853431DAC7}"/>
            </c:ext>
          </c:extLst>
        </c:ser>
        <c:ser>
          <c:idx val="0"/>
          <c:order val="1"/>
          <c:tx>
            <c:strRef>
              <c:f>'Historical Expense'!$B$130</c:f>
              <c:strCache>
                <c:ptCount val="1"/>
                <c:pt idx="0">
                  <c:v>Sub-total Fire</c:v>
                </c:pt>
              </c:strCache>
            </c:strRef>
          </c:tx>
          <c:spPr>
            <a:solidFill>
              <a:schemeClr val="accent2"/>
            </a:solidFill>
            <a:ln>
              <a:solidFill>
                <a:schemeClr val="tx1"/>
              </a:solidFill>
            </a:ln>
          </c:spPr>
          <c:invertIfNegative val="0"/>
          <c:dLbls>
            <c:dLbl>
              <c:idx val="5"/>
              <c:layout>
                <c:manualLayout>
                  <c:x val="1.0070493454179255E-2"/>
                  <c:y val="0.22053699930549164"/>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D8EA-4CE1-A68D-A0853431DAC7}"/>
                </c:ext>
              </c:extLst>
            </c:dLbl>
            <c:numFmt formatCode="0.0%" sourceLinked="0"/>
            <c:spPr>
              <a:solidFill>
                <a:schemeClr val="bg1"/>
              </a:solidFill>
              <a:ln>
                <a:solidFill>
                  <a:schemeClr val="tx1"/>
                </a:solidFill>
              </a:ln>
            </c:spPr>
            <c:txPr>
              <a:bodyPr/>
              <a:lstStyle/>
              <a:p>
                <a:pPr>
                  <a:defRPr sz="800" b="1">
                    <a:latin typeface="Calibri" panose="020F0502020204030204" pitchFamily="34" charset="0"/>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'Historical Expense'!$E$1:$J$1</c:f>
              <c:numCache>
                <c:formatCode>General</c:formatCode>
                <c:ptCount val="6"/>
                <c:pt idx="0">
                  <c:v>2011</c:v>
                </c:pt>
                <c:pt idx="1">
                  <c:v>2012</c:v>
                </c:pt>
                <c:pt idx="2">
                  <c:v>2013</c:v>
                </c:pt>
                <c:pt idx="3">
                  <c:v>2014</c:v>
                </c:pt>
                <c:pt idx="4">
                  <c:v>2015</c:v>
                </c:pt>
                <c:pt idx="5">
                  <c:v>2016</c:v>
                </c:pt>
              </c:numCache>
            </c:numRef>
          </c:cat>
          <c:val>
            <c:numRef>
              <c:f>'Historical Expense'!$E$130:$J$130</c:f>
              <c:numCache>
                <c:formatCode>0.0%</c:formatCode>
                <c:ptCount val="6"/>
                <c:pt idx="0">
                  <c:v>0.61440206095292749</c:v>
                </c:pt>
                <c:pt idx="1">
                  <c:v>0.5781511810020723</c:v>
                </c:pt>
                <c:pt idx="2">
                  <c:v>0.60542188887683634</c:v>
                </c:pt>
                <c:pt idx="3">
                  <c:v>0.60920828967891116</c:v>
                </c:pt>
                <c:pt idx="4">
                  <c:v>0.61611923741666619</c:v>
                </c:pt>
                <c:pt idx="5">
                  <c:v>0.50148563885424469</c:v>
                </c:pt>
              </c:numCache>
            </c:numRef>
          </c:val>
          <c:extLst xmlns:c16r2="http://schemas.microsoft.com/office/drawing/2015/06/chart">
            <c:ext xmlns:c16="http://schemas.microsoft.com/office/drawing/2014/chart" uri="{C3380CC4-5D6E-409C-BE32-E72D297353CC}">
              <c16:uniqueId val="{00000003-D8EA-4CE1-A68D-A0853431DAC7}"/>
            </c:ext>
          </c:extLst>
        </c:ser>
        <c:dLbls>
          <c:showLegendKey val="0"/>
          <c:showVal val="0"/>
          <c:showCatName val="0"/>
          <c:showSerName val="0"/>
          <c:showPercent val="0"/>
          <c:showBubbleSize val="0"/>
        </c:dLbls>
        <c:gapWidth val="150"/>
        <c:axId val="225780096"/>
        <c:axId val="225778304"/>
      </c:barChart>
      <c:lineChart>
        <c:grouping val="standard"/>
        <c:varyColors val="0"/>
        <c:ser>
          <c:idx val="2"/>
          <c:order val="2"/>
          <c:tx>
            <c:strRef>
              <c:f>'Historical Expense'!$B$129</c:f>
              <c:strCache>
                <c:ptCount val="1"/>
                <c:pt idx="0">
                  <c:v>Total Department</c:v>
                </c:pt>
              </c:strCache>
            </c:strRef>
          </c:tx>
          <c:spPr>
            <a:ln w="22225">
              <a:prstDash val="sysDash"/>
            </a:ln>
          </c:spPr>
          <c:marker>
            <c:symbol val="triangle"/>
            <c:size val="6"/>
            <c:spPr>
              <a:ln>
                <a:solidFill>
                  <a:schemeClr val="tx1"/>
                </a:solidFill>
              </a:ln>
            </c:spPr>
          </c:marker>
          <c:dLbls>
            <c:dLbl>
              <c:idx val="1"/>
              <c:layout>
                <c:manualLayout>
                  <c:x val="-5.6968860765516091E-2"/>
                  <c:y val="-4.7762616204637308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D8EA-4CE1-A68D-A0853431DAC7}"/>
                </c:ext>
              </c:extLst>
            </c:dLbl>
            <c:dLbl>
              <c:idx val="2"/>
              <c:layout>
                <c:manualLayout>
                  <c:x val="-6.0997058147187797E-2"/>
                  <c:y val="-4.4441736605611293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D8EA-4CE1-A68D-A0853431DAC7}"/>
                </c:ext>
              </c:extLst>
            </c:dLbl>
            <c:dLbl>
              <c:idx val="5"/>
              <c:layout>
                <c:manualLayout>
                  <c:x val="-5.9038307522737907E-2"/>
                  <c:y val="-3.7799977407559263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D8EA-4CE1-A68D-A0853431DAC7}"/>
                </c:ext>
              </c:extLst>
            </c:dLbl>
            <c:numFmt formatCode="&quot;$&quot;#,##0" sourceLinked="0"/>
            <c:spPr>
              <a:solidFill>
                <a:schemeClr val="bg1"/>
              </a:solidFill>
              <a:ln>
                <a:solidFill>
                  <a:schemeClr val="tx1"/>
                </a:solidFill>
              </a:ln>
            </c:spPr>
            <c:txPr>
              <a:bodyPr/>
              <a:lstStyle/>
              <a:p>
                <a:pPr>
                  <a:defRPr sz="800" b="1">
                    <a:latin typeface="Calibri" panose="020F0502020204030204" pitchFamily="34" charset="0"/>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'Historical Expense'!$E$1:$J$1</c:f>
              <c:numCache>
                <c:formatCode>General</c:formatCode>
                <c:ptCount val="6"/>
                <c:pt idx="0">
                  <c:v>2011</c:v>
                </c:pt>
                <c:pt idx="1">
                  <c:v>2012</c:v>
                </c:pt>
                <c:pt idx="2">
                  <c:v>2013</c:v>
                </c:pt>
                <c:pt idx="3">
                  <c:v>2014</c:v>
                </c:pt>
                <c:pt idx="4">
                  <c:v>2015</c:v>
                </c:pt>
                <c:pt idx="5">
                  <c:v>2016</c:v>
                </c:pt>
              </c:numCache>
            </c:numRef>
          </c:cat>
          <c:val>
            <c:numRef>
              <c:f>'Historical Expense'!$E$129:$J$129</c:f>
              <c:numCache>
                <c:formatCode>0</c:formatCode>
                <c:ptCount val="6"/>
                <c:pt idx="0">
                  <c:v>6967541.9600000009</c:v>
                </c:pt>
                <c:pt idx="1">
                  <c:v>7642731.7200000007</c:v>
                </c:pt>
                <c:pt idx="2">
                  <c:v>9349381.9500000011</c:v>
                </c:pt>
                <c:pt idx="3">
                  <c:v>8744837.620000001</c:v>
                </c:pt>
                <c:pt idx="4">
                  <c:v>10283092.289999999</c:v>
                </c:pt>
                <c:pt idx="5">
                  <c:v>11172298</c:v>
                </c:pt>
              </c:numCache>
            </c:numRef>
          </c:val>
          <c:smooth val="0"/>
          <c:extLst xmlns:c16r2="http://schemas.microsoft.com/office/drawing/2015/06/chart">
            <c:ext xmlns:c16="http://schemas.microsoft.com/office/drawing/2014/chart" uri="{C3380CC4-5D6E-409C-BE32-E72D297353CC}">
              <c16:uniqueId val="{00000007-D8EA-4CE1-A68D-A0853431DAC7}"/>
            </c:ext>
          </c:extLst>
        </c:ser>
        <c:dLbls>
          <c:showLegendKey val="0"/>
          <c:showVal val="0"/>
          <c:showCatName val="0"/>
          <c:showSerName val="0"/>
          <c:showPercent val="0"/>
          <c:showBubbleSize val="0"/>
        </c:dLbls>
        <c:marker val="1"/>
        <c:smooth val="0"/>
        <c:axId val="225762688"/>
        <c:axId val="225776768"/>
      </c:lineChart>
      <c:catAx>
        <c:axId val="225762688"/>
        <c:scaling>
          <c:orientation val="minMax"/>
        </c:scaling>
        <c:delete val="0"/>
        <c:axPos val="b"/>
        <c:numFmt formatCode="General" sourceLinked="1"/>
        <c:majorTickMark val="out"/>
        <c:minorTickMark val="none"/>
        <c:tickLblPos val="nextTo"/>
        <c:spPr>
          <a:noFill/>
          <a:ln>
            <a:noFill/>
          </a:ln>
        </c:spPr>
        <c:txPr>
          <a:bodyPr/>
          <a:lstStyle/>
          <a:p>
            <a:pPr>
              <a:defRPr sz="1000" b="0">
                <a:latin typeface="Calibri" panose="020F0502020204030204" pitchFamily="34" charset="0"/>
              </a:defRPr>
            </a:pPr>
            <a:endParaRPr lang="en-US"/>
          </a:p>
        </c:txPr>
        <c:crossAx val="225776768"/>
        <c:crosses val="autoZero"/>
        <c:auto val="1"/>
        <c:lblAlgn val="ctr"/>
        <c:lblOffset val="100"/>
        <c:noMultiLvlLbl val="0"/>
      </c:catAx>
      <c:valAx>
        <c:axId val="225776768"/>
        <c:scaling>
          <c:orientation val="minMax"/>
          <c:max val="12000000"/>
          <c:min val="2000000"/>
        </c:scaling>
        <c:delete val="0"/>
        <c:axPos val="l"/>
        <c:majorGridlines/>
        <c:numFmt formatCode="&quot;$&quot;#,##0" sourceLinked="0"/>
        <c:majorTickMark val="out"/>
        <c:minorTickMark val="none"/>
        <c:tickLblPos val="nextTo"/>
        <c:txPr>
          <a:bodyPr/>
          <a:lstStyle/>
          <a:p>
            <a:pPr>
              <a:defRPr sz="1000" b="0">
                <a:latin typeface="+mj-lt"/>
              </a:defRPr>
            </a:pPr>
            <a:endParaRPr lang="en-US"/>
          </a:p>
        </c:txPr>
        <c:crossAx val="225762688"/>
        <c:crosses val="autoZero"/>
        <c:crossBetween val="between"/>
      </c:valAx>
      <c:valAx>
        <c:axId val="225778304"/>
        <c:scaling>
          <c:orientation val="minMax"/>
          <c:max val="1"/>
          <c:min val="0"/>
        </c:scaling>
        <c:delete val="0"/>
        <c:axPos val="r"/>
        <c:numFmt formatCode="0.0%" sourceLinked="1"/>
        <c:majorTickMark val="out"/>
        <c:minorTickMark val="none"/>
        <c:tickLblPos val="nextTo"/>
        <c:txPr>
          <a:bodyPr/>
          <a:lstStyle/>
          <a:p>
            <a:pPr>
              <a:defRPr sz="1000" b="0">
                <a:latin typeface="Calibri" panose="020F0502020204030204" pitchFamily="34" charset="0"/>
              </a:defRPr>
            </a:pPr>
            <a:endParaRPr lang="en-US"/>
          </a:p>
        </c:txPr>
        <c:crossAx val="225780096"/>
        <c:crosses val="max"/>
        <c:crossBetween val="between"/>
      </c:valAx>
      <c:catAx>
        <c:axId val="225780096"/>
        <c:scaling>
          <c:orientation val="minMax"/>
        </c:scaling>
        <c:delete val="1"/>
        <c:axPos val="b"/>
        <c:numFmt formatCode="General" sourceLinked="1"/>
        <c:majorTickMark val="out"/>
        <c:minorTickMark val="none"/>
        <c:tickLblPos val="nextTo"/>
        <c:crossAx val="225778304"/>
        <c:crosses val="autoZero"/>
        <c:auto val="1"/>
        <c:lblAlgn val="ctr"/>
        <c:lblOffset val="100"/>
        <c:noMultiLvlLbl val="0"/>
      </c:catAx>
      <c:spPr>
        <a:ln>
          <a:solidFill>
            <a:schemeClr val="tx1"/>
          </a:solidFill>
        </a:ln>
      </c:spPr>
    </c:plotArea>
    <c:legend>
      <c:legendPos val="r"/>
      <c:layout>
        <c:manualLayout>
          <c:xMode val="edge"/>
          <c:yMode val="edge"/>
          <c:x val="0.19406760710802387"/>
          <c:y val="3.8585221615108488E-2"/>
          <c:w val="0.33968789958947437"/>
          <c:h val="0.17846056252031939"/>
        </c:manualLayout>
      </c:layout>
      <c:overlay val="0"/>
      <c:spPr>
        <a:solidFill>
          <a:schemeClr val="bg1"/>
        </a:solidFill>
        <a:ln>
          <a:solidFill>
            <a:schemeClr val="tx1"/>
          </a:solidFill>
        </a:ln>
      </c:spPr>
      <c:txPr>
        <a:bodyPr/>
        <a:lstStyle/>
        <a:p>
          <a:pPr>
            <a:defRPr sz="1000" b="1">
              <a:latin typeface="Calibri" panose="020F0502020204030204" pitchFamily="34" charset="0"/>
            </a:defRPr>
          </a:pPr>
          <a:endParaRPr lang="en-US"/>
        </a:p>
      </c:txPr>
    </c:legend>
    <c:plotVisOnly val="1"/>
    <c:dispBlanksAs val="gap"/>
    <c:showDLblsOverMax val="0"/>
  </c:chart>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7715534776902886"/>
          <c:y val="0.10232648002333042"/>
          <c:w val="0.72701099081364828"/>
          <c:h val="0.69668769626155136"/>
        </c:manualLayout>
      </c:layout>
      <c:barChart>
        <c:barDir val="col"/>
        <c:grouping val="clustered"/>
        <c:varyColors val="0"/>
        <c:ser>
          <c:idx val="2"/>
          <c:order val="2"/>
          <c:tx>
            <c:strRef>
              <c:f>'Historical Expense'!$BB$76</c:f>
              <c:strCache>
                <c:ptCount val="1"/>
                <c:pt idx="0">
                  <c:v>Total FTEs</c:v>
                </c:pt>
              </c:strCache>
            </c:strRef>
          </c:tx>
          <c:invertIfNegative val="0"/>
          <c:dLbls>
            <c:spPr>
              <a:noFill/>
              <a:ln>
                <a:noFill/>
              </a:ln>
              <a:effectLst/>
            </c:spPr>
            <c:txPr>
              <a:bodyPr/>
              <a:lstStyle/>
              <a:p>
                <a:pPr>
                  <a:defRPr sz="800" b="1"/>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'Historical Expense'!$E$1:$J$1</c:f>
              <c:numCache>
                <c:formatCode>General</c:formatCode>
                <c:ptCount val="6"/>
                <c:pt idx="0">
                  <c:v>2011</c:v>
                </c:pt>
                <c:pt idx="1">
                  <c:v>2012</c:v>
                </c:pt>
                <c:pt idx="2">
                  <c:v>2013</c:v>
                </c:pt>
                <c:pt idx="3">
                  <c:v>2014</c:v>
                </c:pt>
                <c:pt idx="4">
                  <c:v>2015</c:v>
                </c:pt>
                <c:pt idx="5">
                  <c:v>2016</c:v>
                </c:pt>
              </c:numCache>
            </c:numRef>
          </c:cat>
          <c:val>
            <c:numRef>
              <c:f>'Historical Expense'!$BF$76:$BK$76</c:f>
              <c:numCache>
                <c:formatCode>General</c:formatCode>
                <c:ptCount val="6"/>
                <c:pt idx="0">
                  <c:v>51.2</c:v>
                </c:pt>
                <c:pt idx="1">
                  <c:v>52.2</c:v>
                </c:pt>
                <c:pt idx="2">
                  <c:v>60.2</c:v>
                </c:pt>
                <c:pt idx="3">
                  <c:v>56.2</c:v>
                </c:pt>
                <c:pt idx="4">
                  <c:v>63.2</c:v>
                </c:pt>
                <c:pt idx="5">
                  <c:v>66.2</c:v>
                </c:pt>
              </c:numCache>
            </c:numRef>
          </c:val>
          <c:extLst xmlns:c16r2="http://schemas.microsoft.com/office/drawing/2015/06/chart">
            <c:ext xmlns:c16="http://schemas.microsoft.com/office/drawing/2014/chart" uri="{C3380CC4-5D6E-409C-BE32-E72D297353CC}">
              <c16:uniqueId val="{00000000-4831-4398-9E4E-65BC4C976322}"/>
            </c:ext>
          </c:extLst>
        </c:ser>
        <c:dLbls>
          <c:showLegendKey val="0"/>
          <c:showVal val="0"/>
          <c:showCatName val="0"/>
          <c:showSerName val="0"/>
          <c:showPercent val="0"/>
          <c:showBubbleSize val="0"/>
        </c:dLbls>
        <c:gapWidth val="150"/>
        <c:axId val="225833344"/>
        <c:axId val="225823360"/>
      </c:barChart>
      <c:lineChart>
        <c:grouping val="standard"/>
        <c:varyColors val="0"/>
        <c:ser>
          <c:idx val="0"/>
          <c:order val="0"/>
          <c:tx>
            <c:strRef>
              <c:f>'Historical Expense'!$D$21</c:f>
              <c:strCache>
                <c:ptCount val="1"/>
                <c:pt idx="0">
                  <c:v>Wages</c:v>
                </c:pt>
              </c:strCache>
            </c:strRef>
          </c:tx>
          <c:marker>
            <c:symbol val="diamond"/>
            <c:size val="8"/>
          </c:marker>
          <c:dLbls>
            <c:dLbl>
              <c:idx val="0"/>
              <c:layout>
                <c:manualLayout>
                  <c:x val="-6.5334291314144366E-2"/>
                  <c:y val="-6.4357272561473625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4831-4398-9E4E-65BC4C976322}"/>
                </c:ext>
              </c:extLst>
            </c:dLbl>
            <c:dLbl>
              <c:idx val="1"/>
              <c:layout>
                <c:manualLayout>
                  <c:x val="-8.6966866571846116E-2"/>
                  <c:y val="-7.2413350143920835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4831-4398-9E4E-65BC4C976322}"/>
                </c:ext>
              </c:extLst>
            </c:dLbl>
            <c:dLbl>
              <c:idx val="2"/>
              <c:layout>
                <c:manualLayout>
                  <c:x val="-7.0229768764937903E-2"/>
                  <c:y val="-3.8256960999141165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4831-4398-9E4E-65BC4C976322}"/>
                </c:ext>
              </c:extLst>
            </c:dLbl>
            <c:dLbl>
              <c:idx val="3"/>
              <c:layout>
                <c:manualLayout>
                  <c:x val="-5.9968996062992129E-2"/>
                  <c:y val="-8.2695110123738036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4831-4398-9E4E-65BC4C976322}"/>
                </c:ext>
              </c:extLst>
            </c:dLbl>
            <c:dLbl>
              <c:idx val="4"/>
              <c:layout>
                <c:manualLayout>
                  <c:x val="-6.101049868766404E-2"/>
                  <c:y val="-3.779996752337493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4831-4398-9E4E-65BC4C976322}"/>
                </c:ext>
              </c:extLst>
            </c:dLbl>
            <c:dLbl>
              <c:idx val="5"/>
              <c:layout>
                <c:manualLayout>
                  <c:x val="-6.3093832020997373E-2"/>
                  <c:y val="-3.4479088792714149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4831-4398-9E4E-65BC4C976322}"/>
                </c:ext>
              </c:extLst>
            </c:dLbl>
            <c:numFmt formatCode="&quot;$&quot;#,##0" sourceLinked="0"/>
            <c:spPr>
              <a:noFill/>
              <a:ln>
                <a:noFill/>
              </a:ln>
              <a:effectLst/>
            </c:spPr>
            <c:txPr>
              <a:bodyPr/>
              <a:lstStyle/>
              <a:p>
                <a:pPr>
                  <a:defRPr sz="800" b="1"/>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'Historical Expense'!$E$1:$J$1</c:f>
              <c:numCache>
                <c:formatCode>General</c:formatCode>
                <c:ptCount val="6"/>
                <c:pt idx="0">
                  <c:v>2011</c:v>
                </c:pt>
                <c:pt idx="1">
                  <c:v>2012</c:v>
                </c:pt>
                <c:pt idx="2">
                  <c:v>2013</c:v>
                </c:pt>
                <c:pt idx="3">
                  <c:v>2014</c:v>
                </c:pt>
                <c:pt idx="4">
                  <c:v>2015</c:v>
                </c:pt>
                <c:pt idx="5">
                  <c:v>2016</c:v>
                </c:pt>
              </c:numCache>
            </c:numRef>
          </c:cat>
          <c:val>
            <c:numRef>
              <c:f>'Historical Expense'!$E$21:$J$21</c:f>
              <c:numCache>
                <c:formatCode>0</c:formatCode>
                <c:ptCount val="6"/>
                <c:pt idx="0">
                  <c:v>4606829.8099999996</c:v>
                </c:pt>
                <c:pt idx="1">
                  <c:v>4811110.8900000006</c:v>
                </c:pt>
                <c:pt idx="2">
                  <c:v>6317891.7700000005</c:v>
                </c:pt>
                <c:pt idx="3">
                  <c:v>5390745.9199999999</c:v>
                </c:pt>
                <c:pt idx="4">
                  <c:v>6405473.2000000002</c:v>
                </c:pt>
                <c:pt idx="5">
                  <c:v>6426406</c:v>
                </c:pt>
              </c:numCache>
            </c:numRef>
          </c:val>
          <c:smooth val="0"/>
          <c:extLst xmlns:c16r2="http://schemas.microsoft.com/office/drawing/2015/06/chart">
            <c:ext xmlns:c16="http://schemas.microsoft.com/office/drawing/2014/chart" uri="{C3380CC4-5D6E-409C-BE32-E72D297353CC}">
              <c16:uniqueId val="{00000007-4831-4398-9E4E-65BC4C976322}"/>
            </c:ext>
          </c:extLst>
        </c:ser>
        <c:ser>
          <c:idx val="1"/>
          <c:order val="1"/>
          <c:tx>
            <c:strRef>
              <c:f>'Historical Expense'!$D$22</c:f>
              <c:strCache>
                <c:ptCount val="1"/>
                <c:pt idx="0">
                  <c:v>Benefits</c:v>
                </c:pt>
              </c:strCache>
            </c:strRef>
          </c:tx>
          <c:dLbls>
            <c:numFmt formatCode="&quot;$&quot;#,##0" sourceLinked="0"/>
            <c:spPr>
              <a:solidFill>
                <a:schemeClr val="bg1"/>
              </a:solidFill>
            </c:spPr>
            <c:txPr>
              <a:bodyPr/>
              <a:lstStyle/>
              <a:p>
                <a:pPr>
                  <a:defRPr sz="800" b="1"/>
                </a:pPr>
                <a:endParaRPr lang="en-US"/>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'Historical Expense'!$E$1:$J$1</c:f>
              <c:numCache>
                <c:formatCode>General</c:formatCode>
                <c:ptCount val="6"/>
                <c:pt idx="0">
                  <c:v>2011</c:v>
                </c:pt>
                <c:pt idx="1">
                  <c:v>2012</c:v>
                </c:pt>
                <c:pt idx="2">
                  <c:v>2013</c:v>
                </c:pt>
                <c:pt idx="3">
                  <c:v>2014</c:v>
                </c:pt>
                <c:pt idx="4">
                  <c:v>2015</c:v>
                </c:pt>
                <c:pt idx="5">
                  <c:v>2016</c:v>
                </c:pt>
              </c:numCache>
            </c:numRef>
          </c:cat>
          <c:val>
            <c:numRef>
              <c:f>'Historical Expense'!$E$22:$J$22</c:f>
              <c:numCache>
                <c:formatCode>0</c:formatCode>
                <c:ptCount val="6"/>
                <c:pt idx="0">
                  <c:v>925387.28</c:v>
                </c:pt>
                <c:pt idx="1">
                  <c:v>986065.87</c:v>
                </c:pt>
                <c:pt idx="2">
                  <c:v>1321995.3400000001</c:v>
                </c:pt>
                <c:pt idx="3">
                  <c:v>1425619.78</c:v>
                </c:pt>
                <c:pt idx="4">
                  <c:v>1592826.07</c:v>
                </c:pt>
                <c:pt idx="5">
                  <c:v>1805817</c:v>
                </c:pt>
              </c:numCache>
            </c:numRef>
          </c:val>
          <c:smooth val="0"/>
          <c:extLst xmlns:c16r2="http://schemas.microsoft.com/office/drawing/2015/06/chart">
            <c:ext xmlns:c16="http://schemas.microsoft.com/office/drawing/2014/chart" uri="{C3380CC4-5D6E-409C-BE32-E72D297353CC}">
              <c16:uniqueId val="{00000008-4831-4398-9E4E-65BC4C976322}"/>
            </c:ext>
          </c:extLst>
        </c:ser>
        <c:dLbls>
          <c:showLegendKey val="0"/>
          <c:showVal val="0"/>
          <c:showCatName val="0"/>
          <c:showSerName val="0"/>
          <c:showPercent val="0"/>
          <c:showBubbleSize val="0"/>
        </c:dLbls>
        <c:marker val="1"/>
        <c:smooth val="0"/>
        <c:axId val="225815936"/>
        <c:axId val="225821824"/>
      </c:lineChart>
      <c:catAx>
        <c:axId val="225815936"/>
        <c:scaling>
          <c:orientation val="minMax"/>
        </c:scaling>
        <c:delete val="0"/>
        <c:axPos val="b"/>
        <c:numFmt formatCode="General" sourceLinked="1"/>
        <c:majorTickMark val="out"/>
        <c:minorTickMark val="none"/>
        <c:tickLblPos val="nextTo"/>
        <c:txPr>
          <a:bodyPr rot="-1800000"/>
          <a:lstStyle/>
          <a:p>
            <a:pPr>
              <a:defRPr/>
            </a:pPr>
            <a:endParaRPr lang="en-US"/>
          </a:p>
        </c:txPr>
        <c:crossAx val="225821824"/>
        <c:crosses val="autoZero"/>
        <c:auto val="1"/>
        <c:lblAlgn val="ctr"/>
        <c:lblOffset val="100"/>
        <c:noMultiLvlLbl val="0"/>
      </c:catAx>
      <c:valAx>
        <c:axId val="225821824"/>
        <c:scaling>
          <c:orientation val="minMax"/>
        </c:scaling>
        <c:delete val="0"/>
        <c:axPos val="l"/>
        <c:majorGridlines/>
        <c:numFmt formatCode="&quot;$&quot;#,##0" sourceLinked="0"/>
        <c:majorTickMark val="out"/>
        <c:minorTickMark val="none"/>
        <c:tickLblPos val="nextTo"/>
        <c:crossAx val="225815936"/>
        <c:crosses val="autoZero"/>
        <c:crossBetween val="between"/>
      </c:valAx>
      <c:valAx>
        <c:axId val="225823360"/>
        <c:scaling>
          <c:orientation val="minMax"/>
          <c:max val="80"/>
          <c:min val="10"/>
        </c:scaling>
        <c:delete val="0"/>
        <c:axPos val="r"/>
        <c:numFmt formatCode="General" sourceLinked="1"/>
        <c:majorTickMark val="out"/>
        <c:minorTickMark val="none"/>
        <c:tickLblPos val="nextTo"/>
        <c:crossAx val="225833344"/>
        <c:crosses val="max"/>
        <c:crossBetween val="between"/>
      </c:valAx>
      <c:catAx>
        <c:axId val="225833344"/>
        <c:scaling>
          <c:orientation val="minMax"/>
        </c:scaling>
        <c:delete val="1"/>
        <c:axPos val="b"/>
        <c:numFmt formatCode="General" sourceLinked="1"/>
        <c:majorTickMark val="out"/>
        <c:minorTickMark val="none"/>
        <c:tickLblPos val="nextTo"/>
        <c:crossAx val="225823360"/>
        <c:crosses val="autoZero"/>
        <c:auto val="1"/>
        <c:lblAlgn val="ctr"/>
        <c:lblOffset val="100"/>
        <c:noMultiLvlLbl val="0"/>
      </c:catAx>
      <c:spPr>
        <a:ln>
          <a:solidFill>
            <a:schemeClr val="tx1"/>
          </a:solidFill>
        </a:ln>
      </c:spPr>
    </c:plotArea>
    <c:legend>
      <c:legendPos val="r"/>
      <c:layout>
        <c:manualLayout>
          <c:xMode val="edge"/>
          <c:yMode val="edge"/>
          <c:x val="0.14322883858267718"/>
          <c:y val="0.90587799860133233"/>
          <c:w val="0.72300049212598427"/>
          <c:h val="7.7517677142077912E-2"/>
        </c:manualLayout>
      </c:layout>
      <c:overlay val="0"/>
    </c:legend>
    <c:plotVisOnly val="1"/>
    <c:dispBlanksAs val="gap"/>
    <c:showDLblsOverMax val="0"/>
  </c:chart>
  <c:txPr>
    <a:bodyPr/>
    <a:lstStyle/>
    <a:p>
      <a:pPr>
        <a:defRPr>
          <a:latin typeface="+mj-lt"/>
        </a:defRPr>
      </a:pPr>
      <a:endParaRPr lang="en-US"/>
    </a:p>
  </c:tx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7034973753280841"/>
          <c:y val="7.5460766015706032E-2"/>
          <c:w val="0.73141240429523424"/>
          <c:h val="0.69158396912218034"/>
        </c:manualLayout>
      </c:layout>
      <c:barChart>
        <c:barDir val="col"/>
        <c:grouping val="clustered"/>
        <c:varyColors val="0"/>
        <c:ser>
          <c:idx val="2"/>
          <c:order val="2"/>
          <c:tx>
            <c:strRef>
              <c:f>'Historical Expense'!$BB$56</c:f>
              <c:strCache>
                <c:ptCount val="1"/>
                <c:pt idx="0">
                  <c:v>TOTAL Fire FTE</c:v>
                </c:pt>
              </c:strCache>
            </c:strRef>
          </c:tx>
          <c:spPr>
            <a:solidFill>
              <a:schemeClr val="accent2"/>
            </a:solidFill>
            <a:ln>
              <a:solidFill>
                <a:schemeClr val="tx1"/>
              </a:solidFill>
            </a:ln>
          </c:spPr>
          <c:invertIfNegative val="0"/>
          <c:cat>
            <c:numRef>
              <c:f>'Historical Expense'!$AS$1:$AX$1</c:f>
              <c:numCache>
                <c:formatCode>General</c:formatCode>
                <c:ptCount val="6"/>
                <c:pt idx="0">
                  <c:v>2011</c:v>
                </c:pt>
                <c:pt idx="1">
                  <c:v>2012</c:v>
                </c:pt>
                <c:pt idx="2">
                  <c:v>2013</c:v>
                </c:pt>
                <c:pt idx="3">
                  <c:v>2014</c:v>
                </c:pt>
                <c:pt idx="4">
                  <c:v>2015</c:v>
                </c:pt>
                <c:pt idx="5">
                  <c:v>2016</c:v>
                </c:pt>
              </c:numCache>
            </c:numRef>
          </c:cat>
          <c:val>
            <c:numRef>
              <c:f>'Historical Expense'!$BF$56:$BK$56</c:f>
              <c:numCache>
                <c:formatCode>General</c:formatCode>
                <c:ptCount val="6"/>
                <c:pt idx="0">
                  <c:v>36.200000000000003</c:v>
                </c:pt>
                <c:pt idx="1">
                  <c:v>33.200000000000003</c:v>
                </c:pt>
                <c:pt idx="2">
                  <c:v>35.200000000000003</c:v>
                </c:pt>
                <c:pt idx="3">
                  <c:v>36.200000000000003</c:v>
                </c:pt>
                <c:pt idx="4">
                  <c:v>39.200000000000003</c:v>
                </c:pt>
                <c:pt idx="5">
                  <c:v>35.200000000000003</c:v>
                </c:pt>
              </c:numCache>
            </c:numRef>
          </c:val>
          <c:extLst xmlns:c16r2="http://schemas.microsoft.com/office/drawing/2015/06/chart">
            <c:ext xmlns:c16="http://schemas.microsoft.com/office/drawing/2014/chart" uri="{C3380CC4-5D6E-409C-BE32-E72D297353CC}">
              <c16:uniqueId val="{00000000-0704-45B6-B319-D6F332FE9EC5}"/>
            </c:ext>
          </c:extLst>
        </c:ser>
        <c:ser>
          <c:idx val="3"/>
          <c:order val="3"/>
          <c:tx>
            <c:strRef>
              <c:f>'Historical Expense'!$BB$73</c:f>
              <c:strCache>
                <c:ptCount val="1"/>
                <c:pt idx="0">
                  <c:v>TOTAL Ambulance FTE</c:v>
                </c:pt>
              </c:strCache>
            </c:strRef>
          </c:tx>
          <c:spPr>
            <a:solidFill>
              <a:schemeClr val="accent1"/>
            </a:solidFill>
            <a:ln>
              <a:solidFill>
                <a:schemeClr val="tx1"/>
              </a:solidFill>
            </a:ln>
          </c:spPr>
          <c:invertIfNegative val="0"/>
          <c:cat>
            <c:numRef>
              <c:f>'Historical Expense'!$AS$1:$AX$1</c:f>
              <c:numCache>
                <c:formatCode>General</c:formatCode>
                <c:ptCount val="6"/>
                <c:pt idx="0">
                  <c:v>2011</c:v>
                </c:pt>
                <c:pt idx="1">
                  <c:v>2012</c:v>
                </c:pt>
                <c:pt idx="2">
                  <c:v>2013</c:v>
                </c:pt>
                <c:pt idx="3">
                  <c:v>2014</c:v>
                </c:pt>
                <c:pt idx="4">
                  <c:v>2015</c:v>
                </c:pt>
                <c:pt idx="5">
                  <c:v>2016</c:v>
                </c:pt>
              </c:numCache>
            </c:numRef>
          </c:cat>
          <c:val>
            <c:numRef>
              <c:f>'Historical Expense'!$BF$73:$BK$73</c:f>
              <c:numCache>
                <c:formatCode>General</c:formatCode>
                <c:ptCount val="6"/>
                <c:pt idx="0">
                  <c:v>15</c:v>
                </c:pt>
                <c:pt idx="1">
                  <c:v>19</c:v>
                </c:pt>
                <c:pt idx="2">
                  <c:v>25</c:v>
                </c:pt>
                <c:pt idx="3">
                  <c:v>20</c:v>
                </c:pt>
                <c:pt idx="4">
                  <c:v>24</c:v>
                </c:pt>
                <c:pt idx="5">
                  <c:v>31</c:v>
                </c:pt>
              </c:numCache>
            </c:numRef>
          </c:val>
          <c:extLst xmlns:c16r2="http://schemas.microsoft.com/office/drawing/2015/06/chart">
            <c:ext xmlns:c16="http://schemas.microsoft.com/office/drawing/2014/chart" uri="{C3380CC4-5D6E-409C-BE32-E72D297353CC}">
              <c16:uniqueId val="{00000001-0704-45B6-B319-D6F332FE9EC5}"/>
            </c:ext>
          </c:extLst>
        </c:ser>
        <c:dLbls>
          <c:showLegendKey val="0"/>
          <c:showVal val="0"/>
          <c:showCatName val="0"/>
          <c:showSerName val="0"/>
          <c:showPercent val="0"/>
          <c:showBubbleSize val="0"/>
        </c:dLbls>
        <c:gapWidth val="150"/>
        <c:axId val="225892224"/>
        <c:axId val="225890688"/>
      </c:barChart>
      <c:lineChart>
        <c:grouping val="standard"/>
        <c:varyColors val="0"/>
        <c:ser>
          <c:idx val="0"/>
          <c:order val="0"/>
          <c:tx>
            <c:strRef>
              <c:f>'Historical Expense'!$AR$4</c:f>
              <c:strCache>
                <c:ptCount val="1"/>
                <c:pt idx="0">
                  <c:v>Wages (Fire)</c:v>
                </c:pt>
              </c:strCache>
            </c:strRef>
          </c:tx>
          <c:spPr>
            <a:ln w="22225">
              <a:solidFill>
                <a:schemeClr val="tx1"/>
              </a:solidFill>
              <a:prstDash val="sysDash"/>
            </a:ln>
          </c:spPr>
          <c:marker>
            <c:symbol val="diamond"/>
            <c:size val="8"/>
            <c:spPr>
              <a:solidFill>
                <a:schemeClr val="accent2"/>
              </a:solidFill>
              <a:ln>
                <a:solidFill>
                  <a:schemeClr val="tx1"/>
                </a:solidFill>
              </a:ln>
            </c:spPr>
          </c:marker>
          <c:cat>
            <c:numRef>
              <c:f>'Historical Expense'!$AS$1:$AX$1</c:f>
              <c:numCache>
                <c:formatCode>General</c:formatCode>
                <c:ptCount val="6"/>
                <c:pt idx="0">
                  <c:v>2011</c:v>
                </c:pt>
                <c:pt idx="1">
                  <c:v>2012</c:v>
                </c:pt>
                <c:pt idx="2">
                  <c:v>2013</c:v>
                </c:pt>
                <c:pt idx="3">
                  <c:v>2014</c:v>
                </c:pt>
                <c:pt idx="4">
                  <c:v>2015</c:v>
                </c:pt>
                <c:pt idx="5">
                  <c:v>2016</c:v>
                </c:pt>
              </c:numCache>
            </c:numRef>
          </c:cat>
          <c:val>
            <c:numRef>
              <c:f>'Historical Expense'!$AS$4:$AX$4</c:f>
              <c:numCache>
                <c:formatCode>"$"#,##0</c:formatCode>
                <c:ptCount val="6"/>
                <c:pt idx="0">
                  <c:v>2690061.44</c:v>
                </c:pt>
                <c:pt idx="1">
                  <c:v>2644028.64</c:v>
                </c:pt>
                <c:pt idx="2">
                  <c:v>3675642.85</c:v>
                </c:pt>
                <c:pt idx="3">
                  <c:v>3195799</c:v>
                </c:pt>
                <c:pt idx="4">
                  <c:v>3737870.18</c:v>
                </c:pt>
                <c:pt idx="5">
                  <c:v>3175062</c:v>
                </c:pt>
              </c:numCache>
            </c:numRef>
          </c:val>
          <c:smooth val="0"/>
          <c:extLst xmlns:c16r2="http://schemas.microsoft.com/office/drawing/2015/06/chart">
            <c:ext xmlns:c16="http://schemas.microsoft.com/office/drawing/2014/chart" uri="{C3380CC4-5D6E-409C-BE32-E72D297353CC}">
              <c16:uniqueId val="{00000002-0704-45B6-B319-D6F332FE9EC5}"/>
            </c:ext>
          </c:extLst>
        </c:ser>
        <c:ser>
          <c:idx val="1"/>
          <c:order val="1"/>
          <c:tx>
            <c:strRef>
              <c:f>'Historical Expense'!$AR$13</c:f>
              <c:strCache>
                <c:ptCount val="1"/>
                <c:pt idx="0">
                  <c:v>Wages (Ambulance)</c:v>
                </c:pt>
              </c:strCache>
            </c:strRef>
          </c:tx>
          <c:spPr>
            <a:ln w="22225">
              <a:solidFill>
                <a:schemeClr val="tx1"/>
              </a:solidFill>
              <a:prstDash val="sysDot"/>
            </a:ln>
          </c:spPr>
          <c:marker>
            <c:symbol val="square"/>
            <c:size val="7"/>
            <c:spPr>
              <a:solidFill>
                <a:schemeClr val="accent1"/>
              </a:solidFill>
              <a:ln>
                <a:solidFill>
                  <a:schemeClr val="tx1"/>
                </a:solidFill>
              </a:ln>
            </c:spPr>
          </c:marker>
          <c:cat>
            <c:numRef>
              <c:f>'Historical Expense'!$AS$1:$AX$1</c:f>
              <c:numCache>
                <c:formatCode>General</c:formatCode>
                <c:ptCount val="6"/>
                <c:pt idx="0">
                  <c:v>2011</c:v>
                </c:pt>
                <c:pt idx="1">
                  <c:v>2012</c:v>
                </c:pt>
                <c:pt idx="2">
                  <c:v>2013</c:v>
                </c:pt>
                <c:pt idx="3">
                  <c:v>2014</c:v>
                </c:pt>
                <c:pt idx="4">
                  <c:v>2015</c:v>
                </c:pt>
                <c:pt idx="5">
                  <c:v>2016</c:v>
                </c:pt>
              </c:numCache>
            </c:numRef>
          </c:cat>
          <c:val>
            <c:numRef>
              <c:f>'Historical Expense'!$AS$13:$AX$13</c:f>
              <c:numCache>
                <c:formatCode>"$"#,##0</c:formatCode>
                <c:ptCount val="6"/>
                <c:pt idx="0">
                  <c:v>1477994.7899999998</c:v>
                </c:pt>
                <c:pt idx="1">
                  <c:v>1518945.1400000001</c:v>
                </c:pt>
                <c:pt idx="2">
                  <c:v>1984477.56</c:v>
                </c:pt>
                <c:pt idx="3">
                  <c:v>1675208.83</c:v>
                </c:pt>
                <c:pt idx="4">
                  <c:v>1832557.87</c:v>
                </c:pt>
                <c:pt idx="5">
                  <c:v>2919079</c:v>
                </c:pt>
              </c:numCache>
            </c:numRef>
          </c:val>
          <c:smooth val="0"/>
          <c:extLst xmlns:c16r2="http://schemas.microsoft.com/office/drawing/2015/06/chart">
            <c:ext xmlns:c16="http://schemas.microsoft.com/office/drawing/2014/chart" uri="{C3380CC4-5D6E-409C-BE32-E72D297353CC}">
              <c16:uniqueId val="{00000003-0704-45B6-B319-D6F332FE9EC5}"/>
            </c:ext>
          </c:extLst>
        </c:ser>
        <c:dLbls>
          <c:showLegendKey val="0"/>
          <c:showVal val="0"/>
          <c:showCatName val="0"/>
          <c:showSerName val="0"/>
          <c:showPercent val="0"/>
          <c:showBubbleSize val="0"/>
        </c:dLbls>
        <c:marker val="1"/>
        <c:smooth val="0"/>
        <c:axId val="225886976"/>
        <c:axId val="225888896"/>
      </c:lineChart>
      <c:catAx>
        <c:axId val="225886976"/>
        <c:scaling>
          <c:orientation val="minMax"/>
        </c:scaling>
        <c:delete val="0"/>
        <c:axPos val="b"/>
        <c:numFmt formatCode="General" sourceLinked="1"/>
        <c:majorTickMark val="out"/>
        <c:minorTickMark val="none"/>
        <c:tickLblPos val="nextTo"/>
        <c:crossAx val="225888896"/>
        <c:crosses val="autoZero"/>
        <c:auto val="1"/>
        <c:lblAlgn val="ctr"/>
        <c:lblOffset val="100"/>
        <c:noMultiLvlLbl val="0"/>
      </c:catAx>
      <c:valAx>
        <c:axId val="225888896"/>
        <c:scaling>
          <c:orientation val="minMax"/>
        </c:scaling>
        <c:delete val="0"/>
        <c:axPos val="l"/>
        <c:majorGridlines/>
        <c:numFmt formatCode="&quot;$&quot;#,##0" sourceLinked="1"/>
        <c:majorTickMark val="out"/>
        <c:minorTickMark val="none"/>
        <c:tickLblPos val="nextTo"/>
        <c:crossAx val="225886976"/>
        <c:crosses val="autoZero"/>
        <c:crossBetween val="between"/>
      </c:valAx>
      <c:valAx>
        <c:axId val="225890688"/>
        <c:scaling>
          <c:orientation val="minMax"/>
          <c:max val="40"/>
        </c:scaling>
        <c:delete val="0"/>
        <c:axPos val="r"/>
        <c:numFmt formatCode="General" sourceLinked="1"/>
        <c:majorTickMark val="out"/>
        <c:minorTickMark val="none"/>
        <c:tickLblPos val="nextTo"/>
        <c:crossAx val="225892224"/>
        <c:crosses val="max"/>
        <c:crossBetween val="between"/>
      </c:valAx>
      <c:catAx>
        <c:axId val="225892224"/>
        <c:scaling>
          <c:orientation val="minMax"/>
        </c:scaling>
        <c:delete val="1"/>
        <c:axPos val="b"/>
        <c:numFmt formatCode="General" sourceLinked="1"/>
        <c:majorTickMark val="out"/>
        <c:minorTickMark val="none"/>
        <c:tickLblPos val="nextTo"/>
        <c:crossAx val="225890688"/>
        <c:crosses val="autoZero"/>
        <c:auto val="1"/>
        <c:lblAlgn val="ctr"/>
        <c:lblOffset val="100"/>
        <c:noMultiLvlLbl val="0"/>
      </c:catAx>
    </c:plotArea>
    <c:legend>
      <c:legendPos val="r"/>
      <c:layout>
        <c:manualLayout>
          <c:xMode val="edge"/>
          <c:yMode val="edge"/>
          <c:x val="6.8181153826359947E-2"/>
          <c:y val="0.84024031097581575"/>
          <c:w val="0.8942370953630796"/>
          <c:h val="0.12851710609344563"/>
        </c:manualLayout>
      </c:layout>
      <c:overlay val="0"/>
    </c:legend>
    <c:plotVisOnly val="1"/>
    <c:dispBlanksAs val="gap"/>
    <c:showDLblsOverMax val="0"/>
  </c:chart>
  <c:txPr>
    <a:bodyPr/>
    <a:lstStyle/>
    <a:p>
      <a:pPr>
        <a:defRPr>
          <a:latin typeface="+mj-lt"/>
        </a:defRPr>
      </a:pPr>
      <a:endParaRPr lang="en-US"/>
    </a:p>
  </c:txPr>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1662700595134297"/>
          <c:y val="7.3847132744770533E-2"/>
          <c:w val="0.80530353637652197"/>
          <c:h val="0.81017276880793943"/>
        </c:manualLayout>
      </c:layout>
      <c:lineChart>
        <c:grouping val="standard"/>
        <c:varyColors val="0"/>
        <c:ser>
          <c:idx val="3"/>
          <c:order val="0"/>
          <c:tx>
            <c:strRef>
              <c:f>'Historical Expense'!$BB$82</c:f>
              <c:strCache>
                <c:ptCount val="1"/>
                <c:pt idx="0">
                  <c:v>Other</c:v>
                </c:pt>
              </c:strCache>
            </c:strRef>
          </c:tx>
          <c:marker>
            <c:symbol val="diamond"/>
            <c:size val="7"/>
          </c:marker>
          <c:dLbls>
            <c:dLbl>
              <c:idx val="0"/>
              <c:layout>
                <c:manualLayout>
                  <c:x val="8.5178588245892039E-3"/>
                  <c:y val="-4.2633264664251463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4748-4D48-AFE4-648B645E2E47}"/>
                </c:ext>
              </c:extLst>
            </c:dLbl>
            <c:dLbl>
              <c:idx val="1"/>
              <c:layout>
                <c:manualLayout>
                  <c:x val="-1.8825571920514615E-3"/>
                  <c:y val="-4.2633264664251463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4748-4D48-AFE4-648B645E2E47}"/>
                </c:ext>
              </c:extLst>
            </c:dLbl>
            <c:dLbl>
              <c:idx val="2"/>
              <c:layout>
                <c:manualLayout>
                  <c:x val="4.3576924179329381E-3"/>
                  <c:y val="-4.6155941410396556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4748-4D48-AFE4-648B645E2E47}"/>
                </c:ext>
              </c:extLst>
            </c:dLbl>
            <c:dLbl>
              <c:idx val="3"/>
              <c:layout>
                <c:manualLayout>
                  <c:x val="4.3576924179330144E-3"/>
                  <c:y val="-4.6155941410396556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4748-4D48-AFE4-648B645E2E47}"/>
                </c:ext>
              </c:extLst>
            </c:dLbl>
            <c:dLbl>
              <c:idx val="4"/>
              <c:layout>
                <c:manualLayout>
                  <c:x val="-1.8825571920514615E-3"/>
                  <c:y val="-4.6155941410396556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4748-4D48-AFE4-648B645E2E47}"/>
                </c:ext>
              </c:extLst>
            </c:dLbl>
            <c:dLbl>
              <c:idx val="5"/>
              <c:layout>
                <c:manualLayout>
                  <c:x val="-1.0202890005363995E-2"/>
                  <c:y val="-4.9678618156541655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4748-4D48-AFE4-648B645E2E47}"/>
                </c:ext>
              </c:extLst>
            </c:dLbl>
            <c:spPr>
              <a:solidFill>
                <a:schemeClr val="bg1"/>
              </a:solidFill>
              <a:ln w="15875">
                <a:solidFill>
                  <a:schemeClr val="accent4"/>
                </a:solidFill>
              </a:ln>
            </c:spPr>
            <c:txPr>
              <a:bodyPr/>
              <a:lstStyle/>
              <a:p>
                <a:pPr>
                  <a:defRPr sz="800" b="1"/>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'Historical Expense'!$BF$64:$BK$64</c:f>
              <c:numCache>
                <c:formatCode>General</c:formatCode>
                <c:ptCount val="6"/>
                <c:pt idx="0">
                  <c:v>2011</c:v>
                </c:pt>
                <c:pt idx="1">
                  <c:v>2012</c:v>
                </c:pt>
                <c:pt idx="2">
                  <c:v>2013</c:v>
                </c:pt>
                <c:pt idx="3">
                  <c:v>2014</c:v>
                </c:pt>
                <c:pt idx="4">
                  <c:v>2015</c:v>
                </c:pt>
                <c:pt idx="5">
                  <c:v>2016</c:v>
                </c:pt>
              </c:numCache>
            </c:numRef>
          </c:cat>
          <c:val>
            <c:numRef>
              <c:f>'Historical Expense'!$BF$82:$BK$82</c:f>
              <c:numCache>
                <c:formatCode>General</c:formatCode>
                <c:ptCount val="6"/>
                <c:pt idx="0">
                  <c:v>1.2000000000000028</c:v>
                </c:pt>
                <c:pt idx="1">
                  <c:v>1.2000000000000028</c:v>
                </c:pt>
                <c:pt idx="2">
                  <c:v>1.2000000000000028</c:v>
                </c:pt>
                <c:pt idx="3">
                  <c:v>1.2000000000000028</c:v>
                </c:pt>
                <c:pt idx="4">
                  <c:v>1.2000000000000028</c:v>
                </c:pt>
                <c:pt idx="5">
                  <c:v>1.2000000000000028</c:v>
                </c:pt>
              </c:numCache>
            </c:numRef>
          </c:val>
          <c:smooth val="0"/>
          <c:extLst xmlns:c16r2="http://schemas.microsoft.com/office/drawing/2015/06/chart">
            <c:ext xmlns:c16="http://schemas.microsoft.com/office/drawing/2014/chart" uri="{C3380CC4-5D6E-409C-BE32-E72D297353CC}">
              <c16:uniqueId val="{00000006-4748-4D48-AFE4-648B645E2E47}"/>
            </c:ext>
          </c:extLst>
        </c:ser>
        <c:ser>
          <c:idx val="2"/>
          <c:order val="1"/>
          <c:tx>
            <c:strRef>
              <c:f>'Historical Expense'!$BB$81</c:f>
              <c:strCache>
                <c:ptCount val="1"/>
                <c:pt idx="0">
                  <c:v>Paramedics/Firefighters</c:v>
                </c:pt>
              </c:strCache>
            </c:strRef>
          </c:tx>
          <c:dLbls>
            <c:spPr>
              <a:solidFill>
                <a:schemeClr val="bg1"/>
              </a:solidFill>
              <a:ln w="15875">
                <a:solidFill>
                  <a:schemeClr val="accent3"/>
                </a:solidFill>
              </a:ln>
            </c:spPr>
            <c:txPr>
              <a:bodyPr/>
              <a:lstStyle/>
              <a:p>
                <a:pPr>
                  <a:defRPr sz="800" b="1"/>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'Historical Expense'!$BF$64:$BK$64</c:f>
              <c:numCache>
                <c:formatCode>General</c:formatCode>
                <c:ptCount val="6"/>
                <c:pt idx="0">
                  <c:v>2011</c:v>
                </c:pt>
                <c:pt idx="1">
                  <c:v>2012</c:v>
                </c:pt>
                <c:pt idx="2">
                  <c:v>2013</c:v>
                </c:pt>
                <c:pt idx="3">
                  <c:v>2014</c:v>
                </c:pt>
                <c:pt idx="4">
                  <c:v>2015</c:v>
                </c:pt>
                <c:pt idx="5">
                  <c:v>2016</c:v>
                </c:pt>
              </c:numCache>
            </c:numRef>
          </c:cat>
          <c:val>
            <c:numRef>
              <c:f>'Historical Expense'!$BF$81:$BK$81</c:f>
              <c:numCache>
                <c:formatCode>General</c:formatCode>
                <c:ptCount val="6"/>
                <c:pt idx="0">
                  <c:v>35</c:v>
                </c:pt>
                <c:pt idx="1">
                  <c:v>33</c:v>
                </c:pt>
                <c:pt idx="2">
                  <c:v>41</c:v>
                </c:pt>
                <c:pt idx="3">
                  <c:v>37</c:v>
                </c:pt>
                <c:pt idx="4">
                  <c:v>41</c:v>
                </c:pt>
                <c:pt idx="5">
                  <c:v>43</c:v>
                </c:pt>
              </c:numCache>
            </c:numRef>
          </c:val>
          <c:smooth val="0"/>
          <c:extLst xmlns:c16r2="http://schemas.microsoft.com/office/drawing/2015/06/chart">
            <c:ext xmlns:c16="http://schemas.microsoft.com/office/drawing/2014/chart" uri="{C3380CC4-5D6E-409C-BE32-E72D297353CC}">
              <c16:uniqueId val="{00000007-4748-4D48-AFE4-648B645E2E47}"/>
            </c:ext>
          </c:extLst>
        </c:ser>
        <c:ser>
          <c:idx val="1"/>
          <c:order val="2"/>
          <c:tx>
            <c:strRef>
              <c:f>'Historical Expense'!$BB$80</c:f>
              <c:strCache>
                <c:ptCount val="1"/>
                <c:pt idx="0">
                  <c:v>Company Officers</c:v>
                </c:pt>
              </c:strCache>
            </c:strRef>
          </c:tx>
          <c:dLbls>
            <c:spPr>
              <a:solidFill>
                <a:schemeClr val="bg1"/>
              </a:solidFill>
              <a:ln w="15875">
                <a:solidFill>
                  <a:schemeClr val="accent2"/>
                </a:solidFill>
              </a:ln>
            </c:spPr>
            <c:txPr>
              <a:bodyPr/>
              <a:lstStyle/>
              <a:p>
                <a:pPr>
                  <a:defRPr sz="800" b="1"/>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'Historical Expense'!$BF$64:$BK$64</c:f>
              <c:numCache>
                <c:formatCode>General</c:formatCode>
                <c:ptCount val="6"/>
                <c:pt idx="0">
                  <c:v>2011</c:v>
                </c:pt>
                <c:pt idx="1">
                  <c:v>2012</c:v>
                </c:pt>
                <c:pt idx="2">
                  <c:v>2013</c:v>
                </c:pt>
                <c:pt idx="3">
                  <c:v>2014</c:v>
                </c:pt>
                <c:pt idx="4">
                  <c:v>2015</c:v>
                </c:pt>
                <c:pt idx="5">
                  <c:v>2016</c:v>
                </c:pt>
              </c:numCache>
            </c:numRef>
          </c:cat>
          <c:val>
            <c:numRef>
              <c:f>'Historical Expense'!$BF$80:$BK$80</c:f>
              <c:numCache>
                <c:formatCode>General</c:formatCode>
                <c:ptCount val="6"/>
                <c:pt idx="0">
                  <c:v>12</c:v>
                </c:pt>
                <c:pt idx="1">
                  <c:v>12</c:v>
                </c:pt>
                <c:pt idx="2">
                  <c:v>12</c:v>
                </c:pt>
                <c:pt idx="3">
                  <c:v>12</c:v>
                </c:pt>
                <c:pt idx="4">
                  <c:v>15</c:v>
                </c:pt>
                <c:pt idx="5">
                  <c:v>15</c:v>
                </c:pt>
              </c:numCache>
            </c:numRef>
          </c:val>
          <c:smooth val="0"/>
          <c:extLst xmlns:c16r2="http://schemas.microsoft.com/office/drawing/2015/06/chart">
            <c:ext xmlns:c16="http://schemas.microsoft.com/office/drawing/2014/chart" uri="{C3380CC4-5D6E-409C-BE32-E72D297353CC}">
              <c16:uniqueId val="{00000008-4748-4D48-AFE4-648B645E2E47}"/>
            </c:ext>
          </c:extLst>
        </c:ser>
        <c:ser>
          <c:idx val="0"/>
          <c:order val="3"/>
          <c:tx>
            <c:strRef>
              <c:f>'Historical Expense'!$BB$79</c:f>
              <c:strCache>
                <c:ptCount val="1"/>
                <c:pt idx="0">
                  <c:v>Command Staff</c:v>
                </c:pt>
              </c:strCache>
            </c:strRef>
          </c:tx>
          <c:dLbls>
            <c:dLbl>
              <c:idx val="0"/>
              <c:layout>
                <c:manualLayout>
                  <c:x val="-3.7514382465062383E-2"/>
                  <c:y val="-4.9678618156541655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4748-4D48-AFE4-648B645E2E47}"/>
                </c:ext>
              </c:extLst>
            </c:dLbl>
            <c:dLbl>
              <c:idx val="1"/>
              <c:layout>
                <c:manualLayout>
                  <c:x val="-5.2074964888359311E-2"/>
                  <c:y val="-3.2065234425816172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4748-4D48-AFE4-648B645E2E47}"/>
                </c:ext>
              </c:extLst>
            </c:dLbl>
            <c:dLbl>
              <c:idx val="2"/>
              <c:layout>
                <c:manualLayout>
                  <c:x val="-4.9612111944269316E-2"/>
                  <c:y val="-4.080857105976507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4748-4D48-AFE4-648B645E2E47}"/>
                </c:ext>
              </c:extLst>
            </c:dLbl>
            <c:dLbl>
              <c:idx val="3"/>
              <c:layout>
                <c:manualLayout>
                  <c:x val="-5.3772418141088414E-2"/>
                  <c:y val="-3.9959726345682199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4748-4D48-AFE4-648B645E2E47}"/>
                </c:ext>
              </c:extLst>
            </c:dLbl>
            <c:dLbl>
              <c:idx val="4"/>
              <c:layout>
                <c:manualLayout>
                  <c:x val="-5.2074921639905743E-2"/>
                  <c:y val="-4.165741577384794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4748-4D48-AFE4-648B645E2E47}"/>
                </c:ext>
              </c:extLst>
            </c:dLbl>
            <c:dLbl>
              <c:idx val="5"/>
              <c:layout>
                <c:manualLayout>
                  <c:x val="-5.8088505546687416E-2"/>
                  <c:y val="-3.8134675788477262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E-4748-4D48-AFE4-648B645E2E47}"/>
                </c:ext>
              </c:extLst>
            </c:dLbl>
            <c:spPr>
              <a:solidFill>
                <a:schemeClr val="bg1"/>
              </a:solidFill>
              <a:ln w="15875">
                <a:solidFill>
                  <a:schemeClr val="accent1"/>
                </a:solidFill>
              </a:ln>
            </c:spPr>
            <c:txPr>
              <a:bodyPr/>
              <a:lstStyle/>
              <a:p>
                <a:pPr>
                  <a:defRPr sz="800" b="1"/>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'Historical Expense'!$BF$64:$BK$64</c:f>
              <c:numCache>
                <c:formatCode>General</c:formatCode>
                <c:ptCount val="6"/>
                <c:pt idx="0">
                  <c:v>2011</c:v>
                </c:pt>
                <c:pt idx="1">
                  <c:v>2012</c:v>
                </c:pt>
                <c:pt idx="2">
                  <c:v>2013</c:v>
                </c:pt>
                <c:pt idx="3">
                  <c:v>2014</c:v>
                </c:pt>
                <c:pt idx="4">
                  <c:v>2015</c:v>
                </c:pt>
                <c:pt idx="5">
                  <c:v>2016</c:v>
                </c:pt>
              </c:numCache>
            </c:numRef>
          </c:cat>
          <c:val>
            <c:numRef>
              <c:f>'Historical Expense'!$BF$79:$BK$79</c:f>
              <c:numCache>
                <c:formatCode>General</c:formatCode>
                <c:ptCount val="6"/>
                <c:pt idx="0">
                  <c:v>3</c:v>
                </c:pt>
                <c:pt idx="1">
                  <c:v>6</c:v>
                </c:pt>
                <c:pt idx="2">
                  <c:v>6</c:v>
                </c:pt>
                <c:pt idx="3">
                  <c:v>6</c:v>
                </c:pt>
                <c:pt idx="4">
                  <c:v>6</c:v>
                </c:pt>
                <c:pt idx="5">
                  <c:v>7</c:v>
                </c:pt>
              </c:numCache>
            </c:numRef>
          </c:val>
          <c:smooth val="0"/>
          <c:extLst xmlns:c16r2="http://schemas.microsoft.com/office/drawing/2015/06/chart">
            <c:ext xmlns:c16="http://schemas.microsoft.com/office/drawing/2014/chart" uri="{C3380CC4-5D6E-409C-BE32-E72D297353CC}">
              <c16:uniqueId val="{0000000F-4748-4D48-AFE4-648B645E2E47}"/>
            </c:ext>
          </c:extLst>
        </c:ser>
        <c:dLbls>
          <c:showLegendKey val="0"/>
          <c:showVal val="0"/>
          <c:showCatName val="0"/>
          <c:showSerName val="0"/>
          <c:showPercent val="0"/>
          <c:showBubbleSize val="0"/>
        </c:dLbls>
        <c:marker val="1"/>
        <c:smooth val="0"/>
        <c:axId val="226025472"/>
        <c:axId val="226027008"/>
      </c:lineChart>
      <c:catAx>
        <c:axId val="226025472"/>
        <c:scaling>
          <c:orientation val="minMax"/>
        </c:scaling>
        <c:delete val="0"/>
        <c:axPos val="b"/>
        <c:numFmt formatCode="General" sourceLinked="1"/>
        <c:majorTickMark val="out"/>
        <c:minorTickMark val="none"/>
        <c:tickLblPos val="nextTo"/>
        <c:crossAx val="226027008"/>
        <c:crosses val="autoZero"/>
        <c:auto val="1"/>
        <c:lblAlgn val="ctr"/>
        <c:lblOffset val="100"/>
        <c:noMultiLvlLbl val="0"/>
      </c:catAx>
      <c:valAx>
        <c:axId val="226027008"/>
        <c:scaling>
          <c:orientation val="minMax"/>
        </c:scaling>
        <c:delete val="0"/>
        <c:axPos val="l"/>
        <c:majorGridlines/>
        <c:title>
          <c:tx>
            <c:rich>
              <a:bodyPr rot="-5400000" vert="horz"/>
              <a:lstStyle/>
              <a:p>
                <a:pPr>
                  <a:defRPr sz="1100"/>
                </a:pPr>
                <a:r>
                  <a:rPr lang="en-US" sz="1100"/>
                  <a:t>FTE Count</a:t>
                </a:r>
              </a:p>
            </c:rich>
          </c:tx>
          <c:overlay val="0"/>
        </c:title>
        <c:numFmt formatCode="General" sourceLinked="1"/>
        <c:majorTickMark val="out"/>
        <c:minorTickMark val="none"/>
        <c:tickLblPos val="nextTo"/>
        <c:crossAx val="226025472"/>
        <c:crosses val="autoZero"/>
        <c:crossBetween val="between"/>
      </c:valAx>
      <c:spPr>
        <a:ln>
          <a:solidFill>
            <a:schemeClr val="tx1"/>
          </a:solidFill>
        </a:ln>
      </c:spPr>
    </c:plotArea>
    <c:legend>
      <c:legendPos val="r"/>
      <c:layout>
        <c:manualLayout>
          <c:xMode val="edge"/>
          <c:yMode val="edge"/>
          <c:x val="0.65938107821701175"/>
          <c:y val="0.28079908616074156"/>
          <c:w val="0.29456205649800798"/>
          <c:h val="0.21605158973963537"/>
        </c:manualLayout>
      </c:layout>
      <c:overlay val="0"/>
      <c:spPr>
        <a:solidFill>
          <a:schemeClr val="bg1"/>
        </a:solidFill>
        <a:ln>
          <a:solidFill>
            <a:schemeClr val="tx1"/>
          </a:solidFill>
        </a:ln>
      </c:spPr>
    </c:legend>
    <c:plotVisOnly val="1"/>
    <c:dispBlanksAs val="gap"/>
    <c:showDLblsOverMax val="0"/>
  </c:chart>
  <c:txPr>
    <a:bodyPr/>
    <a:lstStyle/>
    <a:p>
      <a:pPr>
        <a:defRPr>
          <a:latin typeface="+mj-lt"/>
        </a:defRPr>
      </a:pPr>
      <a:endParaRPr lang="en-US"/>
    </a:p>
  </c:txPr>
  <c:externalData r:id="rId2">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8548862642169725"/>
          <c:y val="0.10232648002333042"/>
          <c:w val="0.71615064943805107"/>
          <c:h val="0.73101035123418556"/>
        </c:manualLayout>
      </c:layout>
      <c:barChart>
        <c:barDir val="col"/>
        <c:grouping val="stacked"/>
        <c:varyColors val="0"/>
        <c:ser>
          <c:idx val="0"/>
          <c:order val="1"/>
          <c:tx>
            <c:strRef>
              <c:f>'Historical Expense'!$D$6</c:f>
              <c:strCache>
                <c:ptCount val="1"/>
                <c:pt idx="0">
                  <c:v>Wages (Fire)</c:v>
                </c:pt>
              </c:strCache>
            </c:strRef>
          </c:tx>
          <c:spPr>
            <a:solidFill>
              <a:schemeClr val="accent2"/>
            </a:solidFill>
            <a:ln>
              <a:solidFill>
                <a:schemeClr val="tx1"/>
              </a:solidFill>
            </a:ln>
          </c:spPr>
          <c:invertIfNegative val="0"/>
          <c:cat>
            <c:numRef>
              <c:f>'Historical Expense'!$E$1:$J$1</c:f>
              <c:numCache>
                <c:formatCode>General</c:formatCode>
                <c:ptCount val="6"/>
                <c:pt idx="0">
                  <c:v>2011</c:v>
                </c:pt>
                <c:pt idx="1">
                  <c:v>2012</c:v>
                </c:pt>
                <c:pt idx="2">
                  <c:v>2013</c:v>
                </c:pt>
                <c:pt idx="3">
                  <c:v>2014</c:v>
                </c:pt>
                <c:pt idx="4">
                  <c:v>2015</c:v>
                </c:pt>
                <c:pt idx="5">
                  <c:v>2016</c:v>
                </c:pt>
              </c:numCache>
            </c:numRef>
          </c:cat>
          <c:val>
            <c:numRef>
              <c:f>'Historical Expense'!$E$6:$J$6</c:f>
              <c:numCache>
                <c:formatCode>0</c:formatCode>
                <c:ptCount val="6"/>
                <c:pt idx="0">
                  <c:v>2690061.44</c:v>
                </c:pt>
                <c:pt idx="1">
                  <c:v>2644028.64</c:v>
                </c:pt>
                <c:pt idx="2">
                  <c:v>3675642.85</c:v>
                </c:pt>
                <c:pt idx="3">
                  <c:v>3195799</c:v>
                </c:pt>
                <c:pt idx="4">
                  <c:v>3737870.18</c:v>
                </c:pt>
                <c:pt idx="5">
                  <c:v>3175062</c:v>
                </c:pt>
              </c:numCache>
            </c:numRef>
          </c:val>
          <c:extLst xmlns:c16r2="http://schemas.microsoft.com/office/drawing/2015/06/chart">
            <c:ext xmlns:c16="http://schemas.microsoft.com/office/drawing/2014/chart" uri="{C3380CC4-5D6E-409C-BE32-E72D297353CC}">
              <c16:uniqueId val="{00000000-5326-46E3-899F-1B2E9E138E29}"/>
            </c:ext>
          </c:extLst>
        </c:ser>
        <c:ser>
          <c:idx val="4"/>
          <c:order val="2"/>
          <c:tx>
            <c:strRef>
              <c:f>'Historical Expense'!$D$7</c:f>
              <c:strCache>
                <c:ptCount val="1"/>
                <c:pt idx="0">
                  <c:v>Overtime (Fire)</c:v>
                </c:pt>
              </c:strCache>
            </c:strRef>
          </c:tx>
          <c:spPr>
            <a:pattFill prst="pct20">
              <a:fgClr>
                <a:schemeClr val="accent2"/>
              </a:fgClr>
              <a:bgClr>
                <a:schemeClr val="bg1"/>
              </a:bgClr>
            </a:pattFill>
            <a:ln>
              <a:solidFill>
                <a:schemeClr val="tx1"/>
              </a:solidFill>
            </a:ln>
          </c:spPr>
          <c:invertIfNegative val="0"/>
          <c:cat>
            <c:numRef>
              <c:f>'Historical Expense'!$E$1:$J$1</c:f>
              <c:numCache>
                <c:formatCode>General</c:formatCode>
                <c:ptCount val="6"/>
                <c:pt idx="0">
                  <c:v>2011</c:v>
                </c:pt>
                <c:pt idx="1">
                  <c:v>2012</c:v>
                </c:pt>
                <c:pt idx="2">
                  <c:v>2013</c:v>
                </c:pt>
                <c:pt idx="3">
                  <c:v>2014</c:v>
                </c:pt>
                <c:pt idx="4">
                  <c:v>2015</c:v>
                </c:pt>
                <c:pt idx="5">
                  <c:v>2016</c:v>
                </c:pt>
              </c:numCache>
            </c:numRef>
          </c:cat>
          <c:val>
            <c:numRef>
              <c:f>'Historical Expense'!$E$7:$J$7</c:f>
              <c:numCache>
                <c:formatCode>0</c:formatCode>
                <c:ptCount val="6"/>
                <c:pt idx="0">
                  <c:v>287157.36</c:v>
                </c:pt>
                <c:pt idx="1">
                  <c:v>402063.38</c:v>
                </c:pt>
                <c:pt idx="2">
                  <c:v>459293.8899999999</c:v>
                </c:pt>
                <c:pt idx="3">
                  <c:v>384737.26999999996</c:v>
                </c:pt>
                <c:pt idx="4">
                  <c:v>582614.86999999988</c:v>
                </c:pt>
                <c:pt idx="5">
                  <c:v>257717</c:v>
                </c:pt>
              </c:numCache>
            </c:numRef>
          </c:val>
          <c:extLst xmlns:c16r2="http://schemas.microsoft.com/office/drawing/2015/06/chart">
            <c:ext xmlns:c16="http://schemas.microsoft.com/office/drawing/2014/chart" uri="{C3380CC4-5D6E-409C-BE32-E72D297353CC}">
              <c16:uniqueId val="{00000001-5326-46E3-899F-1B2E9E138E29}"/>
            </c:ext>
          </c:extLst>
        </c:ser>
        <c:ser>
          <c:idx val="1"/>
          <c:order val="3"/>
          <c:tx>
            <c:strRef>
              <c:f>'Historical Expense'!$D$14</c:f>
              <c:strCache>
                <c:ptCount val="1"/>
                <c:pt idx="0">
                  <c:v>Wages (Ambulance)</c:v>
                </c:pt>
              </c:strCache>
            </c:strRef>
          </c:tx>
          <c:spPr>
            <a:solidFill>
              <a:schemeClr val="accent1"/>
            </a:solidFill>
            <a:ln>
              <a:solidFill>
                <a:schemeClr val="tx1"/>
              </a:solidFill>
            </a:ln>
          </c:spPr>
          <c:invertIfNegative val="0"/>
          <c:cat>
            <c:numRef>
              <c:f>'Historical Expense'!$E$1:$J$1</c:f>
              <c:numCache>
                <c:formatCode>General</c:formatCode>
                <c:ptCount val="6"/>
                <c:pt idx="0">
                  <c:v>2011</c:v>
                </c:pt>
                <c:pt idx="1">
                  <c:v>2012</c:v>
                </c:pt>
                <c:pt idx="2">
                  <c:v>2013</c:v>
                </c:pt>
                <c:pt idx="3">
                  <c:v>2014</c:v>
                </c:pt>
                <c:pt idx="4">
                  <c:v>2015</c:v>
                </c:pt>
                <c:pt idx="5">
                  <c:v>2016</c:v>
                </c:pt>
              </c:numCache>
            </c:numRef>
          </c:cat>
          <c:val>
            <c:numRef>
              <c:f>'Historical Expense'!$E$14:$J$14</c:f>
              <c:numCache>
                <c:formatCode>0</c:formatCode>
                <c:ptCount val="6"/>
                <c:pt idx="0">
                  <c:v>1477994.7899999998</c:v>
                </c:pt>
                <c:pt idx="1">
                  <c:v>1518945.1400000001</c:v>
                </c:pt>
                <c:pt idx="2">
                  <c:v>1984477.56</c:v>
                </c:pt>
                <c:pt idx="3">
                  <c:v>1675208.83</c:v>
                </c:pt>
                <c:pt idx="4">
                  <c:v>1832557.87</c:v>
                </c:pt>
                <c:pt idx="5">
                  <c:v>2919079</c:v>
                </c:pt>
              </c:numCache>
            </c:numRef>
          </c:val>
          <c:extLst xmlns:c16r2="http://schemas.microsoft.com/office/drawing/2015/06/chart">
            <c:ext xmlns:c16="http://schemas.microsoft.com/office/drawing/2014/chart" uri="{C3380CC4-5D6E-409C-BE32-E72D297353CC}">
              <c16:uniqueId val="{00000002-5326-46E3-899F-1B2E9E138E29}"/>
            </c:ext>
          </c:extLst>
        </c:ser>
        <c:ser>
          <c:idx val="3"/>
          <c:order val="4"/>
          <c:tx>
            <c:strRef>
              <c:f>'Historical Expense'!$D$15</c:f>
              <c:strCache>
                <c:ptCount val="1"/>
                <c:pt idx="0">
                  <c:v>Overtime (Ambulance)</c:v>
                </c:pt>
              </c:strCache>
            </c:strRef>
          </c:tx>
          <c:spPr>
            <a:pattFill prst="pct20">
              <a:fgClr>
                <a:schemeClr val="accent1"/>
              </a:fgClr>
              <a:bgClr>
                <a:schemeClr val="bg1"/>
              </a:bgClr>
            </a:pattFill>
            <a:ln>
              <a:solidFill>
                <a:schemeClr val="tx1"/>
              </a:solidFill>
            </a:ln>
          </c:spPr>
          <c:invertIfNegative val="0"/>
          <c:cat>
            <c:numRef>
              <c:f>'Historical Expense'!$E$1:$J$1</c:f>
              <c:numCache>
                <c:formatCode>General</c:formatCode>
                <c:ptCount val="6"/>
                <c:pt idx="0">
                  <c:v>2011</c:v>
                </c:pt>
                <c:pt idx="1">
                  <c:v>2012</c:v>
                </c:pt>
                <c:pt idx="2">
                  <c:v>2013</c:v>
                </c:pt>
                <c:pt idx="3">
                  <c:v>2014</c:v>
                </c:pt>
                <c:pt idx="4">
                  <c:v>2015</c:v>
                </c:pt>
                <c:pt idx="5">
                  <c:v>2016</c:v>
                </c:pt>
              </c:numCache>
            </c:numRef>
          </c:cat>
          <c:val>
            <c:numRef>
              <c:f>'Historical Expense'!$E$15:$J$15</c:f>
              <c:numCache>
                <c:formatCode>0</c:formatCode>
                <c:ptCount val="6"/>
                <c:pt idx="0">
                  <c:v>151616.22</c:v>
                </c:pt>
                <c:pt idx="1">
                  <c:v>246073.73</c:v>
                </c:pt>
                <c:pt idx="2">
                  <c:v>198477.47</c:v>
                </c:pt>
                <c:pt idx="3">
                  <c:v>135000.82</c:v>
                </c:pt>
                <c:pt idx="4">
                  <c:v>252430.28</c:v>
                </c:pt>
                <c:pt idx="5">
                  <c:v>74548</c:v>
                </c:pt>
              </c:numCache>
            </c:numRef>
          </c:val>
          <c:extLst xmlns:c16r2="http://schemas.microsoft.com/office/drawing/2015/06/chart">
            <c:ext xmlns:c16="http://schemas.microsoft.com/office/drawing/2014/chart" uri="{C3380CC4-5D6E-409C-BE32-E72D297353CC}">
              <c16:uniqueId val="{00000003-5326-46E3-899F-1B2E9E138E29}"/>
            </c:ext>
          </c:extLst>
        </c:ser>
        <c:dLbls>
          <c:showLegendKey val="0"/>
          <c:showVal val="0"/>
          <c:showCatName val="0"/>
          <c:showSerName val="0"/>
          <c:showPercent val="0"/>
          <c:showBubbleSize val="0"/>
        </c:dLbls>
        <c:gapWidth val="150"/>
        <c:overlap val="100"/>
        <c:axId val="226154368"/>
        <c:axId val="226155904"/>
      </c:barChart>
      <c:lineChart>
        <c:grouping val="standard"/>
        <c:varyColors val="0"/>
        <c:ser>
          <c:idx val="2"/>
          <c:order val="0"/>
          <c:tx>
            <c:strRef>
              <c:f>'Historical Expense'!$D$21</c:f>
              <c:strCache>
                <c:ptCount val="1"/>
                <c:pt idx="0">
                  <c:v>Wages</c:v>
                </c:pt>
              </c:strCache>
            </c:strRef>
          </c:tx>
          <c:spPr>
            <a:ln w="22225">
              <a:prstDash val="sysDash"/>
            </a:ln>
          </c:spPr>
          <c:marker>
            <c:symbol val="diamond"/>
            <c:size val="6"/>
            <c:spPr>
              <a:solidFill>
                <a:schemeClr val="bg1"/>
              </a:solidFill>
              <a:ln w="15875"/>
            </c:spPr>
          </c:marker>
          <c:dLbls>
            <c:dLbl>
              <c:idx val="0"/>
              <c:layout>
                <c:manualLayout>
                  <c:x val="-6.0156822090028712E-2"/>
                  <c:y val="-6.4075895198852942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5326-46E3-899F-1B2E9E138E29}"/>
                </c:ext>
              </c:extLst>
            </c:dLbl>
            <c:dLbl>
              <c:idx val="1"/>
              <c:layout>
                <c:manualLayout>
                  <c:x val="-7.4785871201836482E-2"/>
                  <c:y val="-5.9449090419595431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5326-46E3-899F-1B2E9E138E29}"/>
                </c:ext>
              </c:extLst>
            </c:dLbl>
            <c:dLbl>
              <c:idx val="2"/>
              <c:layout>
                <c:manualLayout>
                  <c:x val="-5.8301366175381925E-2"/>
                  <c:y val="-3.8885841517001404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9758-4D76-B67A-4AC6525F4884}"/>
                </c:ext>
              </c:extLst>
            </c:dLbl>
            <c:dLbl>
              <c:idx val="3"/>
              <c:layout>
                <c:manualLayout>
                  <c:x val="-5.5977093772369362E-2"/>
                  <c:y val="-8.1980524350040024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5326-46E3-899F-1B2E9E138E29}"/>
                </c:ext>
              </c:extLst>
            </c:dLbl>
            <c:dLbl>
              <c:idx val="4"/>
              <c:layout>
                <c:manualLayout>
                  <c:x val="-5.8301366175381925E-2"/>
                  <c:y val="-3.888584151700137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9758-4D76-B67A-4AC6525F4884}"/>
                </c:ext>
              </c:extLst>
            </c:dLbl>
            <c:dLbl>
              <c:idx val="5"/>
              <c:layout>
                <c:manualLayout>
                  <c:x val="-5.8301366175381925E-2"/>
                  <c:y val="-3.8885841517001384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9758-4D76-B67A-4AC6525F4884}"/>
                </c:ext>
              </c:extLst>
            </c:dLbl>
            <c:numFmt formatCode="&quot;$&quot;#,##0" sourceLinked="0"/>
            <c:spPr>
              <a:noFill/>
              <a:ln>
                <a:noFill/>
              </a:ln>
              <a:effectLst/>
            </c:spPr>
            <c:txPr>
              <a:bodyPr/>
              <a:lstStyle/>
              <a:p>
                <a:pPr>
                  <a:defRPr sz="800" b="1">
                    <a:latin typeface="Calibri" panose="020F0502020204030204" pitchFamily="34" charset="0"/>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'Historical Expense'!$E$1:$J$1</c:f>
              <c:numCache>
                <c:formatCode>General</c:formatCode>
                <c:ptCount val="6"/>
                <c:pt idx="0">
                  <c:v>2011</c:v>
                </c:pt>
                <c:pt idx="1">
                  <c:v>2012</c:v>
                </c:pt>
                <c:pt idx="2">
                  <c:v>2013</c:v>
                </c:pt>
                <c:pt idx="3">
                  <c:v>2014</c:v>
                </c:pt>
                <c:pt idx="4">
                  <c:v>2015</c:v>
                </c:pt>
                <c:pt idx="5">
                  <c:v>2016</c:v>
                </c:pt>
              </c:numCache>
            </c:numRef>
          </c:cat>
          <c:val>
            <c:numRef>
              <c:f>'Historical Expense'!$E$21:$J$21</c:f>
              <c:numCache>
                <c:formatCode>0</c:formatCode>
                <c:ptCount val="6"/>
                <c:pt idx="0">
                  <c:v>4606829.8099999996</c:v>
                </c:pt>
                <c:pt idx="1">
                  <c:v>4811110.8900000006</c:v>
                </c:pt>
                <c:pt idx="2">
                  <c:v>6317891.7700000005</c:v>
                </c:pt>
                <c:pt idx="3">
                  <c:v>5390745.9199999999</c:v>
                </c:pt>
                <c:pt idx="4">
                  <c:v>6405473.2000000002</c:v>
                </c:pt>
                <c:pt idx="5">
                  <c:v>6426406</c:v>
                </c:pt>
              </c:numCache>
            </c:numRef>
          </c:val>
          <c:smooth val="0"/>
          <c:extLst xmlns:c16r2="http://schemas.microsoft.com/office/drawing/2015/06/chart">
            <c:ext xmlns:c16="http://schemas.microsoft.com/office/drawing/2014/chart" uri="{C3380CC4-5D6E-409C-BE32-E72D297353CC}">
              <c16:uniqueId val="{00000007-5326-46E3-899F-1B2E9E138E29}"/>
            </c:ext>
          </c:extLst>
        </c:ser>
        <c:dLbls>
          <c:showLegendKey val="0"/>
          <c:showVal val="0"/>
          <c:showCatName val="0"/>
          <c:showSerName val="0"/>
          <c:showPercent val="0"/>
          <c:showBubbleSize val="0"/>
        </c:dLbls>
        <c:marker val="1"/>
        <c:smooth val="0"/>
        <c:axId val="226154368"/>
        <c:axId val="226155904"/>
      </c:lineChart>
      <c:catAx>
        <c:axId val="226154368"/>
        <c:scaling>
          <c:orientation val="minMax"/>
        </c:scaling>
        <c:delete val="0"/>
        <c:axPos val="b"/>
        <c:numFmt formatCode="General" sourceLinked="1"/>
        <c:majorTickMark val="out"/>
        <c:minorTickMark val="none"/>
        <c:tickLblPos val="nextTo"/>
        <c:txPr>
          <a:bodyPr rot="-1800000"/>
          <a:lstStyle/>
          <a:p>
            <a:pPr>
              <a:defRPr sz="1000" b="0">
                <a:latin typeface="Calibri" panose="020F0502020204030204" pitchFamily="34" charset="0"/>
              </a:defRPr>
            </a:pPr>
            <a:endParaRPr lang="en-US"/>
          </a:p>
        </c:txPr>
        <c:crossAx val="226155904"/>
        <c:crosses val="autoZero"/>
        <c:auto val="1"/>
        <c:lblAlgn val="ctr"/>
        <c:lblOffset val="100"/>
        <c:noMultiLvlLbl val="0"/>
      </c:catAx>
      <c:valAx>
        <c:axId val="226155904"/>
        <c:scaling>
          <c:orientation val="minMax"/>
        </c:scaling>
        <c:delete val="0"/>
        <c:axPos val="l"/>
        <c:majorGridlines/>
        <c:numFmt formatCode="&quot;$&quot;#,##0" sourceLinked="0"/>
        <c:majorTickMark val="out"/>
        <c:minorTickMark val="none"/>
        <c:tickLblPos val="nextTo"/>
        <c:txPr>
          <a:bodyPr/>
          <a:lstStyle/>
          <a:p>
            <a:pPr>
              <a:defRPr sz="1000" b="0">
                <a:latin typeface="Calibri" panose="020F0502020204030204" pitchFamily="34" charset="0"/>
              </a:defRPr>
            </a:pPr>
            <a:endParaRPr lang="en-US"/>
          </a:p>
        </c:txPr>
        <c:crossAx val="226154368"/>
        <c:crosses val="autoZero"/>
        <c:crossBetween val="between"/>
      </c:valAx>
      <c:spPr>
        <a:ln>
          <a:solidFill>
            <a:schemeClr val="tx1"/>
          </a:solidFill>
        </a:ln>
      </c:spPr>
    </c:plotArea>
    <c:legend>
      <c:legendPos val="r"/>
      <c:legendEntry>
        <c:idx val="4"/>
        <c:delete val="1"/>
      </c:legendEntry>
      <c:layout>
        <c:manualLayout>
          <c:xMode val="edge"/>
          <c:yMode val="edge"/>
          <c:x val="0.5270914933710209"/>
          <c:y val="0.53204930844318621"/>
          <c:w val="0.27109530869884407"/>
          <c:h val="0.20794449851071986"/>
        </c:manualLayout>
      </c:layout>
      <c:overlay val="0"/>
      <c:spPr>
        <a:solidFill>
          <a:schemeClr val="bg1"/>
        </a:solidFill>
        <a:ln>
          <a:solidFill>
            <a:schemeClr val="tx1"/>
          </a:solidFill>
        </a:ln>
      </c:spPr>
      <c:txPr>
        <a:bodyPr/>
        <a:lstStyle/>
        <a:p>
          <a:pPr>
            <a:defRPr sz="1000" b="1">
              <a:latin typeface="Calibri" panose="020F0502020204030204" pitchFamily="34" charset="0"/>
            </a:defRPr>
          </a:pPr>
          <a:endParaRPr lang="en-US"/>
        </a:p>
      </c:txPr>
    </c:legend>
    <c:plotVisOnly val="1"/>
    <c:dispBlanksAs val="gap"/>
    <c:showDLblsOverMax val="0"/>
  </c:chart>
  <c:externalData r:id="rId2">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5078941423401884"/>
          <c:y val="8.8428062364137708E-2"/>
          <c:w val="0.77762859454774724"/>
          <c:h val="0.80218699976950048"/>
        </c:manualLayout>
      </c:layout>
      <c:barChart>
        <c:barDir val="col"/>
        <c:grouping val="stacked"/>
        <c:varyColors val="0"/>
        <c:ser>
          <c:idx val="0"/>
          <c:order val="0"/>
          <c:tx>
            <c:strRef>
              <c:f>'Historical Expense'!$D$111</c:f>
              <c:strCache>
                <c:ptCount val="1"/>
                <c:pt idx="0">
                  <c:v>Sub-total Fire Operating</c:v>
                </c:pt>
              </c:strCache>
            </c:strRef>
          </c:tx>
          <c:spPr>
            <a:solidFill>
              <a:schemeClr val="accent2"/>
            </a:solidFill>
            <a:ln>
              <a:solidFill>
                <a:schemeClr val="tx1"/>
              </a:solidFill>
            </a:ln>
          </c:spPr>
          <c:invertIfNegative val="0"/>
          <c:dLbls>
            <c:numFmt formatCode="&quot;$&quot;#,##0" sourceLinked="0"/>
            <c:spPr>
              <a:solidFill>
                <a:schemeClr val="bg1"/>
              </a:solidFill>
              <a:ln>
                <a:solidFill>
                  <a:schemeClr val="accent2"/>
                </a:solidFill>
              </a:ln>
            </c:spPr>
            <c:txPr>
              <a:bodyPr/>
              <a:lstStyle/>
              <a:p>
                <a:pPr>
                  <a:defRPr sz="800" b="1">
                    <a:latin typeface="Calibri" panose="020F0502020204030204" pitchFamily="34" charset="0"/>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'Historical Expense'!$E$1:$J$1</c:f>
              <c:numCache>
                <c:formatCode>General</c:formatCode>
                <c:ptCount val="6"/>
                <c:pt idx="0">
                  <c:v>2011</c:v>
                </c:pt>
                <c:pt idx="1">
                  <c:v>2012</c:v>
                </c:pt>
                <c:pt idx="2">
                  <c:v>2013</c:v>
                </c:pt>
                <c:pt idx="3">
                  <c:v>2014</c:v>
                </c:pt>
                <c:pt idx="4">
                  <c:v>2015</c:v>
                </c:pt>
                <c:pt idx="5">
                  <c:v>2016</c:v>
                </c:pt>
              </c:numCache>
            </c:numRef>
          </c:cat>
          <c:val>
            <c:numRef>
              <c:f>'Historical Expense'!$E$111:$J$111</c:f>
              <c:numCache>
                <c:formatCode>0</c:formatCode>
                <c:ptCount val="6"/>
                <c:pt idx="0">
                  <c:v>489823.27000000008</c:v>
                </c:pt>
                <c:pt idx="1">
                  <c:v>449946.82</c:v>
                </c:pt>
                <c:pt idx="2">
                  <c:v>398576.51999999996</c:v>
                </c:pt>
                <c:pt idx="3">
                  <c:v>498876.66000000003</c:v>
                </c:pt>
                <c:pt idx="4">
                  <c:v>678552.97</c:v>
                </c:pt>
                <c:pt idx="5">
                  <c:v>838145</c:v>
                </c:pt>
              </c:numCache>
            </c:numRef>
          </c:val>
          <c:extLst xmlns:c16r2="http://schemas.microsoft.com/office/drawing/2015/06/chart">
            <c:ext xmlns:c16="http://schemas.microsoft.com/office/drawing/2014/chart" uri="{C3380CC4-5D6E-409C-BE32-E72D297353CC}">
              <c16:uniqueId val="{00000000-6043-4B51-93C9-F8F1175B82E1}"/>
            </c:ext>
          </c:extLst>
        </c:ser>
        <c:ser>
          <c:idx val="1"/>
          <c:order val="1"/>
          <c:tx>
            <c:strRef>
              <c:f>'Historical Expense'!$D$112</c:f>
              <c:strCache>
                <c:ptCount val="1"/>
                <c:pt idx="0">
                  <c:v>Sub-total Ambulance Operating</c:v>
                </c:pt>
              </c:strCache>
            </c:strRef>
          </c:tx>
          <c:spPr>
            <a:solidFill>
              <a:schemeClr val="accent1"/>
            </a:solidFill>
            <a:ln>
              <a:solidFill>
                <a:schemeClr val="tx1"/>
              </a:solidFill>
            </a:ln>
          </c:spPr>
          <c:invertIfNegative val="0"/>
          <c:dLbls>
            <c:numFmt formatCode="&quot;$&quot;#,##0" sourceLinked="0"/>
            <c:spPr>
              <a:solidFill>
                <a:schemeClr val="bg1"/>
              </a:solidFill>
              <a:ln>
                <a:solidFill>
                  <a:schemeClr val="accent1"/>
                </a:solidFill>
              </a:ln>
            </c:spPr>
            <c:txPr>
              <a:bodyPr/>
              <a:lstStyle/>
              <a:p>
                <a:pPr>
                  <a:defRPr sz="800" b="1">
                    <a:latin typeface="Calibri" panose="020F0502020204030204" pitchFamily="34" charset="0"/>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'Historical Expense'!$E$1:$J$1</c:f>
              <c:numCache>
                <c:formatCode>General</c:formatCode>
                <c:ptCount val="6"/>
                <c:pt idx="0">
                  <c:v>2011</c:v>
                </c:pt>
                <c:pt idx="1">
                  <c:v>2012</c:v>
                </c:pt>
                <c:pt idx="2">
                  <c:v>2013</c:v>
                </c:pt>
                <c:pt idx="3">
                  <c:v>2014</c:v>
                </c:pt>
                <c:pt idx="4">
                  <c:v>2015</c:v>
                </c:pt>
                <c:pt idx="5">
                  <c:v>2016</c:v>
                </c:pt>
              </c:numCache>
            </c:numRef>
          </c:cat>
          <c:val>
            <c:numRef>
              <c:f>'Historical Expense'!$E$112:$J$112</c:f>
              <c:numCache>
                <c:formatCode>0</c:formatCode>
                <c:ptCount val="6"/>
                <c:pt idx="0">
                  <c:v>517048.63</c:v>
                </c:pt>
                <c:pt idx="1">
                  <c:v>889588.15</c:v>
                </c:pt>
                <c:pt idx="2">
                  <c:v>839333.39999999991</c:v>
                </c:pt>
                <c:pt idx="3">
                  <c:v>919695.97</c:v>
                </c:pt>
                <c:pt idx="4">
                  <c:v>1142419.17</c:v>
                </c:pt>
                <c:pt idx="5">
                  <c:v>1435555</c:v>
                </c:pt>
              </c:numCache>
            </c:numRef>
          </c:val>
          <c:extLst xmlns:c16r2="http://schemas.microsoft.com/office/drawing/2015/06/chart">
            <c:ext xmlns:c16="http://schemas.microsoft.com/office/drawing/2014/chart" uri="{C3380CC4-5D6E-409C-BE32-E72D297353CC}">
              <c16:uniqueId val="{00000001-6043-4B51-93C9-F8F1175B82E1}"/>
            </c:ext>
          </c:extLst>
        </c:ser>
        <c:dLbls>
          <c:showLegendKey val="0"/>
          <c:showVal val="0"/>
          <c:showCatName val="0"/>
          <c:showSerName val="0"/>
          <c:showPercent val="0"/>
          <c:showBubbleSize val="0"/>
        </c:dLbls>
        <c:gapWidth val="150"/>
        <c:overlap val="100"/>
        <c:axId val="226211712"/>
        <c:axId val="226213248"/>
      </c:barChart>
      <c:lineChart>
        <c:grouping val="standard"/>
        <c:varyColors val="0"/>
        <c:ser>
          <c:idx val="2"/>
          <c:order val="2"/>
          <c:tx>
            <c:strRef>
              <c:f>'Historical Expense'!$D$113</c:f>
              <c:strCache>
                <c:ptCount val="1"/>
                <c:pt idx="0">
                  <c:v>Total Department Operating</c:v>
                </c:pt>
              </c:strCache>
            </c:strRef>
          </c:tx>
          <c:spPr>
            <a:ln w="19050">
              <a:prstDash val="sysDash"/>
            </a:ln>
          </c:spPr>
          <c:marker>
            <c:symbol val="triangle"/>
            <c:size val="6"/>
            <c:spPr>
              <a:solidFill>
                <a:schemeClr val="bg1"/>
              </a:solidFill>
              <a:ln w="12700"/>
            </c:spPr>
          </c:marker>
          <c:dLbls>
            <c:dLbl>
              <c:idx val="0"/>
              <c:layout>
                <c:manualLayout>
                  <c:x val="-6.2149273594321854E-2"/>
                  <c:y val="-5.2426306018534825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6043-4B51-93C9-F8F1175B82E1}"/>
                </c:ext>
              </c:extLst>
            </c:dLbl>
            <c:dLbl>
              <c:idx val="1"/>
              <c:layout>
                <c:manualLayout>
                  <c:x val="-5.5889492686653643E-2"/>
                  <c:y val="-3.4812922287809349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6043-4B51-93C9-F8F1175B82E1}"/>
                </c:ext>
              </c:extLst>
            </c:dLbl>
            <c:dLbl>
              <c:idx val="3"/>
              <c:layout>
                <c:manualLayout>
                  <c:x val="-7.2582241773768888E-2"/>
                  <c:y val="-4.8903629272389733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6043-4B51-93C9-F8F1175B82E1}"/>
                </c:ext>
              </c:extLst>
            </c:dLbl>
            <c:dLbl>
              <c:idx val="4"/>
              <c:layout>
                <c:manualLayout>
                  <c:x val="-8.301520995321586E-2"/>
                  <c:y val="-3.8335599033954414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6043-4B51-93C9-F8F1175B82E1}"/>
                </c:ext>
              </c:extLst>
            </c:dLbl>
            <c:dLbl>
              <c:idx val="5"/>
              <c:layout>
                <c:manualLayout>
                  <c:x val="-6.0062679958432424E-2"/>
                  <c:y val="-3.8335599033954441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6043-4B51-93C9-F8F1175B82E1}"/>
                </c:ext>
              </c:extLst>
            </c:dLbl>
            <c:numFmt formatCode="&quot;$&quot;#,##0" sourceLinked="0"/>
            <c:spPr>
              <a:noFill/>
              <a:ln>
                <a:noFill/>
              </a:ln>
              <a:effectLst/>
            </c:spPr>
            <c:txPr>
              <a:bodyPr/>
              <a:lstStyle/>
              <a:p>
                <a:pPr>
                  <a:defRPr sz="800" b="1">
                    <a:latin typeface="Calibri" panose="020F0502020204030204" pitchFamily="34" charset="0"/>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'Historical Expense'!$E$1:$J$1</c:f>
              <c:numCache>
                <c:formatCode>General</c:formatCode>
                <c:ptCount val="6"/>
                <c:pt idx="0">
                  <c:v>2011</c:v>
                </c:pt>
                <c:pt idx="1">
                  <c:v>2012</c:v>
                </c:pt>
                <c:pt idx="2">
                  <c:v>2013</c:v>
                </c:pt>
                <c:pt idx="3">
                  <c:v>2014</c:v>
                </c:pt>
                <c:pt idx="4">
                  <c:v>2015</c:v>
                </c:pt>
                <c:pt idx="5">
                  <c:v>2016</c:v>
                </c:pt>
              </c:numCache>
            </c:numRef>
          </c:cat>
          <c:val>
            <c:numRef>
              <c:f>'Historical Expense'!$E$113:$J$113</c:f>
              <c:numCache>
                <c:formatCode>0</c:formatCode>
                <c:ptCount val="6"/>
                <c:pt idx="0">
                  <c:v>1006871.9000000001</c:v>
                </c:pt>
                <c:pt idx="1">
                  <c:v>1339534.97</c:v>
                </c:pt>
                <c:pt idx="2">
                  <c:v>1237909.92</c:v>
                </c:pt>
                <c:pt idx="3">
                  <c:v>1418572.63</c:v>
                </c:pt>
                <c:pt idx="4">
                  <c:v>1820972.14</c:v>
                </c:pt>
                <c:pt idx="5">
                  <c:v>2273700</c:v>
                </c:pt>
              </c:numCache>
            </c:numRef>
          </c:val>
          <c:smooth val="0"/>
          <c:extLst xmlns:c16r2="http://schemas.microsoft.com/office/drawing/2015/06/chart">
            <c:ext xmlns:c16="http://schemas.microsoft.com/office/drawing/2014/chart" uri="{C3380CC4-5D6E-409C-BE32-E72D297353CC}">
              <c16:uniqueId val="{00000007-6043-4B51-93C9-F8F1175B82E1}"/>
            </c:ext>
          </c:extLst>
        </c:ser>
        <c:dLbls>
          <c:showLegendKey val="0"/>
          <c:showVal val="0"/>
          <c:showCatName val="0"/>
          <c:showSerName val="0"/>
          <c:showPercent val="0"/>
          <c:showBubbleSize val="0"/>
        </c:dLbls>
        <c:marker val="1"/>
        <c:smooth val="0"/>
        <c:axId val="226211712"/>
        <c:axId val="226213248"/>
      </c:lineChart>
      <c:catAx>
        <c:axId val="226211712"/>
        <c:scaling>
          <c:orientation val="minMax"/>
        </c:scaling>
        <c:delete val="0"/>
        <c:axPos val="b"/>
        <c:numFmt formatCode="General" sourceLinked="1"/>
        <c:majorTickMark val="out"/>
        <c:minorTickMark val="none"/>
        <c:tickLblPos val="nextTo"/>
        <c:txPr>
          <a:bodyPr/>
          <a:lstStyle/>
          <a:p>
            <a:pPr>
              <a:defRPr sz="1000" b="0">
                <a:latin typeface="Calibri" panose="020F0502020204030204" pitchFamily="34" charset="0"/>
              </a:defRPr>
            </a:pPr>
            <a:endParaRPr lang="en-US"/>
          </a:p>
        </c:txPr>
        <c:crossAx val="226213248"/>
        <c:crosses val="autoZero"/>
        <c:auto val="1"/>
        <c:lblAlgn val="ctr"/>
        <c:lblOffset val="100"/>
        <c:noMultiLvlLbl val="0"/>
      </c:catAx>
      <c:valAx>
        <c:axId val="226213248"/>
        <c:scaling>
          <c:orientation val="minMax"/>
        </c:scaling>
        <c:delete val="0"/>
        <c:axPos val="l"/>
        <c:majorGridlines/>
        <c:numFmt formatCode="&quot;$&quot;#,##0" sourceLinked="0"/>
        <c:majorTickMark val="out"/>
        <c:minorTickMark val="none"/>
        <c:tickLblPos val="nextTo"/>
        <c:txPr>
          <a:bodyPr/>
          <a:lstStyle/>
          <a:p>
            <a:pPr>
              <a:defRPr sz="1000" b="0">
                <a:latin typeface="Calibri" panose="020F0502020204030204" pitchFamily="34" charset="0"/>
              </a:defRPr>
            </a:pPr>
            <a:endParaRPr lang="en-US"/>
          </a:p>
        </c:txPr>
        <c:crossAx val="226211712"/>
        <c:crosses val="autoZero"/>
        <c:crossBetween val="between"/>
      </c:valAx>
      <c:spPr>
        <a:ln>
          <a:solidFill>
            <a:schemeClr val="tx1"/>
          </a:solidFill>
        </a:ln>
      </c:spPr>
    </c:plotArea>
    <c:legend>
      <c:legendPos val="r"/>
      <c:layout>
        <c:manualLayout>
          <c:xMode val="edge"/>
          <c:yMode val="edge"/>
          <c:x val="0.18767726804102539"/>
          <c:y val="0.11911279583203541"/>
          <c:w val="0.44655429040291356"/>
          <c:h val="0.16849768131315193"/>
        </c:manualLayout>
      </c:layout>
      <c:overlay val="0"/>
      <c:spPr>
        <a:solidFill>
          <a:schemeClr val="bg1"/>
        </a:solidFill>
        <a:ln>
          <a:solidFill>
            <a:schemeClr val="tx1"/>
          </a:solidFill>
        </a:ln>
      </c:spPr>
      <c:txPr>
        <a:bodyPr/>
        <a:lstStyle/>
        <a:p>
          <a:pPr>
            <a:defRPr sz="1000" b="1">
              <a:latin typeface="Calibri" panose="020F0502020204030204" pitchFamily="34" charset="0"/>
            </a:defRPr>
          </a:pPr>
          <a:endParaRPr lang="en-US"/>
        </a:p>
      </c:txPr>
    </c:legend>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3673552767810078E-2"/>
          <c:y val="8.4685085742374072E-2"/>
          <c:w val="0.88775598668286304"/>
          <c:h val="0.76120679261382074"/>
        </c:manualLayout>
      </c:layout>
      <c:barChart>
        <c:barDir val="col"/>
        <c:grouping val="clustered"/>
        <c:varyColors val="0"/>
        <c:ser>
          <c:idx val="0"/>
          <c:order val="0"/>
          <c:tx>
            <c:strRef>
              <c:f>Charts!$B$55</c:f>
              <c:strCache>
                <c:ptCount val="1"/>
                <c:pt idx="0">
                  <c:v>Loss Per Capita</c:v>
                </c:pt>
              </c:strCache>
            </c:strRef>
          </c:tx>
          <c:spPr>
            <a:solidFill>
              <a:srgbClr val="9999FF"/>
            </a:solidFill>
            <a:ln w="12700">
              <a:noFill/>
              <a:prstDash val="solid"/>
            </a:ln>
          </c:spPr>
          <c:invertIfNegative val="0"/>
          <c:dPt>
            <c:idx val="0"/>
            <c:invertIfNegative val="0"/>
            <c:bubble3D val="0"/>
            <c:spPr>
              <a:solidFill>
                <a:schemeClr val="accent3">
                  <a:lumMod val="75000"/>
                </a:schemeClr>
              </a:solidFill>
              <a:ln w="12700">
                <a:noFill/>
                <a:prstDash val="solid"/>
              </a:ln>
            </c:spPr>
            <c:extLst xmlns:c16r2="http://schemas.microsoft.com/office/drawing/2015/06/chart">
              <c:ext xmlns:c16="http://schemas.microsoft.com/office/drawing/2014/chart" uri="{C3380CC4-5D6E-409C-BE32-E72D297353CC}">
                <c16:uniqueId val="{00000001-5143-4C62-B99E-14B8F36CB35D}"/>
              </c:ext>
            </c:extLst>
          </c:dPt>
          <c:dPt>
            <c:idx val="1"/>
            <c:invertIfNegative val="0"/>
            <c:bubble3D val="0"/>
            <c:spPr>
              <a:solidFill>
                <a:schemeClr val="tx2"/>
              </a:solidFill>
              <a:ln w="12700">
                <a:noFill/>
                <a:prstDash val="solid"/>
              </a:ln>
            </c:spPr>
            <c:extLst xmlns:c16r2="http://schemas.microsoft.com/office/drawing/2015/06/chart">
              <c:ext xmlns:c16="http://schemas.microsoft.com/office/drawing/2014/chart" uri="{C3380CC4-5D6E-409C-BE32-E72D297353CC}">
                <c16:uniqueId val="{00000003-5143-4C62-B99E-14B8F36CB35D}"/>
              </c:ext>
            </c:extLst>
          </c:dPt>
          <c:dPt>
            <c:idx val="2"/>
            <c:invertIfNegative val="0"/>
            <c:bubble3D val="0"/>
            <c:spPr>
              <a:solidFill>
                <a:srgbClr val="C00000"/>
              </a:solidFill>
              <a:ln w="12700">
                <a:noFill/>
                <a:prstDash val="solid"/>
              </a:ln>
            </c:spPr>
            <c:extLst xmlns:c16r2="http://schemas.microsoft.com/office/drawing/2015/06/chart">
              <c:ext xmlns:c16="http://schemas.microsoft.com/office/drawing/2014/chart" uri="{C3380CC4-5D6E-409C-BE32-E72D297353CC}">
                <c16:uniqueId val="{00000005-5143-4C62-B99E-14B8F36CB35D}"/>
              </c:ext>
            </c:extLst>
          </c:dPt>
          <c:dLbls>
            <c:numFmt formatCode="\$#,##0" sourceLinked="0"/>
            <c:spPr>
              <a:noFill/>
              <a:ln w="25400">
                <a:noFill/>
              </a:ln>
            </c:spPr>
            <c:txPr>
              <a:bodyPr/>
              <a:lstStyle/>
              <a:p>
                <a:pPr>
                  <a:defRPr b="1">
                    <a:latin typeface="Calibri" panose="020F0502020204030204" pitchFamily="34"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Charts!$A$56:$A$58</c:f>
              <c:strCache>
                <c:ptCount val="3"/>
                <c:pt idx="0">
                  <c:v>Regional Average</c:v>
                </c:pt>
                <c:pt idx="1">
                  <c:v>National Average</c:v>
                </c:pt>
                <c:pt idx="2">
                  <c:v>PFD</c:v>
                </c:pt>
              </c:strCache>
            </c:strRef>
          </c:cat>
          <c:val>
            <c:numRef>
              <c:f>Charts!$B$56:$B$58</c:f>
              <c:numCache>
                <c:formatCode>General</c:formatCode>
                <c:ptCount val="3"/>
                <c:pt idx="0">
                  <c:v>34.799999999999997</c:v>
                </c:pt>
                <c:pt idx="1">
                  <c:v>30.5</c:v>
                </c:pt>
                <c:pt idx="2">
                  <c:v>14.551582649472451</c:v>
                </c:pt>
              </c:numCache>
            </c:numRef>
          </c:val>
          <c:extLst xmlns:c16r2="http://schemas.microsoft.com/office/drawing/2015/06/chart">
            <c:ext xmlns:c16="http://schemas.microsoft.com/office/drawing/2014/chart" uri="{C3380CC4-5D6E-409C-BE32-E72D297353CC}">
              <c16:uniqueId val="{00000006-5143-4C62-B99E-14B8F36CB35D}"/>
            </c:ext>
          </c:extLst>
        </c:ser>
        <c:dLbls>
          <c:showLegendKey val="0"/>
          <c:showVal val="1"/>
          <c:showCatName val="0"/>
          <c:showSerName val="0"/>
          <c:showPercent val="0"/>
          <c:showBubbleSize val="0"/>
        </c:dLbls>
        <c:gapWidth val="150"/>
        <c:axId val="218272896"/>
        <c:axId val="218281088"/>
      </c:barChart>
      <c:catAx>
        <c:axId val="218272896"/>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a:latin typeface="Calibri" panose="020F0502020204030204" pitchFamily="34" charset="0"/>
              </a:defRPr>
            </a:pPr>
            <a:endParaRPr lang="en-US"/>
          </a:p>
        </c:txPr>
        <c:crossAx val="218281088"/>
        <c:crosses val="autoZero"/>
        <c:auto val="1"/>
        <c:lblAlgn val="ctr"/>
        <c:lblOffset val="100"/>
        <c:tickLblSkip val="1"/>
        <c:tickMarkSkip val="1"/>
        <c:noMultiLvlLbl val="0"/>
      </c:catAx>
      <c:valAx>
        <c:axId val="218281088"/>
        <c:scaling>
          <c:orientation val="minMax"/>
        </c:scaling>
        <c:delete val="0"/>
        <c:axPos val="l"/>
        <c:majorGridlines>
          <c:spPr>
            <a:ln w="3175">
              <a:solidFill>
                <a:srgbClr val="000000"/>
              </a:solidFill>
              <a:prstDash val="solid"/>
            </a:ln>
          </c:spPr>
        </c:majorGridlines>
        <c:numFmt formatCode="\$#,##0" sourceLinked="0"/>
        <c:majorTickMark val="out"/>
        <c:minorTickMark val="none"/>
        <c:tickLblPos val="nextTo"/>
        <c:spPr>
          <a:ln w="3175">
            <a:solidFill>
              <a:srgbClr val="000000"/>
            </a:solidFill>
            <a:prstDash val="solid"/>
          </a:ln>
        </c:spPr>
        <c:txPr>
          <a:bodyPr rot="0" vert="horz"/>
          <a:lstStyle/>
          <a:p>
            <a:pPr>
              <a:defRPr>
                <a:latin typeface="Calibri" panose="020F0502020204030204" pitchFamily="34" charset="0"/>
              </a:defRPr>
            </a:pPr>
            <a:endParaRPr lang="en-US"/>
          </a:p>
        </c:txPr>
        <c:crossAx val="218272896"/>
        <c:crosses val="autoZero"/>
        <c:crossBetween val="between"/>
      </c:valAx>
      <c:spPr>
        <a:noFill/>
        <a:ln w="12700">
          <a:noFill/>
          <a:prstDash val="solid"/>
        </a:ln>
      </c:spPr>
    </c:plotArea>
    <c:plotVisOnly val="1"/>
    <c:dispBlanksAs val="gap"/>
    <c:showDLblsOverMax val="0"/>
  </c:chart>
  <c:spPr>
    <a:noFill/>
    <a:ln w="3175">
      <a:noFill/>
      <a:prstDash val="solid"/>
    </a:ln>
  </c:spPr>
  <c:txPr>
    <a:bodyPr/>
    <a:lstStyle/>
    <a:p>
      <a:pPr>
        <a:defRPr sz="1000" b="0" i="0" u="none" strike="noStrike" baseline="0">
          <a:solidFill>
            <a:srgbClr val="000000"/>
          </a:solidFill>
          <a:latin typeface="+mn-lt"/>
          <a:ea typeface="Arial"/>
          <a:cs typeface="Arial"/>
        </a:defRPr>
      </a:pPr>
      <a:endParaRPr lang="en-US"/>
    </a:p>
  </c:txPr>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6476949396825885"/>
          <c:y val="0.13223082490733226"/>
          <c:w val="0.76856385030120566"/>
          <c:h val="0.75594733109614776"/>
        </c:manualLayout>
      </c:layout>
      <c:barChart>
        <c:barDir val="col"/>
        <c:grouping val="stacked"/>
        <c:varyColors val="0"/>
        <c:ser>
          <c:idx val="0"/>
          <c:order val="0"/>
          <c:tx>
            <c:strRef>
              <c:f>'Historical Expense'!$D$64</c:f>
              <c:strCache>
                <c:ptCount val="1"/>
                <c:pt idx="0">
                  <c:v>Sub-total Fire I/F ER Replacement</c:v>
                </c:pt>
              </c:strCache>
            </c:strRef>
          </c:tx>
          <c:spPr>
            <a:solidFill>
              <a:schemeClr val="accent2"/>
            </a:solidFill>
            <a:ln>
              <a:solidFill>
                <a:schemeClr val="tx1"/>
              </a:solidFill>
            </a:ln>
          </c:spPr>
          <c:invertIfNegative val="0"/>
          <c:dLbls>
            <c:numFmt formatCode="&quot;$&quot;#,##0" sourceLinked="0"/>
            <c:spPr>
              <a:solidFill>
                <a:schemeClr val="bg1"/>
              </a:solidFill>
              <a:ln>
                <a:solidFill>
                  <a:schemeClr val="tx1"/>
                </a:solidFill>
              </a:ln>
            </c:spPr>
            <c:txPr>
              <a:bodyPr/>
              <a:lstStyle/>
              <a:p>
                <a:pPr>
                  <a:defRPr sz="800" b="1">
                    <a:latin typeface="Calibri" panose="020F0502020204030204" pitchFamily="34" charset="0"/>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'Historical Expense'!$E$1:$J$1</c:f>
              <c:numCache>
                <c:formatCode>General</c:formatCode>
                <c:ptCount val="6"/>
                <c:pt idx="0">
                  <c:v>2011</c:v>
                </c:pt>
                <c:pt idx="1">
                  <c:v>2012</c:v>
                </c:pt>
                <c:pt idx="2">
                  <c:v>2013</c:v>
                </c:pt>
                <c:pt idx="3">
                  <c:v>2014</c:v>
                </c:pt>
                <c:pt idx="4">
                  <c:v>2015</c:v>
                </c:pt>
                <c:pt idx="5">
                  <c:v>2016</c:v>
                </c:pt>
              </c:numCache>
            </c:numRef>
          </c:cat>
          <c:val>
            <c:numRef>
              <c:f>'Historical Expense'!$E$64:$J$64</c:f>
              <c:numCache>
                <c:formatCode>0</c:formatCode>
                <c:ptCount val="6"/>
                <c:pt idx="0">
                  <c:v>222148</c:v>
                </c:pt>
                <c:pt idx="1">
                  <c:v>244827</c:v>
                </c:pt>
                <c:pt idx="2">
                  <c:v>250759.99</c:v>
                </c:pt>
                <c:pt idx="3">
                  <c:v>245570</c:v>
                </c:pt>
                <c:pt idx="4">
                  <c:v>243345</c:v>
                </c:pt>
                <c:pt idx="5">
                  <c:v>281660</c:v>
                </c:pt>
              </c:numCache>
            </c:numRef>
          </c:val>
          <c:extLst xmlns:c16r2="http://schemas.microsoft.com/office/drawing/2015/06/chart">
            <c:ext xmlns:c16="http://schemas.microsoft.com/office/drawing/2014/chart" uri="{C3380CC4-5D6E-409C-BE32-E72D297353CC}">
              <c16:uniqueId val="{00000000-25D2-4C8A-83A2-135606908579}"/>
            </c:ext>
          </c:extLst>
        </c:ser>
        <c:ser>
          <c:idx val="1"/>
          <c:order val="1"/>
          <c:tx>
            <c:strRef>
              <c:f>'Historical Expense'!$D$107</c:f>
              <c:strCache>
                <c:ptCount val="1"/>
                <c:pt idx="0">
                  <c:v>Sub-total Ambulance I/F ER Replacement</c:v>
                </c:pt>
              </c:strCache>
            </c:strRef>
          </c:tx>
          <c:spPr>
            <a:solidFill>
              <a:schemeClr val="accent1"/>
            </a:solidFill>
            <a:ln>
              <a:solidFill>
                <a:schemeClr val="tx1"/>
              </a:solidFill>
            </a:ln>
          </c:spPr>
          <c:invertIfNegative val="0"/>
          <c:dLbls>
            <c:numFmt formatCode="&quot;$&quot;#,##0" sourceLinked="0"/>
            <c:spPr>
              <a:solidFill>
                <a:schemeClr val="bg1"/>
              </a:solidFill>
              <a:ln>
                <a:solidFill>
                  <a:schemeClr val="tx1"/>
                </a:solidFill>
              </a:ln>
            </c:spPr>
            <c:txPr>
              <a:bodyPr/>
              <a:lstStyle/>
              <a:p>
                <a:pPr>
                  <a:defRPr sz="800" b="1">
                    <a:latin typeface="Calibri" panose="020F0502020204030204" pitchFamily="34" charset="0"/>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'Historical Expense'!$E$1:$J$1</c:f>
              <c:numCache>
                <c:formatCode>General</c:formatCode>
                <c:ptCount val="6"/>
                <c:pt idx="0">
                  <c:v>2011</c:v>
                </c:pt>
                <c:pt idx="1">
                  <c:v>2012</c:v>
                </c:pt>
                <c:pt idx="2">
                  <c:v>2013</c:v>
                </c:pt>
                <c:pt idx="3">
                  <c:v>2014</c:v>
                </c:pt>
                <c:pt idx="4">
                  <c:v>2015</c:v>
                </c:pt>
                <c:pt idx="5">
                  <c:v>2016</c:v>
                </c:pt>
              </c:numCache>
            </c:numRef>
          </c:cat>
          <c:val>
            <c:numRef>
              <c:f>'Historical Expense'!$E$107:$J$107</c:f>
              <c:numCache>
                <c:formatCode>0</c:formatCode>
                <c:ptCount val="6"/>
                <c:pt idx="0">
                  <c:v>198770.33</c:v>
                </c:pt>
                <c:pt idx="1">
                  <c:v>210625</c:v>
                </c:pt>
                <c:pt idx="2">
                  <c:v>220824.93</c:v>
                </c:pt>
                <c:pt idx="3">
                  <c:v>209200</c:v>
                </c:pt>
                <c:pt idx="4">
                  <c:v>212955</c:v>
                </c:pt>
                <c:pt idx="5">
                  <c:v>257215</c:v>
                </c:pt>
              </c:numCache>
            </c:numRef>
          </c:val>
          <c:extLst xmlns:c16r2="http://schemas.microsoft.com/office/drawing/2015/06/chart">
            <c:ext xmlns:c16="http://schemas.microsoft.com/office/drawing/2014/chart" uri="{C3380CC4-5D6E-409C-BE32-E72D297353CC}">
              <c16:uniqueId val="{00000001-25D2-4C8A-83A2-135606908579}"/>
            </c:ext>
          </c:extLst>
        </c:ser>
        <c:dLbls>
          <c:showLegendKey val="0"/>
          <c:showVal val="0"/>
          <c:showCatName val="0"/>
          <c:showSerName val="0"/>
          <c:showPercent val="0"/>
          <c:showBubbleSize val="0"/>
        </c:dLbls>
        <c:gapWidth val="150"/>
        <c:overlap val="100"/>
        <c:axId val="226289152"/>
        <c:axId val="226290688"/>
      </c:barChart>
      <c:lineChart>
        <c:grouping val="standard"/>
        <c:varyColors val="0"/>
        <c:ser>
          <c:idx val="2"/>
          <c:order val="2"/>
          <c:tx>
            <c:strRef>
              <c:f>'Historical Expense'!$M$66</c:f>
              <c:strCache>
                <c:ptCount val="1"/>
                <c:pt idx="0">
                  <c:v>Total Department I/F ER Replacement</c:v>
                </c:pt>
              </c:strCache>
            </c:strRef>
          </c:tx>
          <c:spPr>
            <a:ln w="19050">
              <a:prstDash val="sysDash"/>
            </a:ln>
          </c:spPr>
          <c:marker>
            <c:symbol val="triangle"/>
            <c:size val="6"/>
            <c:spPr>
              <a:solidFill>
                <a:schemeClr val="bg1"/>
              </a:solidFill>
            </c:spPr>
          </c:marker>
          <c:dLbls>
            <c:dLbl>
              <c:idx val="1"/>
              <c:layout>
                <c:manualLayout>
                  <c:x val="-5.1762904636920425E-2"/>
                  <c:y val="-3.9552455943007159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25D2-4C8A-83A2-135606908579}"/>
                </c:ext>
              </c:extLst>
            </c:dLbl>
            <c:dLbl>
              <c:idx val="2"/>
              <c:layout>
                <c:manualLayout>
                  <c:x val="-5.1762904636920383E-2"/>
                  <c:y val="-5.4790551181102362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25D2-4C8A-83A2-135606908579}"/>
                </c:ext>
              </c:extLst>
            </c:dLbl>
            <c:dLbl>
              <c:idx val="3"/>
              <c:layout>
                <c:manualLayout>
                  <c:x val="-5.1762904636920383E-2"/>
                  <c:y val="-3.9552455943007124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25D2-4C8A-83A2-135606908579}"/>
                </c:ext>
              </c:extLst>
            </c:dLbl>
            <c:dLbl>
              <c:idx val="4"/>
              <c:layout>
                <c:manualLayout>
                  <c:x val="-5.6036408910424655E-2"/>
                  <c:y val="-3.5742932133483313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25D2-4C8A-83A2-135606908579}"/>
                </c:ext>
              </c:extLst>
            </c:dLbl>
            <c:dLbl>
              <c:idx val="5"/>
              <c:layout>
                <c:manualLayout>
                  <c:x val="-5.1762904636920383E-2"/>
                  <c:y val="-3.5742932133483313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25D2-4C8A-83A2-135606908579}"/>
                </c:ext>
              </c:extLst>
            </c:dLbl>
            <c:numFmt formatCode="&quot;$&quot;#,##0" sourceLinked="0"/>
            <c:spPr>
              <a:noFill/>
              <a:ln>
                <a:noFill/>
              </a:ln>
              <a:effectLst/>
            </c:spPr>
            <c:txPr>
              <a:bodyPr/>
              <a:lstStyle/>
              <a:p>
                <a:pPr>
                  <a:defRPr sz="800" b="1">
                    <a:latin typeface="Calibri" panose="020F0502020204030204" pitchFamily="34" charset="0"/>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'Historical Expense'!$E$1:$J$1</c:f>
              <c:numCache>
                <c:formatCode>General</c:formatCode>
                <c:ptCount val="6"/>
                <c:pt idx="0">
                  <c:v>2011</c:v>
                </c:pt>
                <c:pt idx="1">
                  <c:v>2012</c:v>
                </c:pt>
                <c:pt idx="2">
                  <c:v>2013</c:v>
                </c:pt>
                <c:pt idx="3">
                  <c:v>2014</c:v>
                </c:pt>
                <c:pt idx="4">
                  <c:v>2015</c:v>
                </c:pt>
                <c:pt idx="5">
                  <c:v>2016</c:v>
                </c:pt>
              </c:numCache>
            </c:numRef>
          </c:cat>
          <c:val>
            <c:numRef>
              <c:f>'Historical Expense'!$N$66:$S$66</c:f>
              <c:numCache>
                <c:formatCode>0</c:formatCode>
                <c:ptCount val="6"/>
                <c:pt idx="0">
                  <c:v>420918.32999999996</c:v>
                </c:pt>
                <c:pt idx="1">
                  <c:v>455452</c:v>
                </c:pt>
                <c:pt idx="2">
                  <c:v>471584.92</c:v>
                </c:pt>
                <c:pt idx="3">
                  <c:v>454770</c:v>
                </c:pt>
                <c:pt idx="4">
                  <c:v>456300</c:v>
                </c:pt>
                <c:pt idx="5">
                  <c:v>538875</c:v>
                </c:pt>
              </c:numCache>
            </c:numRef>
          </c:val>
          <c:smooth val="0"/>
          <c:extLst xmlns:c16r2="http://schemas.microsoft.com/office/drawing/2015/06/chart">
            <c:ext xmlns:c16="http://schemas.microsoft.com/office/drawing/2014/chart" uri="{C3380CC4-5D6E-409C-BE32-E72D297353CC}">
              <c16:uniqueId val="{00000007-25D2-4C8A-83A2-135606908579}"/>
            </c:ext>
          </c:extLst>
        </c:ser>
        <c:dLbls>
          <c:showLegendKey val="0"/>
          <c:showVal val="0"/>
          <c:showCatName val="0"/>
          <c:showSerName val="0"/>
          <c:showPercent val="0"/>
          <c:showBubbleSize val="0"/>
        </c:dLbls>
        <c:marker val="1"/>
        <c:smooth val="0"/>
        <c:axId val="226289152"/>
        <c:axId val="226290688"/>
      </c:lineChart>
      <c:catAx>
        <c:axId val="226289152"/>
        <c:scaling>
          <c:orientation val="minMax"/>
        </c:scaling>
        <c:delete val="0"/>
        <c:axPos val="b"/>
        <c:numFmt formatCode="General" sourceLinked="1"/>
        <c:majorTickMark val="out"/>
        <c:minorTickMark val="none"/>
        <c:tickLblPos val="nextTo"/>
        <c:txPr>
          <a:bodyPr/>
          <a:lstStyle/>
          <a:p>
            <a:pPr>
              <a:defRPr sz="1000" b="0">
                <a:latin typeface="Calibri" panose="020F0502020204030204" pitchFamily="34" charset="0"/>
              </a:defRPr>
            </a:pPr>
            <a:endParaRPr lang="en-US"/>
          </a:p>
        </c:txPr>
        <c:crossAx val="226290688"/>
        <c:crosses val="autoZero"/>
        <c:auto val="1"/>
        <c:lblAlgn val="ctr"/>
        <c:lblOffset val="100"/>
        <c:noMultiLvlLbl val="0"/>
      </c:catAx>
      <c:valAx>
        <c:axId val="226290688"/>
        <c:scaling>
          <c:orientation val="minMax"/>
        </c:scaling>
        <c:delete val="0"/>
        <c:axPos val="l"/>
        <c:majorGridlines/>
        <c:numFmt formatCode="&quot;$&quot;#,##0" sourceLinked="0"/>
        <c:majorTickMark val="out"/>
        <c:minorTickMark val="none"/>
        <c:tickLblPos val="nextTo"/>
        <c:txPr>
          <a:bodyPr/>
          <a:lstStyle/>
          <a:p>
            <a:pPr>
              <a:defRPr sz="1000" b="0">
                <a:latin typeface="Calibri" panose="020F0502020204030204" pitchFamily="34" charset="0"/>
              </a:defRPr>
            </a:pPr>
            <a:endParaRPr lang="en-US"/>
          </a:p>
        </c:txPr>
        <c:crossAx val="226289152"/>
        <c:crosses val="autoZero"/>
        <c:crossBetween val="between"/>
      </c:valAx>
      <c:spPr>
        <a:ln>
          <a:solidFill>
            <a:schemeClr val="tx1"/>
          </a:solidFill>
        </a:ln>
      </c:spPr>
    </c:plotArea>
    <c:legend>
      <c:legendPos val="b"/>
      <c:layout>
        <c:manualLayout>
          <c:xMode val="edge"/>
          <c:yMode val="edge"/>
          <c:x val="0.1786912436530112"/>
          <c:y val="4.06846080173126E-2"/>
          <c:w val="0.50720070419935959"/>
          <c:h val="0.17565708186198173"/>
        </c:manualLayout>
      </c:layout>
      <c:overlay val="0"/>
      <c:spPr>
        <a:solidFill>
          <a:schemeClr val="bg1"/>
        </a:solidFill>
        <a:ln>
          <a:solidFill>
            <a:schemeClr val="tx1"/>
          </a:solidFill>
        </a:ln>
      </c:spPr>
      <c:txPr>
        <a:bodyPr/>
        <a:lstStyle/>
        <a:p>
          <a:pPr>
            <a:defRPr sz="1000" b="1">
              <a:latin typeface="Calibri" panose="020F0502020204030204" pitchFamily="34" charset="0"/>
            </a:defRPr>
          </a:pPr>
          <a:endParaRPr lang="en-US"/>
        </a:p>
      </c:txPr>
    </c:legend>
    <c:plotVisOnly val="1"/>
    <c:dispBlanksAs val="gap"/>
    <c:showDLblsOverMax val="0"/>
  </c:chart>
  <c:externalData r:id="rId2">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4498835301837273"/>
          <c:y val="0.11158573928258968"/>
          <c:w val="0.77924803149606303"/>
          <c:h val="0.76317512394284048"/>
        </c:manualLayout>
      </c:layout>
      <c:barChart>
        <c:barDir val="col"/>
        <c:grouping val="stacked"/>
        <c:varyColors val="0"/>
        <c:ser>
          <c:idx val="0"/>
          <c:order val="0"/>
          <c:tx>
            <c:strRef>
              <c:f>'Historical Expense'!$D$123</c:f>
              <c:strCache>
                <c:ptCount val="1"/>
                <c:pt idx="0">
                  <c:v>Non-apparatus Capital (Fire)</c:v>
                </c:pt>
              </c:strCache>
            </c:strRef>
          </c:tx>
          <c:spPr>
            <a:solidFill>
              <a:schemeClr val="accent2"/>
            </a:solidFill>
            <a:ln>
              <a:solidFill>
                <a:schemeClr val="tx1"/>
              </a:solidFill>
            </a:ln>
          </c:spPr>
          <c:invertIfNegative val="0"/>
          <c:cat>
            <c:numRef>
              <c:f>'Historical Expense'!$E$1:$J$1</c:f>
              <c:numCache>
                <c:formatCode>General</c:formatCode>
                <c:ptCount val="6"/>
                <c:pt idx="0">
                  <c:v>2011</c:v>
                </c:pt>
                <c:pt idx="1">
                  <c:v>2012</c:v>
                </c:pt>
                <c:pt idx="2">
                  <c:v>2013</c:v>
                </c:pt>
                <c:pt idx="3">
                  <c:v>2014</c:v>
                </c:pt>
                <c:pt idx="4">
                  <c:v>2015</c:v>
                </c:pt>
                <c:pt idx="5">
                  <c:v>2016</c:v>
                </c:pt>
              </c:numCache>
            </c:numRef>
          </c:cat>
          <c:val>
            <c:numRef>
              <c:f>'Historical Expense'!$E$123:$J$123</c:f>
              <c:numCache>
                <c:formatCode>0</c:formatCode>
                <c:ptCount val="6"/>
                <c:pt idx="0">
                  <c:v>0</c:v>
                </c:pt>
                <c:pt idx="1">
                  <c:v>50567.99</c:v>
                </c:pt>
                <c:pt idx="2">
                  <c:v>0</c:v>
                </c:pt>
                <c:pt idx="3">
                  <c:v>55129.29</c:v>
                </c:pt>
                <c:pt idx="4">
                  <c:v>7520.88</c:v>
                </c:pt>
                <c:pt idx="5">
                  <c:v>78000</c:v>
                </c:pt>
              </c:numCache>
            </c:numRef>
          </c:val>
          <c:extLst xmlns:c16r2="http://schemas.microsoft.com/office/drawing/2015/06/chart">
            <c:ext xmlns:c16="http://schemas.microsoft.com/office/drawing/2014/chart" uri="{C3380CC4-5D6E-409C-BE32-E72D297353CC}">
              <c16:uniqueId val="{00000000-89BA-4257-87A9-84D1E4A2AE12}"/>
            </c:ext>
          </c:extLst>
        </c:ser>
        <c:ser>
          <c:idx val="1"/>
          <c:order val="1"/>
          <c:tx>
            <c:strRef>
              <c:f>'Historical Expense'!$D$124</c:f>
              <c:strCache>
                <c:ptCount val="1"/>
                <c:pt idx="0">
                  <c:v>Non-apparatus Capital (Ambulance)</c:v>
                </c:pt>
              </c:strCache>
            </c:strRef>
          </c:tx>
          <c:spPr>
            <a:solidFill>
              <a:schemeClr val="accent1"/>
            </a:solidFill>
            <a:ln>
              <a:solidFill>
                <a:schemeClr val="tx1"/>
              </a:solidFill>
            </a:ln>
          </c:spPr>
          <c:invertIfNegative val="0"/>
          <c:cat>
            <c:numRef>
              <c:f>'Historical Expense'!$E$1:$J$1</c:f>
              <c:numCache>
                <c:formatCode>General</c:formatCode>
                <c:ptCount val="6"/>
                <c:pt idx="0">
                  <c:v>2011</c:v>
                </c:pt>
                <c:pt idx="1">
                  <c:v>2012</c:v>
                </c:pt>
                <c:pt idx="2">
                  <c:v>2013</c:v>
                </c:pt>
                <c:pt idx="3">
                  <c:v>2014</c:v>
                </c:pt>
                <c:pt idx="4">
                  <c:v>2015</c:v>
                </c:pt>
                <c:pt idx="5">
                  <c:v>2016</c:v>
                </c:pt>
              </c:numCache>
            </c:numRef>
          </c:cat>
          <c:val>
            <c:numRef>
              <c:f>'Historical Expense'!$E$124:$J$124</c:f>
              <c:numCache>
                <c:formatCode>0</c:formatCode>
                <c:ptCount val="6"/>
                <c:pt idx="0">
                  <c:v>7534.64</c:v>
                </c:pt>
                <c:pt idx="1">
                  <c:v>0</c:v>
                </c:pt>
                <c:pt idx="2">
                  <c:v>0</c:v>
                </c:pt>
                <c:pt idx="3">
                  <c:v>0</c:v>
                </c:pt>
                <c:pt idx="4">
                  <c:v>0</c:v>
                </c:pt>
                <c:pt idx="5">
                  <c:v>49500</c:v>
                </c:pt>
              </c:numCache>
            </c:numRef>
          </c:val>
          <c:extLst xmlns:c16r2="http://schemas.microsoft.com/office/drawing/2015/06/chart">
            <c:ext xmlns:c16="http://schemas.microsoft.com/office/drawing/2014/chart" uri="{C3380CC4-5D6E-409C-BE32-E72D297353CC}">
              <c16:uniqueId val="{00000001-89BA-4257-87A9-84D1E4A2AE12}"/>
            </c:ext>
          </c:extLst>
        </c:ser>
        <c:dLbls>
          <c:showLegendKey val="0"/>
          <c:showVal val="0"/>
          <c:showCatName val="0"/>
          <c:showSerName val="0"/>
          <c:showPercent val="0"/>
          <c:showBubbleSize val="0"/>
        </c:dLbls>
        <c:gapWidth val="150"/>
        <c:overlap val="100"/>
        <c:axId val="226337152"/>
        <c:axId val="226338688"/>
      </c:barChart>
      <c:catAx>
        <c:axId val="226337152"/>
        <c:scaling>
          <c:orientation val="minMax"/>
        </c:scaling>
        <c:delete val="0"/>
        <c:axPos val="b"/>
        <c:numFmt formatCode="General" sourceLinked="1"/>
        <c:majorTickMark val="out"/>
        <c:minorTickMark val="none"/>
        <c:tickLblPos val="nextTo"/>
        <c:txPr>
          <a:bodyPr/>
          <a:lstStyle/>
          <a:p>
            <a:pPr>
              <a:defRPr sz="1000" b="0">
                <a:latin typeface="Calibri" panose="020F0502020204030204" pitchFamily="34" charset="0"/>
              </a:defRPr>
            </a:pPr>
            <a:endParaRPr lang="en-US"/>
          </a:p>
        </c:txPr>
        <c:crossAx val="226338688"/>
        <c:crosses val="autoZero"/>
        <c:auto val="1"/>
        <c:lblAlgn val="ctr"/>
        <c:lblOffset val="100"/>
        <c:noMultiLvlLbl val="0"/>
      </c:catAx>
      <c:valAx>
        <c:axId val="226338688"/>
        <c:scaling>
          <c:orientation val="minMax"/>
        </c:scaling>
        <c:delete val="0"/>
        <c:axPos val="l"/>
        <c:majorGridlines/>
        <c:numFmt formatCode="&quot;$&quot;#,##0" sourceLinked="0"/>
        <c:majorTickMark val="out"/>
        <c:minorTickMark val="none"/>
        <c:tickLblPos val="nextTo"/>
        <c:txPr>
          <a:bodyPr/>
          <a:lstStyle/>
          <a:p>
            <a:pPr>
              <a:defRPr sz="1000" b="0">
                <a:latin typeface="Calibri" panose="020F0502020204030204" pitchFamily="34" charset="0"/>
              </a:defRPr>
            </a:pPr>
            <a:endParaRPr lang="en-US"/>
          </a:p>
        </c:txPr>
        <c:crossAx val="226337152"/>
        <c:crosses val="autoZero"/>
        <c:crossBetween val="between"/>
      </c:valAx>
      <c:spPr>
        <a:ln>
          <a:solidFill>
            <a:schemeClr val="tx1"/>
          </a:solidFill>
        </a:ln>
      </c:spPr>
    </c:plotArea>
    <c:legend>
      <c:legendPos val="r"/>
      <c:layout>
        <c:manualLayout>
          <c:xMode val="edge"/>
          <c:yMode val="edge"/>
          <c:x val="0.18423959284067881"/>
          <c:y val="0.24209809067984148"/>
          <c:w val="0.49706212067302979"/>
          <c:h val="0.16853687406721218"/>
        </c:manualLayout>
      </c:layout>
      <c:overlay val="0"/>
      <c:spPr>
        <a:solidFill>
          <a:schemeClr val="bg1"/>
        </a:solidFill>
        <a:ln>
          <a:solidFill>
            <a:schemeClr val="tx1"/>
          </a:solidFill>
        </a:ln>
      </c:spPr>
      <c:txPr>
        <a:bodyPr/>
        <a:lstStyle/>
        <a:p>
          <a:pPr>
            <a:defRPr sz="1000" b="1">
              <a:latin typeface="Calibri" panose="020F0502020204030204" pitchFamily="34" charset="0"/>
            </a:defRPr>
          </a:pPr>
          <a:endParaRPr lang="en-US"/>
        </a:p>
      </c:txPr>
    </c:legend>
    <c:plotVisOnly val="1"/>
    <c:dispBlanksAs val="gap"/>
    <c:showDLblsOverMax val="0"/>
  </c:chart>
  <c:externalData r:id="rId2">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5716486143457417"/>
          <c:y val="8.3807961504811887E-2"/>
          <c:w val="0.7768754492542892"/>
          <c:h val="0.70301457783878052"/>
        </c:manualLayout>
      </c:layout>
      <c:barChart>
        <c:barDir val="col"/>
        <c:grouping val="clustered"/>
        <c:varyColors val="0"/>
        <c:ser>
          <c:idx val="2"/>
          <c:order val="2"/>
          <c:tx>
            <c:strRef>
              <c:f>'Historical Summary'!$B$43</c:f>
              <c:strCache>
                <c:ptCount val="1"/>
                <c:pt idx="0">
                  <c:v>Operating Surplus(Deficit)</c:v>
                </c:pt>
              </c:strCache>
            </c:strRef>
          </c:tx>
          <c:spPr>
            <a:ln>
              <a:solidFill>
                <a:schemeClr val="tx1"/>
              </a:solidFill>
            </a:ln>
          </c:spPr>
          <c:invertIfNegative val="0"/>
          <c:dLbls>
            <c:dLbl>
              <c:idx val="2"/>
              <c:layout>
                <c:manualLayout>
                  <c:x val="0"/>
                  <c:y val="1.3317210007541753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38D1-45FB-8FA0-C3AF88CEF1C8}"/>
                </c:ext>
              </c:extLst>
            </c:dLbl>
            <c:dLbl>
              <c:idx val="3"/>
              <c:layout>
                <c:manualLayout>
                  <c:x val="0"/>
                  <c:y val="6.6588671432537229E-3"/>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38D1-45FB-8FA0-C3AF88CEF1C8}"/>
                </c:ext>
              </c:extLst>
            </c:dLbl>
            <c:dLbl>
              <c:idx val="5"/>
              <c:layout>
                <c:manualLayout>
                  <c:x val="0"/>
                  <c:y val="3.3291714321440151E-3"/>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38D1-45FB-8FA0-C3AF88CEF1C8}"/>
                </c:ext>
              </c:extLst>
            </c:dLbl>
            <c:numFmt formatCode="&quot;$&quot;#,##0" sourceLinked="0"/>
            <c:spPr>
              <a:noFill/>
              <a:ln>
                <a:noFill/>
              </a:ln>
              <a:effectLst/>
            </c:spPr>
            <c:txPr>
              <a:bodyPr/>
              <a:lstStyle/>
              <a:p>
                <a:pPr>
                  <a:defRPr sz="800" b="1">
                    <a:latin typeface="Calibri" panose="020F0502020204030204" pitchFamily="34"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'Historical Summary'!$C$6:$H$6</c:f>
              <c:numCache>
                <c:formatCode>General</c:formatCode>
                <c:ptCount val="6"/>
                <c:pt idx="0">
                  <c:v>2011</c:v>
                </c:pt>
                <c:pt idx="1">
                  <c:v>2012</c:v>
                </c:pt>
                <c:pt idx="2">
                  <c:v>2013</c:v>
                </c:pt>
                <c:pt idx="3">
                  <c:v>2014</c:v>
                </c:pt>
                <c:pt idx="4">
                  <c:v>2015</c:v>
                </c:pt>
                <c:pt idx="5">
                  <c:v>2016</c:v>
                </c:pt>
              </c:numCache>
            </c:numRef>
          </c:cat>
          <c:val>
            <c:numRef>
              <c:f>'Historical Summary'!$C$43:$H$43</c:f>
              <c:numCache>
                <c:formatCode>0</c:formatCode>
                <c:ptCount val="6"/>
                <c:pt idx="0">
                  <c:v>-3842015.8900000006</c:v>
                </c:pt>
                <c:pt idx="1">
                  <c:v>-3880096.38</c:v>
                </c:pt>
                <c:pt idx="2">
                  <c:v>-5210686.5</c:v>
                </c:pt>
                <c:pt idx="3">
                  <c:v>-4777671.28</c:v>
                </c:pt>
                <c:pt idx="4">
                  <c:v>-5600994.6699999999</c:v>
                </c:pt>
                <c:pt idx="5">
                  <c:v>-4873747</c:v>
                </c:pt>
              </c:numCache>
            </c:numRef>
          </c:val>
          <c:extLst xmlns:c16r2="http://schemas.microsoft.com/office/drawing/2015/06/chart">
            <c:ext xmlns:c16="http://schemas.microsoft.com/office/drawing/2014/chart" uri="{C3380CC4-5D6E-409C-BE32-E72D297353CC}">
              <c16:uniqueId val="{00000003-38D1-45FB-8FA0-C3AF88CEF1C8}"/>
            </c:ext>
          </c:extLst>
        </c:ser>
        <c:dLbls>
          <c:showLegendKey val="0"/>
          <c:showVal val="0"/>
          <c:showCatName val="0"/>
          <c:showSerName val="0"/>
          <c:showPercent val="0"/>
          <c:showBubbleSize val="0"/>
        </c:dLbls>
        <c:gapWidth val="150"/>
        <c:axId val="226411264"/>
        <c:axId val="226412800"/>
      </c:barChart>
      <c:lineChart>
        <c:grouping val="standard"/>
        <c:varyColors val="0"/>
        <c:ser>
          <c:idx val="0"/>
          <c:order val="0"/>
          <c:tx>
            <c:strRef>
              <c:f>'Historical Summary'!$B$41</c:f>
              <c:strCache>
                <c:ptCount val="1"/>
                <c:pt idx="0">
                  <c:v>Total Fire Revenues</c:v>
                </c:pt>
              </c:strCache>
            </c:strRef>
          </c:tx>
          <c:dLbls>
            <c:dLbl>
              <c:idx val="1"/>
              <c:layout>
                <c:manualLayout>
                  <c:x val="-5.2831280705296454E-2"/>
                  <c:y val="-4.3373932582859188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38D1-45FB-8FA0-C3AF88CEF1C8}"/>
                </c:ext>
              </c:extLst>
            </c:dLbl>
            <c:dLbl>
              <c:idx val="3"/>
              <c:layout>
                <c:manualLayout>
                  <c:x val="-5.2831280705296454E-2"/>
                  <c:y val="-4.3313511184236299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38D1-45FB-8FA0-C3AF88CEF1C8}"/>
                </c:ext>
              </c:extLst>
            </c:dLbl>
            <c:dLbl>
              <c:idx val="4"/>
              <c:layout>
                <c:manualLayout>
                  <c:x val="-5.2831280705296454E-2"/>
                  <c:y val="-3.5353312179261173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38D1-45FB-8FA0-C3AF88CEF1C8}"/>
                </c:ext>
              </c:extLst>
            </c:dLbl>
            <c:dLbl>
              <c:idx val="5"/>
              <c:layout>
                <c:manualLayout>
                  <c:x val="-5.9241537115552863E-2"/>
                  <c:y val="-3.5353312179261173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38D1-45FB-8FA0-C3AF88CEF1C8}"/>
                </c:ext>
              </c:extLst>
            </c:dLbl>
            <c:numFmt formatCode="&quot;$&quot;#,##0" sourceLinked="0"/>
            <c:spPr>
              <a:noFill/>
              <a:ln>
                <a:noFill/>
              </a:ln>
              <a:effectLst/>
            </c:spPr>
            <c:txPr>
              <a:bodyPr/>
              <a:lstStyle/>
              <a:p>
                <a:pPr>
                  <a:defRPr sz="800" b="1">
                    <a:latin typeface="Calibri" panose="020F0502020204030204" pitchFamily="34" charset="0"/>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'Historical Summary'!$C$6:$H$6</c:f>
              <c:numCache>
                <c:formatCode>General</c:formatCode>
                <c:ptCount val="6"/>
                <c:pt idx="0">
                  <c:v>2011</c:v>
                </c:pt>
                <c:pt idx="1">
                  <c:v>2012</c:v>
                </c:pt>
                <c:pt idx="2">
                  <c:v>2013</c:v>
                </c:pt>
                <c:pt idx="3">
                  <c:v>2014</c:v>
                </c:pt>
                <c:pt idx="4">
                  <c:v>2015</c:v>
                </c:pt>
                <c:pt idx="5">
                  <c:v>2016</c:v>
                </c:pt>
              </c:numCache>
            </c:numRef>
          </c:cat>
          <c:val>
            <c:numRef>
              <c:f>'Historical Summary'!$C$41:$H$41</c:f>
              <c:numCache>
                <c:formatCode>0</c:formatCode>
                <c:ptCount val="6"/>
                <c:pt idx="0">
                  <c:v>438856.25</c:v>
                </c:pt>
                <c:pt idx="1">
                  <c:v>538557.99</c:v>
                </c:pt>
                <c:pt idx="2">
                  <c:v>449633.98</c:v>
                </c:pt>
                <c:pt idx="3">
                  <c:v>549756.29</c:v>
                </c:pt>
                <c:pt idx="4">
                  <c:v>734616.31</c:v>
                </c:pt>
                <c:pt idx="5">
                  <c:v>729000</c:v>
                </c:pt>
              </c:numCache>
            </c:numRef>
          </c:val>
          <c:smooth val="0"/>
          <c:extLst xmlns:c16r2="http://schemas.microsoft.com/office/drawing/2015/06/chart">
            <c:ext xmlns:c16="http://schemas.microsoft.com/office/drawing/2014/chart" uri="{C3380CC4-5D6E-409C-BE32-E72D297353CC}">
              <c16:uniqueId val="{00000008-38D1-45FB-8FA0-C3AF88CEF1C8}"/>
            </c:ext>
          </c:extLst>
        </c:ser>
        <c:ser>
          <c:idx val="1"/>
          <c:order val="1"/>
          <c:tx>
            <c:strRef>
              <c:f>'Historical Summary'!$B$42</c:f>
              <c:strCache>
                <c:ptCount val="1"/>
                <c:pt idx="0">
                  <c:v>Total Fire Expenses</c:v>
                </c:pt>
              </c:strCache>
            </c:strRef>
          </c:tx>
          <c:dLbls>
            <c:numFmt formatCode="&quot;$&quot;#,##0" sourceLinked="0"/>
            <c:spPr>
              <a:noFill/>
              <a:ln>
                <a:noFill/>
              </a:ln>
              <a:effectLst/>
            </c:spPr>
            <c:txPr>
              <a:bodyPr/>
              <a:lstStyle/>
              <a:p>
                <a:pPr>
                  <a:defRPr sz="800" b="1">
                    <a:latin typeface="Calibri" panose="020F0502020204030204" pitchFamily="34" charset="0"/>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'Historical Summary'!$C$6:$H$6</c:f>
              <c:numCache>
                <c:formatCode>General</c:formatCode>
                <c:ptCount val="6"/>
                <c:pt idx="0">
                  <c:v>2011</c:v>
                </c:pt>
                <c:pt idx="1">
                  <c:v>2012</c:v>
                </c:pt>
                <c:pt idx="2">
                  <c:v>2013</c:v>
                </c:pt>
                <c:pt idx="3">
                  <c:v>2014</c:v>
                </c:pt>
                <c:pt idx="4">
                  <c:v>2015</c:v>
                </c:pt>
                <c:pt idx="5">
                  <c:v>2016</c:v>
                </c:pt>
              </c:numCache>
            </c:numRef>
          </c:cat>
          <c:val>
            <c:numRef>
              <c:f>'Historical Summary'!$C$42:$H$42</c:f>
              <c:numCache>
                <c:formatCode>0</c:formatCode>
                <c:ptCount val="6"/>
                <c:pt idx="0">
                  <c:v>4280872.1400000006</c:v>
                </c:pt>
                <c:pt idx="1">
                  <c:v>4418654.37</c:v>
                </c:pt>
                <c:pt idx="2">
                  <c:v>5660320.4800000004</c:v>
                </c:pt>
                <c:pt idx="3">
                  <c:v>5327427.57</c:v>
                </c:pt>
                <c:pt idx="4">
                  <c:v>6335610.9799999995</c:v>
                </c:pt>
                <c:pt idx="5">
                  <c:v>5602747</c:v>
                </c:pt>
              </c:numCache>
            </c:numRef>
          </c:val>
          <c:smooth val="0"/>
          <c:extLst xmlns:c16r2="http://schemas.microsoft.com/office/drawing/2015/06/chart">
            <c:ext xmlns:c16="http://schemas.microsoft.com/office/drawing/2014/chart" uri="{C3380CC4-5D6E-409C-BE32-E72D297353CC}">
              <c16:uniqueId val="{00000009-38D1-45FB-8FA0-C3AF88CEF1C8}"/>
            </c:ext>
          </c:extLst>
        </c:ser>
        <c:dLbls>
          <c:showLegendKey val="0"/>
          <c:showVal val="0"/>
          <c:showCatName val="0"/>
          <c:showSerName val="0"/>
          <c:showPercent val="0"/>
          <c:showBubbleSize val="0"/>
        </c:dLbls>
        <c:marker val="1"/>
        <c:smooth val="0"/>
        <c:axId val="226411264"/>
        <c:axId val="226412800"/>
      </c:lineChart>
      <c:catAx>
        <c:axId val="226411264"/>
        <c:scaling>
          <c:orientation val="minMax"/>
        </c:scaling>
        <c:delete val="0"/>
        <c:axPos val="b"/>
        <c:numFmt formatCode="General" sourceLinked="1"/>
        <c:majorTickMark val="out"/>
        <c:minorTickMark val="none"/>
        <c:tickLblPos val="low"/>
        <c:txPr>
          <a:bodyPr rot="-1800000"/>
          <a:lstStyle/>
          <a:p>
            <a:pPr>
              <a:defRPr sz="1000" b="0">
                <a:latin typeface="Calibri" panose="020F0502020204030204" pitchFamily="34" charset="0"/>
              </a:defRPr>
            </a:pPr>
            <a:endParaRPr lang="en-US"/>
          </a:p>
        </c:txPr>
        <c:crossAx val="226412800"/>
        <c:crosses val="autoZero"/>
        <c:auto val="1"/>
        <c:lblAlgn val="ctr"/>
        <c:lblOffset val="100"/>
        <c:noMultiLvlLbl val="0"/>
      </c:catAx>
      <c:valAx>
        <c:axId val="226412800"/>
        <c:scaling>
          <c:orientation val="minMax"/>
        </c:scaling>
        <c:delete val="0"/>
        <c:axPos val="l"/>
        <c:majorGridlines/>
        <c:numFmt formatCode="&quot;$&quot;#,##0" sourceLinked="0"/>
        <c:majorTickMark val="out"/>
        <c:minorTickMark val="none"/>
        <c:tickLblPos val="nextTo"/>
        <c:txPr>
          <a:bodyPr/>
          <a:lstStyle/>
          <a:p>
            <a:pPr>
              <a:defRPr sz="1000" b="0">
                <a:latin typeface="Calibri" panose="020F0502020204030204" pitchFamily="34" charset="0"/>
              </a:defRPr>
            </a:pPr>
            <a:endParaRPr lang="en-US"/>
          </a:p>
        </c:txPr>
        <c:crossAx val="226411264"/>
        <c:crosses val="autoZero"/>
        <c:crossBetween val="between"/>
      </c:valAx>
      <c:spPr>
        <a:ln>
          <a:solidFill>
            <a:schemeClr val="tx1"/>
          </a:solidFill>
        </a:ln>
      </c:spPr>
    </c:plotArea>
    <c:legend>
      <c:legendPos val="r"/>
      <c:layout>
        <c:manualLayout>
          <c:xMode val="edge"/>
          <c:yMode val="edge"/>
          <c:x val="8.8161209895711398E-2"/>
          <c:y val="0.88643671965991067"/>
          <c:w val="0.86595975503062117"/>
          <c:h val="9.2711133037622531E-2"/>
        </c:manualLayout>
      </c:layout>
      <c:overlay val="0"/>
      <c:txPr>
        <a:bodyPr/>
        <a:lstStyle/>
        <a:p>
          <a:pPr>
            <a:defRPr sz="1000" b="1">
              <a:latin typeface="Calibri" panose="020F0502020204030204" pitchFamily="34" charset="0"/>
            </a:defRPr>
          </a:pPr>
          <a:endParaRPr lang="en-US"/>
        </a:p>
      </c:txPr>
    </c:legend>
    <c:plotVisOnly val="1"/>
    <c:dispBlanksAs val="gap"/>
    <c:showDLblsOverMax val="0"/>
  </c:chart>
  <c:externalData r:id="rId2">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5717439075984044"/>
          <c:y val="8.6683347771754585E-2"/>
          <c:w val="0.77428988043161273"/>
          <c:h val="0.70043984669560622"/>
        </c:manualLayout>
      </c:layout>
      <c:barChart>
        <c:barDir val="col"/>
        <c:grouping val="clustered"/>
        <c:varyColors val="0"/>
        <c:ser>
          <c:idx val="2"/>
          <c:order val="2"/>
          <c:tx>
            <c:strRef>
              <c:f>'Historical Summary'!$B$50</c:f>
              <c:strCache>
                <c:ptCount val="1"/>
                <c:pt idx="0">
                  <c:v>Operating Surplus(Deficit)</c:v>
                </c:pt>
              </c:strCache>
            </c:strRef>
          </c:tx>
          <c:spPr>
            <a:ln>
              <a:solidFill>
                <a:schemeClr val="tx1"/>
              </a:solidFill>
            </a:ln>
          </c:spPr>
          <c:invertIfNegative val="0"/>
          <c:dLbls>
            <c:dLbl>
              <c:idx val="0"/>
              <c:layout>
                <c:manualLayout>
                  <c:x val="0"/>
                  <c:y val="-1.3283521869566798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A5FF-4761-95FE-E69F47BAEE15}"/>
                </c:ext>
              </c:extLst>
            </c:dLbl>
            <c:dLbl>
              <c:idx val="1"/>
              <c:layout>
                <c:manualLayout>
                  <c:x val="0"/>
                  <c:y val="-9.9626414021750983E-3"/>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A5FF-4761-95FE-E69F47BAEE15}"/>
                </c:ext>
              </c:extLst>
            </c:dLbl>
            <c:dLbl>
              <c:idx val="4"/>
              <c:layout>
                <c:manualLayout>
                  <c:x val="0"/>
                  <c:y val="6.6417609347833991E-3"/>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A5FF-4761-95FE-E69F47BAEE15}"/>
                </c:ext>
              </c:extLst>
            </c:dLbl>
            <c:dLbl>
              <c:idx val="5"/>
              <c:layout>
                <c:manualLayout>
                  <c:x val="0"/>
                  <c:y val="9.9626414021750983E-3"/>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A5FF-4761-95FE-E69F47BAEE15}"/>
                </c:ext>
              </c:extLst>
            </c:dLbl>
            <c:numFmt formatCode="&quot;$&quot;#,##0" sourceLinked="0"/>
            <c:spPr>
              <a:noFill/>
              <a:ln>
                <a:noFill/>
              </a:ln>
              <a:effectLst/>
            </c:spPr>
            <c:txPr>
              <a:bodyPr/>
              <a:lstStyle/>
              <a:p>
                <a:pPr>
                  <a:defRPr sz="800" b="1">
                    <a:latin typeface="Calibri" panose="020F0502020204030204" pitchFamily="34"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'Historical Summary'!$C$6:$H$6</c:f>
              <c:numCache>
                <c:formatCode>General</c:formatCode>
                <c:ptCount val="6"/>
                <c:pt idx="0">
                  <c:v>2011</c:v>
                </c:pt>
                <c:pt idx="1">
                  <c:v>2012</c:v>
                </c:pt>
                <c:pt idx="2">
                  <c:v>2013</c:v>
                </c:pt>
                <c:pt idx="3">
                  <c:v>2014</c:v>
                </c:pt>
                <c:pt idx="4">
                  <c:v>2015</c:v>
                </c:pt>
                <c:pt idx="5">
                  <c:v>2016</c:v>
                </c:pt>
              </c:numCache>
            </c:numRef>
          </c:cat>
          <c:val>
            <c:numRef>
              <c:f>'Historical Summary'!$C$50:$H$50</c:f>
              <c:numCache>
                <c:formatCode>0</c:formatCode>
                <c:ptCount val="6"/>
                <c:pt idx="0">
                  <c:v>-656402.44999999995</c:v>
                </c:pt>
                <c:pt idx="1">
                  <c:v>-716790.85000000009</c:v>
                </c:pt>
                <c:pt idx="2">
                  <c:v>-849125.56000000052</c:v>
                </c:pt>
                <c:pt idx="3">
                  <c:v>-56041.820000000298</c:v>
                </c:pt>
                <c:pt idx="4">
                  <c:v>-489542.56000000006</c:v>
                </c:pt>
                <c:pt idx="5">
                  <c:v>-575882</c:v>
                </c:pt>
              </c:numCache>
            </c:numRef>
          </c:val>
          <c:extLst xmlns:c16r2="http://schemas.microsoft.com/office/drawing/2015/06/chart">
            <c:ext xmlns:c16="http://schemas.microsoft.com/office/drawing/2014/chart" uri="{C3380CC4-5D6E-409C-BE32-E72D297353CC}">
              <c16:uniqueId val="{00000004-A5FF-4761-95FE-E69F47BAEE15}"/>
            </c:ext>
          </c:extLst>
        </c:ser>
        <c:dLbls>
          <c:showLegendKey val="0"/>
          <c:showVal val="0"/>
          <c:showCatName val="0"/>
          <c:showSerName val="0"/>
          <c:showPercent val="0"/>
          <c:showBubbleSize val="0"/>
        </c:dLbls>
        <c:gapWidth val="150"/>
        <c:axId val="229218944"/>
        <c:axId val="229233024"/>
      </c:barChart>
      <c:lineChart>
        <c:grouping val="standard"/>
        <c:varyColors val="0"/>
        <c:ser>
          <c:idx val="0"/>
          <c:order val="0"/>
          <c:tx>
            <c:strRef>
              <c:f>'Historical Summary'!$B$48</c:f>
              <c:strCache>
                <c:ptCount val="1"/>
                <c:pt idx="0">
                  <c:v>Recurring Revenue</c:v>
                </c:pt>
              </c:strCache>
            </c:strRef>
          </c:tx>
          <c:dLbls>
            <c:dLbl>
              <c:idx val="1"/>
              <c:layout>
                <c:manualLayout>
                  <c:x val="-5.7976086322542975E-2"/>
                  <c:y val="6.2706590797186504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A5FF-4761-95FE-E69F47BAEE15}"/>
                </c:ext>
              </c:extLst>
            </c:dLbl>
            <c:dLbl>
              <c:idx val="3"/>
              <c:layout>
                <c:manualLayout>
                  <c:x val="-5.7976086322543016E-2"/>
                  <c:y val="5.2743949395011411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A5FF-4761-95FE-E69F47BAEE15}"/>
                </c:ext>
              </c:extLst>
            </c:dLbl>
            <c:dLbl>
              <c:idx val="4"/>
              <c:layout>
                <c:manualLayout>
                  <c:x val="-5.7976086322543016E-2"/>
                  <c:y val="5.2743949395011411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A5FF-4761-95FE-E69F47BAEE15}"/>
                </c:ext>
              </c:extLst>
            </c:dLbl>
            <c:dLbl>
              <c:idx val="5"/>
              <c:layout>
                <c:manualLayout>
                  <c:x val="-4.9629711778985376E-2"/>
                  <c:y val="5.9385710329794811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A5FF-4761-95FE-E69F47BAEE15}"/>
                </c:ext>
              </c:extLst>
            </c:dLbl>
            <c:numFmt formatCode="&quot;$&quot;#,##0" sourceLinked="0"/>
            <c:spPr>
              <a:noFill/>
              <a:ln>
                <a:noFill/>
              </a:ln>
              <a:effectLst/>
            </c:spPr>
            <c:txPr>
              <a:bodyPr/>
              <a:lstStyle/>
              <a:p>
                <a:pPr>
                  <a:defRPr sz="800" b="1">
                    <a:latin typeface="Calibri" panose="020F0502020204030204" pitchFamily="34" charset="0"/>
                  </a:defRPr>
                </a:pPr>
                <a:endParaRPr lang="en-US"/>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'Historical Summary'!$C$6:$H$6</c:f>
              <c:numCache>
                <c:formatCode>General</c:formatCode>
                <c:ptCount val="6"/>
                <c:pt idx="0">
                  <c:v>2011</c:v>
                </c:pt>
                <c:pt idx="1">
                  <c:v>2012</c:v>
                </c:pt>
                <c:pt idx="2">
                  <c:v>2013</c:v>
                </c:pt>
                <c:pt idx="3">
                  <c:v>2014</c:v>
                </c:pt>
                <c:pt idx="4">
                  <c:v>2015</c:v>
                </c:pt>
                <c:pt idx="5">
                  <c:v>2016</c:v>
                </c:pt>
              </c:numCache>
            </c:numRef>
          </c:cat>
          <c:val>
            <c:numRef>
              <c:f>'Historical Summary'!$C$48:$H$48</c:f>
              <c:numCache>
                <c:formatCode>0</c:formatCode>
                <c:ptCount val="6"/>
                <c:pt idx="0">
                  <c:v>2030267.3699999999</c:v>
                </c:pt>
                <c:pt idx="1">
                  <c:v>2507286.5</c:v>
                </c:pt>
                <c:pt idx="2">
                  <c:v>2839935.9099999997</c:v>
                </c:pt>
                <c:pt idx="3">
                  <c:v>3361368.2299999995</c:v>
                </c:pt>
                <c:pt idx="4">
                  <c:v>3457938.75</c:v>
                </c:pt>
                <c:pt idx="5">
                  <c:v>4993669</c:v>
                </c:pt>
              </c:numCache>
            </c:numRef>
          </c:val>
          <c:smooth val="0"/>
          <c:extLst xmlns:c16r2="http://schemas.microsoft.com/office/drawing/2015/06/chart">
            <c:ext xmlns:c16="http://schemas.microsoft.com/office/drawing/2014/chart" uri="{C3380CC4-5D6E-409C-BE32-E72D297353CC}">
              <c16:uniqueId val="{00000009-A5FF-4761-95FE-E69F47BAEE15}"/>
            </c:ext>
          </c:extLst>
        </c:ser>
        <c:ser>
          <c:idx val="1"/>
          <c:order val="1"/>
          <c:tx>
            <c:strRef>
              <c:f>'Historical Summary'!$B$49</c:f>
              <c:strCache>
                <c:ptCount val="1"/>
                <c:pt idx="0">
                  <c:v>Recurring Expenses</c:v>
                </c:pt>
              </c:strCache>
            </c:strRef>
          </c:tx>
          <c:dLbls>
            <c:dLbl>
              <c:idx val="3"/>
              <c:layout>
                <c:manualLayout>
                  <c:x val="-5.7976086322543016E-2"/>
                  <c:y val="-5.6064829862403076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A5FF-4761-95FE-E69F47BAEE15}"/>
                </c:ext>
              </c:extLst>
            </c:dLbl>
            <c:dLbl>
              <c:idx val="4"/>
              <c:layout>
                <c:manualLayout>
                  <c:x val="-8.5101803589105351E-2"/>
                  <c:y val="-4.2781307992836311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A5FF-4761-95FE-E69F47BAEE15}"/>
                </c:ext>
              </c:extLst>
            </c:dLbl>
            <c:dLbl>
              <c:idx val="5"/>
              <c:layout>
                <c:manualLayout>
                  <c:x val="-5.7976086322543016E-2"/>
                  <c:y val="-5.9385710329794811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A5FF-4761-95FE-E69F47BAEE15}"/>
                </c:ext>
              </c:extLst>
            </c:dLbl>
            <c:numFmt formatCode="&quot;$&quot;#,##0" sourceLinked="0"/>
            <c:spPr>
              <a:noFill/>
              <a:ln>
                <a:noFill/>
              </a:ln>
              <a:effectLst/>
            </c:spPr>
            <c:txPr>
              <a:bodyPr/>
              <a:lstStyle/>
              <a:p>
                <a:pPr>
                  <a:defRPr sz="800" b="1">
                    <a:latin typeface="Calibri" panose="020F0502020204030204" pitchFamily="34" charset="0"/>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'Historical Summary'!$C$6:$H$6</c:f>
              <c:numCache>
                <c:formatCode>General</c:formatCode>
                <c:ptCount val="6"/>
                <c:pt idx="0">
                  <c:v>2011</c:v>
                </c:pt>
                <c:pt idx="1">
                  <c:v>2012</c:v>
                </c:pt>
                <c:pt idx="2">
                  <c:v>2013</c:v>
                </c:pt>
                <c:pt idx="3">
                  <c:v>2014</c:v>
                </c:pt>
                <c:pt idx="4">
                  <c:v>2015</c:v>
                </c:pt>
                <c:pt idx="5">
                  <c:v>2016</c:v>
                </c:pt>
              </c:numCache>
            </c:numRef>
          </c:cat>
          <c:val>
            <c:numRef>
              <c:f>'Historical Summary'!$C$49:$H$49</c:f>
              <c:numCache>
                <c:formatCode>0</c:formatCode>
                <c:ptCount val="6"/>
                <c:pt idx="0">
                  <c:v>2686669.82</c:v>
                </c:pt>
                <c:pt idx="1">
                  <c:v>3224077.35</c:v>
                </c:pt>
                <c:pt idx="2">
                  <c:v>3689061.47</c:v>
                </c:pt>
                <c:pt idx="3">
                  <c:v>3417410.05</c:v>
                </c:pt>
                <c:pt idx="4">
                  <c:v>3947481.31</c:v>
                </c:pt>
                <c:pt idx="5">
                  <c:v>5569551</c:v>
                </c:pt>
              </c:numCache>
            </c:numRef>
          </c:val>
          <c:smooth val="0"/>
          <c:extLst xmlns:c16r2="http://schemas.microsoft.com/office/drawing/2015/06/chart">
            <c:ext xmlns:c16="http://schemas.microsoft.com/office/drawing/2014/chart" uri="{C3380CC4-5D6E-409C-BE32-E72D297353CC}">
              <c16:uniqueId val="{0000000D-A5FF-4761-95FE-E69F47BAEE15}"/>
            </c:ext>
          </c:extLst>
        </c:ser>
        <c:dLbls>
          <c:showLegendKey val="0"/>
          <c:showVal val="0"/>
          <c:showCatName val="0"/>
          <c:showSerName val="0"/>
          <c:showPercent val="0"/>
          <c:showBubbleSize val="0"/>
        </c:dLbls>
        <c:marker val="1"/>
        <c:smooth val="0"/>
        <c:axId val="229218944"/>
        <c:axId val="229233024"/>
      </c:lineChart>
      <c:catAx>
        <c:axId val="229218944"/>
        <c:scaling>
          <c:orientation val="minMax"/>
        </c:scaling>
        <c:delete val="0"/>
        <c:axPos val="b"/>
        <c:numFmt formatCode="General" sourceLinked="1"/>
        <c:majorTickMark val="out"/>
        <c:minorTickMark val="none"/>
        <c:tickLblPos val="low"/>
        <c:txPr>
          <a:bodyPr rot="-1800000"/>
          <a:lstStyle/>
          <a:p>
            <a:pPr>
              <a:defRPr sz="1000" b="0">
                <a:latin typeface="Calibri" panose="020F0502020204030204" pitchFamily="34" charset="0"/>
              </a:defRPr>
            </a:pPr>
            <a:endParaRPr lang="en-US"/>
          </a:p>
        </c:txPr>
        <c:crossAx val="229233024"/>
        <c:crosses val="autoZero"/>
        <c:auto val="1"/>
        <c:lblAlgn val="ctr"/>
        <c:lblOffset val="100"/>
        <c:noMultiLvlLbl val="0"/>
      </c:catAx>
      <c:valAx>
        <c:axId val="229233024"/>
        <c:scaling>
          <c:orientation val="minMax"/>
        </c:scaling>
        <c:delete val="0"/>
        <c:axPos val="l"/>
        <c:majorGridlines/>
        <c:numFmt formatCode="&quot;$&quot;#,##0" sourceLinked="0"/>
        <c:majorTickMark val="out"/>
        <c:minorTickMark val="none"/>
        <c:tickLblPos val="nextTo"/>
        <c:txPr>
          <a:bodyPr/>
          <a:lstStyle/>
          <a:p>
            <a:pPr>
              <a:defRPr sz="1000" b="0">
                <a:latin typeface="Calibri" panose="020F0502020204030204" pitchFamily="34" charset="0"/>
              </a:defRPr>
            </a:pPr>
            <a:endParaRPr lang="en-US"/>
          </a:p>
        </c:txPr>
        <c:crossAx val="229218944"/>
        <c:crosses val="autoZero"/>
        <c:crossBetween val="between"/>
      </c:valAx>
      <c:spPr>
        <a:ln>
          <a:solidFill>
            <a:schemeClr val="tx1"/>
          </a:solidFill>
        </a:ln>
      </c:spPr>
    </c:plotArea>
    <c:legend>
      <c:legendPos val="r"/>
      <c:layout>
        <c:manualLayout>
          <c:xMode val="edge"/>
          <c:yMode val="edge"/>
          <c:x val="3.8402195030785478E-2"/>
          <c:y val="0.88812999651961277"/>
          <c:w val="0.89899999589253221"/>
          <c:h val="9.3810689417399895E-2"/>
        </c:manualLayout>
      </c:layout>
      <c:overlay val="0"/>
      <c:txPr>
        <a:bodyPr/>
        <a:lstStyle/>
        <a:p>
          <a:pPr>
            <a:defRPr sz="1000" b="1">
              <a:latin typeface="Calibri" panose="020F0502020204030204" pitchFamily="34" charset="0"/>
            </a:defRPr>
          </a:pPr>
          <a:endParaRPr lang="en-US"/>
        </a:p>
      </c:txPr>
    </c:legend>
    <c:plotVisOnly val="1"/>
    <c:dispBlanksAs val="gap"/>
    <c:showDLblsOverMax val="0"/>
  </c:chart>
  <c:externalData r:id="rId2">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5993290682414701"/>
          <c:y val="9.1111927241085369E-2"/>
          <c:w val="0.77051000656167978"/>
          <c:h val="0.70524480595292627"/>
        </c:manualLayout>
      </c:layout>
      <c:barChart>
        <c:barDir val="col"/>
        <c:grouping val="clustered"/>
        <c:varyColors val="0"/>
        <c:ser>
          <c:idx val="0"/>
          <c:order val="0"/>
          <c:tx>
            <c:strRef>
              <c:f>'Historical Summary'!$B$50</c:f>
              <c:strCache>
                <c:ptCount val="1"/>
                <c:pt idx="0">
                  <c:v>Operating Surplus(Deficit)</c:v>
                </c:pt>
              </c:strCache>
            </c:strRef>
          </c:tx>
          <c:spPr>
            <a:solidFill>
              <a:schemeClr val="accent3"/>
            </a:solidFill>
            <a:ln>
              <a:solidFill>
                <a:schemeClr val="tx1"/>
              </a:solidFill>
            </a:ln>
          </c:spPr>
          <c:invertIfNegative val="0"/>
          <c:dLbls>
            <c:dLbl>
              <c:idx val="1"/>
              <c:layout>
                <c:manualLayout>
                  <c:x val="2.0833333333332951E-3"/>
                  <c:y val="-1.987577898968441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FBD7-475B-A818-7C02CD2E80EC}"/>
                </c:ext>
              </c:extLst>
            </c:dLbl>
            <c:dLbl>
              <c:idx val="2"/>
              <c:layout>
                <c:manualLayout>
                  <c:x val="0"/>
                  <c:y val="1.439367170516427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FBD7-475B-A818-7C02CD2E80EC}"/>
                </c:ext>
              </c:extLst>
            </c:dLbl>
            <c:numFmt formatCode="&quot;$&quot;#,##0" sourceLinked="0"/>
            <c:spPr>
              <a:noFill/>
              <a:ln>
                <a:noFill/>
              </a:ln>
              <a:effectLst/>
            </c:spPr>
            <c:txPr>
              <a:bodyPr/>
              <a:lstStyle/>
              <a:p>
                <a:pPr>
                  <a:defRPr sz="800" b="1"/>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'Historical Summary'!$C$6:$H$6</c:f>
              <c:numCache>
                <c:formatCode>General</c:formatCode>
                <c:ptCount val="6"/>
                <c:pt idx="0">
                  <c:v>2011</c:v>
                </c:pt>
                <c:pt idx="1">
                  <c:v>2012</c:v>
                </c:pt>
                <c:pt idx="2">
                  <c:v>2013</c:v>
                </c:pt>
                <c:pt idx="3">
                  <c:v>2014</c:v>
                </c:pt>
                <c:pt idx="4">
                  <c:v>2015</c:v>
                </c:pt>
                <c:pt idx="5">
                  <c:v>2016</c:v>
                </c:pt>
              </c:numCache>
            </c:numRef>
          </c:cat>
          <c:val>
            <c:numRef>
              <c:f>'Historical Summary'!$C$50:$H$50</c:f>
              <c:numCache>
                <c:formatCode>0</c:formatCode>
                <c:ptCount val="6"/>
                <c:pt idx="0">
                  <c:v>-656402.44999999995</c:v>
                </c:pt>
                <c:pt idx="1">
                  <c:v>-716790.85000000009</c:v>
                </c:pt>
                <c:pt idx="2">
                  <c:v>-849125.56000000052</c:v>
                </c:pt>
                <c:pt idx="3">
                  <c:v>-56041.820000000298</c:v>
                </c:pt>
                <c:pt idx="4">
                  <c:v>-489542.56000000006</c:v>
                </c:pt>
                <c:pt idx="5">
                  <c:v>-575882</c:v>
                </c:pt>
              </c:numCache>
            </c:numRef>
          </c:val>
          <c:extLst xmlns:c16r2="http://schemas.microsoft.com/office/drawing/2015/06/chart">
            <c:ext xmlns:c16="http://schemas.microsoft.com/office/drawing/2014/chart" uri="{C3380CC4-5D6E-409C-BE32-E72D297353CC}">
              <c16:uniqueId val="{00000002-FBD7-475B-A818-7C02CD2E80EC}"/>
            </c:ext>
          </c:extLst>
        </c:ser>
        <c:dLbls>
          <c:showLegendKey val="0"/>
          <c:showVal val="0"/>
          <c:showCatName val="0"/>
          <c:showSerName val="0"/>
          <c:showPercent val="0"/>
          <c:showBubbleSize val="0"/>
        </c:dLbls>
        <c:gapWidth val="150"/>
        <c:axId val="229307520"/>
        <c:axId val="229309056"/>
      </c:barChart>
      <c:lineChart>
        <c:grouping val="standard"/>
        <c:varyColors val="0"/>
        <c:ser>
          <c:idx val="1"/>
          <c:order val="1"/>
          <c:tx>
            <c:strRef>
              <c:f>'Historical Summary'!$B$51</c:f>
              <c:strCache>
                <c:ptCount val="1"/>
                <c:pt idx="0">
                  <c:v>General Fund Transfer In</c:v>
                </c:pt>
              </c:strCache>
            </c:strRef>
          </c:tx>
          <c:spPr>
            <a:ln w="25400">
              <a:solidFill>
                <a:schemeClr val="accent6"/>
              </a:solidFill>
            </a:ln>
          </c:spPr>
          <c:marker>
            <c:symbol val="diamond"/>
            <c:size val="8"/>
            <c:spPr>
              <a:solidFill>
                <a:schemeClr val="accent6"/>
              </a:solidFill>
              <a:ln>
                <a:solidFill>
                  <a:schemeClr val="accent6"/>
                </a:solidFill>
              </a:ln>
            </c:spPr>
          </c:marker>
          <c:dLbls>
            <c:dLbl>
              <c:idx val="0"/>
              <c:layout>
                <c:manualLayout>
                  <c:x val="-5.2552165354330709E-2"/>
                  <c:y val="-5.095659359405208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FBD7-475B-A818-7C02CD2E80EC}"/>
                </c:ext>
              </c:extLst>
            </c:dLbl>
            <c:dLbl>
              <c:idx val="1"/>
              <c:layout>
                <c:manualLayout>
                  <c:x val="-5.2552165354330709E-2"/>
                  <c:y val="-4.1018704099209873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FBD7-475B-A818-7C02CD2E80EC}"/>
                </c:ext>
              </c:extLst>
            </c:dLbl>
            <c:dLbl>
              <c:idx val="3"/>
              <c:layout>
                <c:manualLayout>
                  <c:x val="-5.9320427586145641E-2"/>
                  <c:y val="4.876625878828858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FBD7-475B-A818-7C02CD2E80EC}"/>
                </c:ext>
              </c:extLst>
            </c:dLbl>
            <c:dLbl>
              <c:idx val="4"/>
              <c:layout>
                <c:manualLayout>
                  <c:x val="-5.9320427586145558E-2"/>
                  <c:y val="5.2877323852523972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FBD7-475B-A818-7C02CD2E80EC}"/>
                </c:ext>
              </c:extLst>
            </c:dLbl>
            <c:dLbl>
              <c:idx val="5"/>
              <c:layout>
                <c:manualLayout>
                  <c:x val="-5.7064364416376884E-2"/>
                  <c:y val="5.2877323852523972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FBD7-475B-A818-7C02CD2E80EC}"/>
                </c:ext>
              </c:extLst>
            </c:dLbl>
            <c:numFmt formatCode="&quot;$&quot;#,##0" sourceLinked="0"/>
            <c:spPr>
              <a:solidFill>
                <a:schemeClr val="bg1"/>
              </a:solidFill>
              <a:ln w="15875">
                <a:solidFill>
                  <a:schemeClr val="accent6"/>
                </a:solidFill>
              </a:ln>
            </c:spPr>
            <c:txPr>
              <a:bodyPr/>
              <a:lstStyle/>
              <a:p>
                <a:pPr>
                  <a:defRPr sz="800" b="1">
                    <a:latin typeface="Calibri" panose="020F0502020204030204" pitchFamily="34" charset="0"/>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'Historical Summary'!$C$20:$H$20</c:f>
              <c:numCache>
                <c:formatCode>General</c:formatCode>
                <c:ptCount val="6"/>
                <c:pt idx="0">
                  <c:v>2011</c:v>
                </c:pt>
                <c:pt idx="1">
                  <c:v>2012</c:v>
                </c:pt>
                <c:pt idx="2">
                  <c:v>2013</c:v>
                </c:pt>
                <c:pt idx="3">
                  <c:v>2014</c:v>
                </c:pt>
                <c:pt idx="4">
                  <c:v>2015</c:v>
                </c:pt>
                <c:pt idx="5">
                  <c:v>2016</c:v>
                </c:pt>
              </c:numCache>
            </c:numRef>
          </c:cat>
          <c:val>
            <c:numRef>
              <c:f>'Historical Summary'!$C$51:$H$51</c:f>
              <c:numCache>
                <c:formatCode>General</c:formatCode>
                <c:ptCount val="6"/>
                <c:pt idx="0">
                  <c:v>420000</c:v>
                </c:pt>
                <c:pt idx="1">
                  <c:v>890000</c:v>
                </c:pt>
                <c:pt idx="2">
                  <c:v>1157000</c:v>
                </c:pt>
                <c:pt idx="3">
                  <c:v>420000</c:v>
                </c:pt>
                <c:pt idx="4">
                  <c:v>420000</c:v>
                </c:pt>
                <c:pt idx="5">
                  <c:v>420000</c:v>
                </c:pt>
              </c:numCache>
            </c:numRef>
          </c:val>
          <c:smooth val="0"/>
          <c:extLst xmlns:c16r2="http://schemas.microsoft.com/office/drawing/2015/06/chart">
            <c:ext xmlns:c16="http://schemas.microsoft.com/office/drawing/2014/chart" uri="{C3380CC4-5D6E-409C-BE32-E72D297353CC}">
              <c16:uniqueId val="{00000008-FBD7-475B-A818-7C02CD2E80EC}"/>
            </c:ext>
          </c:extLst>
        </c:ser>
        <c:ser>
          <c:idx val="2"/>
          <c:order val="2"/>
          <c:tx>
            <c:strRef>
              <c:f>'Historical Summary'!$B$52</c:f>
              <c:strCache>
                <c:ptCount val="1"/>
                <c:pt idx="0">
                  <c:v>Beginning Fund Balance</c:v>
                </c:pt>
              </c:strCache>
            </c:strRef>
          </c:tx>
          <c:spPr>
            <a:ln w="25400">
              <a:solidFill>
                <a:schemeClr val="accent1"/>
              </a:solidFill>
            </a:ln>
          </c:spPr>
          <c:marker>
            <c:symbol val="triangle"/>
            <c:size val="7"/>
            <c:spPr>
              <a:solidFill>
                <a:schemeClr val="accent1"/>
              </a:solidFill>
              <a:ln>
                <a:solidFill>
                  <a:schemeClr val="accent1"/>
                </a:solidFill>
              </a:ln>
            </c:spPr>
          </c:marker>
          <c:dLbls>
            <c:dLbl>
              <c:idx val="1"/>
              <c:layout>
                <c:manualLayout>
                  <c:x val="-5.1453248031496063E-2"/>
                  <c:y val="-5.0078616270176984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FBD7-475B-A818-7C02CD2E80EC}"/>
                </c:ext>
              </c:extLst>
            </c:dLbl>
            <c:dLbl>
              <c:idx val="2"/>
              <c:layout>
                <c:manualLayout>
                  <c:x val="-5.7760498687664044E-2"/>
                  <c:y val="-4.6765986438562973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FBD7-475B-A818-7C02CD2E80EC}"/>
                </c:ext>
              </c:extLst>
            </c:dLbl>
            <c:dLbl>
              <c:idx val="3"/>
              <c:layout>
                <c:manualLayout>
                  <c:x val="-5.5781250693917067E-2"/>
                  <c:y val="-5.5835569030325501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FBD7-475B-A818-7C02CD2E80EC}"/>
                </c:ext>
              </c:extLst>
            </c:dLbl>
            <c:dLbl>
              <c:idx val="4"/>
              <c:layout>
                <c:manualLayout>
                  <c:x val="-5.5677165354330711E-2"/>
                  <c:y val="-3.6828096943720738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FBD7-475B-A818-7C02CD2E80EC}"/>
                </c:ext>
              </c:extLst>
            </c:dLbl>
            <c:dLbl>
              <c:idx val="5"/>
              <c:layout>
                <c:manualLayout>
                  <c:x val="-5.9843832020997377E-2"/>
                  <c:y val="-4.6765986438562973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FBD7-475B-A818-7C02CD2E80EC}"/>
                </c:ext>
              </c:extLst>
            </c:dLbl>
            <c:numFmt formatCode="&quot;$&quot;#,##0" sourceLinked="0"/>
            <c:spPr>
              <a:solidFill>
                <a:schemeClr val="bg1"/>
              </a:solidFill>
              <a:ln w="15875">
                <a:solidFill>
                  <a:schemeClr val="accent1"/>
                </a:solidFill>
              </a:ln>
            </c:spPr>
            <c:txPr>
              <a:bodyPr/>
              <a:lstStyle/>
              <a:p>
                <a:pPr>
                  <a:defRPr sz="800" b="1">
                    <a:latin typeface="Calibri" panose="020F0502020204030204" pitchFamily="34" charset="0"/>
                  </a:defRPr>
                </a:pPr>
                <a:endParaRPr lang="en-US"/>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'Historical Summary'!$C$20:$H$20</c:f>
              <c:numCache>
                <c:formatCode>General</c:formatCode>
                <c:ptCount val="6"/>
                <c:pt idx="0">
                  <c:v>2011</c:v>
                </c:pt>
                <c:pt idx="1">
                  <c:v>2012</c:v>
                </c:pt>
                <c:pt idx="2">
                  <c:v>2013</c:v>
                </c:pt>
                <c:pt idx="3">
                  <c:v>2014</c:v>
                </c:pt>
                <c:pt idx="4">
                  <c:v>2015</c:v>
                </c:pt>
                <c:pt idx="5">
                  <c:v>2016</c:v>
                </c:pt>
              </c:numCache>
            </c:numRef>
          </c:cat>
          <c:val>
            <c:numRef>
              <c:f>'Historical Summary'!$C$52:$H$52</c:f>
              <c:numCache>
                <c:formatCode>0</c:formatCode>
                <c:ptCount val="6"/>
                <c:pt idx="0" formatCode="General">
                  <c:v>318894</c:v>
                </c:pt>
                <c:pt idx="1">
                  <c:v>82491.550000000279</c:v>
                </c:pt>
                <c:pt idx="2">
                  <c:v>255700.70000000019</c:v>
                </c:pt>
                <c:pt idx="3">
                  <c:v>563575.1399999992</c:v>
                </c:pt>
                <c:pt idx="4">
                  <c:v>927533.31999999937</c:v>
                </c:pt>
                <c:pt idx="5">
                  <c:v>857990.75999999931</c:v>
                </c:pt>
              </c:numCache>
            </c:numRef>
          </c:val>
          <c:smooth val="0"/>
          <c:extLst xmlns:c16r2="http://schemas.microsoft.com/office/drawing/2015/06/chart">
            <c:ext xmlns:c16="http://schemas.microsoft.com/office/drawing/2014/chart" uri="{C3380CC4-5D6E-409C-BE32-E72D297353CC}">
              <c16:uniqueId val="{0000000E-FBD7-475B-A818-7C02CD2E80EC}"/>
            </c:ext>
          </c:extLst>
        </c:ser>
        <c:dLbls>
          <c:showLegendKey val="0"/>
          <c:showVal val="0"/>
          <c:showCatName val="0"/>
          <c:showSerName val="0"/>
          <c:showPercent val="0"/>
          <c:showBubbleSize val="0"/>
        </c:dLbls>
        <c:marker val="1"/>
        <c:smooth val="0"/>
        <c:axId val="229307520"/>
        <c:axId val="229309056"/>
      </c:lineChart>
      <c:catAx>
        <c:axId val="229307520"/>
        <c:scaling>
          <c:orientation val="minMax"/>
        </c:scaling>
        <c:delete val="0"/>
        <c:axPos val="b"/>
        <c:numFmt formatCode="General" sourceLinked="1"/>
        <c:majorTickMark val="out"/>
        <c:minorTickMark val="none"/>
        <c:tickLblPos val="low"/>
        <c:txPr>
          <a:bodyPr rot="-1800000"/>
          <a:lstStyle/>
          <a:p>
            <a:pPr>
              <a:defRPr sz="1000" b="0">
                <a:latin typeface="Calibri" panose="020F0502020204030204" pitchFamily="34" charset="0"/>
              </a:defRPr>
            </a:pPr>
            <a:endParaRPr lang="en-US"/>
          </a:p>
        </c:txPr>
        <c:crossAx val="229309056"/>
        <c:crosses val="autoZero"/>
        <c:auto val="1"/>
        <c:lblAlgn val="ctr"/>
        <c:lblOffset val="100"/>
        <c:noMultiLvlLbl val="0"/>
      </c:catAx>
      <c:valAx>
        <c:axId val="229309056"/>
        <c:scaling>
          <c:orientation val="minMax"/>
        </c:scaling>
        <c:delete val="0"/>
        <c:axPos val="l"/>
        <c:majorGridlines/>
        <c:numFmt formatCode="&quot;$&quot;#,##0" sourceLinked="0"/>
        <c:majorTickMark val="out"/>
        <c:minorTickMark val="none"/>
        <c:tickLblPos val="nextTo"/>
        <c:txPr>
          <a:bodyPr/>
          <a:lstStyle/>
          <a:p>
            <a:pPr>
              <a:defRPr sz="1000" b="0">
                <a:latin typeface="Calibri" panose="020F0502020204030204" pitchFamily="34" charset="0"/>
              </a:defRPr>
            </a:pPr>
            <a:endParaRPr lang="en-US"/>
          </a:p>
        </c:txPr>
        <c:crossAx val="229307520"/>
        <c:crosses val="autoZero"/>
        <c:crossBetween val="between"/>
      </c:valAx>
      <c:spPr>
        <a:ln>
          <a:solidFill>
            <a:schemeClr val="tx1"/>
          </a:solidFill>
        </a:ln>
      </c:spPr>
    </c:plotArea>
    <c:legend>
      <c:legendPos val="r"/>
      <c:layout>
        <c:manualLayout>
          <c:xMode val="edge"/>
          <c:yMode val="edge"/>
          <c:x val="2.148074130327618E-2"/>
          <c:y val="0.89379082751058214"/>
          <c:w val="0.95980104009841405"/>
          <c:h val="8.633339349973343E-2"/>
        </c:manualLayout>
      </c:layout>
      <c:overlay val="0"/>
      <c:txPr>
        <a:bodyPr/>
        <a:lstStyle/>
        <a:p>
          <a:pPr>
            <a:defRPr sz="1000" b="1">
              <a:latin typeface="Calibri" panose="020F0502020204030204" pitchFamily="34" charset="0"/>
            </a:defRPr>
          </a:pPr>
          <a:endParaRPr lang="en-US"/>
        </a:p>
      </c:txPr>
    </c:legend>
    <c:plotVisOnly val="1"/>
    <c:dispBlanksAs val="gap"/>
    <c:showDLblsOverMax val="0"/>
  </c:chart>
  <c:externalData r:id="rId2">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3507306889352817E-2"/>
          <c:y val="5.011002611988815E-2"/>
          <c:w val="0.8851774530271399"/>
          <c:h val="0.81615153814375974"/>
        </c:manualLayout>
      </c:layout>
      <c:barChart>
        <c:barDir val="col"/>
        <c:grouping val="clustered"/>
        <c:varyColors val="0"/>
        <c:ser>
          <c:idx val="0"/>
          <c:order val="0"/>
          <c:tx>
            <c:strRef>
              <c:f>Charts!$B$7</c:f>
              <c:strCache>
                <c:ptCount val="1"/>
                <c:pt idx="0">
                  <c:v>Career</c:v>
                </c:pt>
              </c:strCache>
            </c:strRef>
          </c:tx>
          <c:spPr>
            <a:solidFill>
              <a:srgbClr val="9999FF"/>
            </a:solidFill>
            <a:ln w="12700">
              <a:noFill/>
              <a:prstDash val="solid"/>
            </a:ln>
          </c:spPr>
          <c:invertIfNegative val="0"/>
          <c:dPt>
            <c:idx val="0"/>
            <c:invertIfNegative val="0"/>
            <c:bubble3D val="0"/>
            <c:spPr>
              <a:solidFill>
                <a:schemeClr val="accent3">
                  <a:lumMod val="75000"/>
                </a:schemeClr>
              </a:solidFill>
              <a:ln w="12700">
                <a:noFill/>
                <a:prstDash val="solid"/>
              </a:ln>
            </c:spPr>
            <c:extLst xmlns:c16r2="http://schemas.microsoft.com/office/drawing/2015/06/chart">
              <c:ext xmlns:c16="http://schemas.microsoft.com/office/drawing/2014/chart" uri="{C3380CC4-5D6E-409C-BE32-E72D297353CC}">
                <c16:uniqueId val="{00000001-C247-4944-A448-DA1F120B2EC5}"/>
              </c:ext>
            </c:extLst>
          </c:dPt>
          <c:dPt>
            <c:idx val="1"/>
            <c:invertIfNegative val="0"/>
            <c:bubble3D val="0"/>
            <c:spPr>
              <a:solidFill>
                <a:schemeClr val="tx2"/>
              </a:solidFill>
              <a:ln w="12700">
                <a:noFill/>
                <a:prstDash val="solid"/>
              </a:ln>
            </c:spPr>
            <c:extLst xmlns:c16r2="http://schemas.microsoft.com/office/drawing/2015/06/chart">
              <c:ext xmlns:c16="http://schemas.microsoft.com/office/drawing/2014/chart" uri="{C3380CC4-5D6E-409C-BE32-E72D297353CC}">
                <c16:uniqueId val="{00000003-C247-4944-A448-DA1F120B2EC5}"/>
              </c:ext>
            </c:extLst>
          </c:dPt>
          <c:dPt>
            <c:idx val="2"/>
            <c:invertIfNegative val="0"/>
            <c:bubble3D val="0"/>
            <c:spPr>
              <a:solidFill>
                <a:srgbClr val="C00000"/>
              </a:solidFill>
              <a:ln w="12700">
                <a:noFill/>
                <a:prstDash val="solid"/>
              </a:ln>
            </c:spPr>
            <c:extLst xmlns:c16r2="http://schemas.microsoft.com/office/drawing/2015/06/chart">
              <c:ext xmlns:c16="http://schemas.microsoft.com/office/drawing/2014/chart" uri="{C3380CC4-5D6E-409C-BE32-E72D297353CC}">
                <c16:uniqueId val="{00000005-C247-4944-A448-DA1F120B2EC5}"/>
              </c:ext>
            </c:extLst>
          </c:dPt>
          <c:dLbls>
            <c:spPr>
              <a:noFill/>
              <a:ln w="25400">
                <a:noFill/>
              </a:ln>
            </c:spPr>
            <c:txPr>
              <a:bodyPr/>
              <a:lstStyle/>
              <a:p>
                <a:pPr>
                  <a:defRPr sz="1000" b="1"/>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Charts!$A$8:$A$10</c:f>
              <c:strCache>
                <c:ptCount val="3"/>
                <c:pt idx="0">
                  <c:v>Regional Median</c:v>
                </c:pt>
                <c:pt idx="1">
                  <c:v>National Median</c:v>
                </c:pt>
                <c:pt idx="2">
                  <c:v>PFD</c:v>
                </c:pt>
              </c:strCache>
            </c:strRef>
          </c:cat>
          <c:val>
            <c:numRef>
              <c:f>Charts!$B$8:$B$10</c:f>
              <c:numCache>
                <c:formatCode>General</c:formatCode>
                <c:ptCount val="3"/>
                <c:pt idx="0">
                  <c:v>0.84</c:v>
                </c:pt>
                <c:pt idx="1">
                  <c:v>1.24</c:v>
                </c:pt>
                <c:pt idx="2" formatCode="_(* #,##0.00_);_(* \(#,##0.00\);_(* &quot;-&quot;??_);_(@_)">
                  <c:v>0.70339976553341155</c:v>
                </c:pt>
              </c:numCache>
            </c:numRef>
          </c:val>
          <c:extLst xmlns:c16r2="http://schemas.microsoft.com/office/drawing/2015/06/chart">
            <c:ext xmlns:c16="http://schemas.microsoft.com/office/drawing/2014/chart" uri="{C3380CC4-5D6E-409C-BE32-E72D297353CC}">
              <c16:uniqueId val="{00000006-C247-4944-A448-DA1F120B2EC5}"/>
            </c:ext>
          </c:extLst>
        </c:ser>
        <c:dLbls>
          <c:showLegendKey val="0"/>
          <c:showVal val="0"/>
          <c:showCatName val="0"/>
          <c:showSerName val="0"/>
          <c:showPercent val="0"/>
          <c:showBubbleSize val="0"/>
        </c:dLbls>
        <c:gapWidth val="150"/>
        <c:axId val="225249536"/>
        <c:axId val="226324480"/>
      </c:barChart>
      <c:catAx>
        <c:axId val="225249536"/>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a:pPr>
            <a:endParaRPr lang="en-US"/>
          </a:p>
        </c:txPr>
        <c:crossAx val="226324480"/>
        <c:crosses val="autoZero"/>
        <c:auto val="1"/>
        <c:lblAlgn val="ctr"/>
        <c:lblOffset val="100"/>
        <c:tickLblSkip val="1"/>
        <c:tickMarkSkip val="1"/>
        <c:noMultiLvlLbl val="0"/>
      </c:catAx>
      <c:valAx>
        <c:axId val="226324480"/>
        <c:scaling>
          <c:orientation val="minMax"/>
          <c:min val="0"/>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a:pPr>
            <a:endParaRPr lang="en-US"/>
          </a:p>
        </c:txPr>
        <c:crossAx val="225249536"/>
        <c:crosses val="autoZero"/>
        <c:crossBetween val="between"/>
      </c:valAx>
      <c:spPr>
        <a:noFill/>
        <a:ln w="12700">
          <a:noFill/>
          <a:prstDash val="solid"/>
        </a:ln>
      </c:spPr>
    </c:plotArea>
    <c:plotVisOnly val="1"/>
    <c:dispBlanksAs val="gap"/>
    <c:showDLblsOverMax val="0"/>
  </c:chart>
  <c:spPr>
    <a:noFill/>
    <a:ln w="3175">
      <a:noFill/>
      <a:prstDash val="solid"/>
    </a:ln>
  </c:spPr>
  <c:txPr>
    <a:bodyPr/>
    <a:lstStyle/>
    <a:p>
      <a:pPr>
        <a:defRPr sz="800" b="0" i="0" u="none" strike="noStrike" baseline="0">
          <a:solidFill>
            <a:srgbClr val="000000"/>
          </a:solidFill>
          <a:latin typeface="+mn-lt"/>
          <a:ea typeface="Arial"/>
          <a:cs typeface="Arial"/>
        </a:defRPr>
      </a:pPr>
      <a:endParaRPr lang="en-US"/>
    </a:p>
  </c:txPr>
  <c:externalData r:id="rId2">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548840769903761"/>
          <c:y val="5.1400554097404488E-2"/>
          <c:w val="0.81840026246719155"/>
          <c:h val="0.78278032954214061"/>
        </c:manualLayout>
      </c:layout>
      <c:barChart>
        <c:barDir val="col"/>
        <c:grouping val="clustered"/>
        <c:varyColors val="0"/>
        <c:ser>
          <c:idx val="0"/>
          <c:order val="0"/>
          <c:tx>
            <c:strRef>
              <c:f>'Airport Enplanements'!$B$1</c:f>
              <c:strCache>
                <c:ptCount val="1"/>
                <c:pt idx="0">
                  <c:v>Passenger Enplanements</c:v>
                </c:pt>
              </c:strCache>
            </c:strRef>
          </c:tx>
          <c:invertIfNegative val="0"/>
          <c:cat>
            <c:numRef>
              <c:f>'Airport Enplanements'!$A$2:$A$11</c:f>
              <c:numCache>
                <c:formatCode>General</c:formatCode>
                <c:ptCount val="10"/>
                <c:pt idx="0">
                  <c:v>2006</c:v>
                </c:pt>
                <c:pt idx="1">
                  <c:v>2007</c:v>
                </c:pt>
                <c:pt idx="2">
                  <c:v>2008</c:v>
                </c:pt>
                <c:pt idx="3">
                  <c:v>2009</c:v>
                </c:pt>
                <c:pt idx="4">
                  <c:v>2010</c:v>
                </c:pt>
                <c:pt idx="5">
                  <c:v>2011</c:v>
                </c:pt>
                <c:pt idx="6">
                  <c:v>2012</c:v>
                </c:pt>
                <c:pt idx="7">
                  <c:v>2013</c:v>
                </c:pt>
                <c:pt idx="8">
                  <c:v>2014</c:v>
                </c:pt>
                <c:pt idx="9">
                  <c:v>2015</c:v>
                </c:pt>
              </c:numCache>
            </c:numRef>
          </c:cat>
          <c:val>
            <c:numRef>
              <c:f>'Airport Enplanements'!$B$2:$B$11</c:f>
              <c:numCache>
                <c:formatCode>#,##0</c:formatCode>
                <c:ptCount val="10"/>
                <c:pt idx="0">
                  <c:v>226975</c:v>
                </c:pt>
                <c:pt idx="1">
                  <c:v>242788</c:v>
                </c:pt>
                <c:pt idx="2">
                  <c:v>242483</c:v>
                </c:pt>
                <c:pt idx="3">
                  <c:v>258546</c:v>
                </c:pt>
                <c:pt idx="4">
                  <c:v>312915</c:v>
                </c:pt>
                <c:pt idx="5">
                  <c:v>327008</c:v>
                </c:pt>
                <c:pt idx="6">
                  <c:v>329833</c:v>
                </c:pt>
                <c:pt idx="7">
                  <c:v>327419</c:v>
                </c:pt>
                <c:pt idx="8">
                  <c:v>329087</c:v>
                </c:pt>
                <c:pt idx="9">
                  <c:v>349250</c:v>
                </c:pt>
              </c:numCache>
            </c:numRef>
          </c:val>
          <c:extLst xmlns:c16r2="http://schemas.microsoft.com/office/drawing/2015/06/chart">
            <c:ext xmlns:c16="http://schemas.microsoft.com/office/drawing/2014/chart" uri="{C3380CC4-5D6E-409C-BE32-E72D297353CC}">
              <c16:uniqueId val="{00000000-DFBE-49DB-8AED-249ED3DFEF85}"/>
            </c:ext>
          </c:extLst>
        </c:ser>
        <c:dLbls>
          <c:showLegendKey val="0"/>
          <c:showVal val="0"/>
          <c:showCatName val="0"/>
          <c:showSerName val="0"/>
          <c:showPercent val="0"/>
          <c:showBubbleSize val="0"/>
        </c:dLbls>
        <c:gapWidth val="150"/>
        <c:axId val="229514624"/>
        <c:axId val="229520512"/>
      </c:barChart>
      <c:catAx>
        <c:axId val="229514624"/>
        <c:scaling>
          <c:orientation val="minMax"/>
        </c:scaling>
        <c:delete val="0"/>
        <c:axPos val="b"/>
        <c:numFmt formatCode="General" sourceLinked="1"/>
        <c:majorTickMark val="out"/>
        <c:minorTickMark val="none"/>
        <c:tickLblPos val="nextTo"/>
        <c:txPr>
          <a:bodyPr/>
          <a:lstStyle/>
          <a:p>
            <a:pPr>
              <a:defRPr b="0">
                <a:latin typeface="+mj-lt"/>
              </a:defRPr>
            </a:pPr>
            <a:endParaRPr lang="en-US"/>
          </a:p>
        </c:txPr>
        <c:crossAx val="229520512"/>
        <c:crosses val="autoZero"/>
        <c:auto val="1"/>
        <c:lblAlgn val="ctr"/>
        <c:lblOffset val="100"/>
        <c:noMultiLvlLbl val="0"/>
      </c:catAx>
      <c:valAx>
        <c:axId val="229520512"/>
        <c:scaling>
          <c:orientation val="minMax"/>
        </c:scaling>
        <c:delete val="0"/>
        <c:axPos val="l"/>
        <c:majorGridlines/>
        <c:numFmt formatCode="#,##0" sourceLinked="1"/>
        <c:majorTickMark val="out"/>
        <c:minorTickMark val="none"/>
        <c:tickLblPos val="nextTo"/>
        <c:txPr>
          <a:bodyPr/>
          <a:lstStyle/>
          <a:p>
            <a:pPr>
              <a:defRPr b="0">
                <a:latin typeface="Calibri" panose="020F0502020204030204" pitchFamily="34" charset="0"/>
              </a:defRPr>
            </a:pPr>
            <a:endParaRPr lang="en-US"/>
          </a:p>
        </c:txPr>
        <c:crossAx val="229514624"/>
        <c:crosses val="autoZero"/>
        <c:crossBetween val="between"/>
      </c:valAx>
    </c:plotArea>
    <c:legend>
      <c:legendPos val="r"/>
      <c:layout>
        <c:manualLayout>
          <c:xMode val="edge"/>
          <c:yMode val="edge"/>
          <c:x val="0.15111089238845143"/>
          <c:y val="0.12017825896762904"/>
          <c:w val="0.41277799650043745"/>
          <c:h val="8.3717191601049873E-2"/>
        </c:manualLayout>
      </c:layout>
      <c:overlay val="0"/>
      <c:spPr>
        <a:solidFill>
          <a:schemeClr val="bg1"/>
        </a:solidFill>
        <a:ln>
          <a:solidFill>
            <a:schemeClr val="tx1"/>
          </a:solidFill>
        </a:ln>
      </c:spPr>
      <c:txPr>
        <a:bodyPr/>
        <a:lstStyle/>
        <a:p>
          <a:pPr>
            <a:defRPr>
              <a:latin typeface="+mj-lt"/>
            </a:defRPr>
          </a:pPr>
          <a:endParaRPr lang="en-US"/>
        </a:p>
      </c:txPr>
    </c:legend>
    <c:plotVisOnly val="1"/>
    <c:dispBlanksAs val="gap"/>
    <c:showDLblsOverMax val="0"/>
  </c:chart>
  <c:txPr>
    <a:bodyPr/>
    <a:lstStyle/>
    <a:p>
      <a:pPr>
        <a:defRPr b="1"/>
      </a:pPr>
      <a:endParaRPr lang="en-US"/>
    </a:p>
  </c:txPr>
  <c:externalData r:id="rId2">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41907261592301"/>
          <c:y val="5.1400554097404488E-2"/>
          <c:w val="0.82902537182852143"/>
          <c:h val="0.75391586468358118"/>
        </c:manualLayout>
      </c:layout>
      <c:barChart>
        <c:barDir val="col"/>
        <c:grouping val="clustered"/>
        <c:varyColors val="0"/>
        <c:ser>
          <c:idx val="0"/>
          <c:order val="0"/>
          <c:tx>
            <c:strRef>
              <c:f>'Permits Issued'!$B$1</c:f>
              <c:strCache>
                <c:ptCount val="1"/>
                <c:pt idx="0">
                  <c:v>Permits Issued</c:v>
                </c:pt>
              </c:strCache>
            </c:strRef>
          </c:tx>
          <c:spPr>
            <a:solidFill>
              <a:srgbClr val="0070C0"/>
            </a:solidFill>
          </c:spPr>
          <c:invertIfNegative val="0"/>
          <c:cat>
            <c:numRef>
              <c:f>'Permits Issued'!$A$2:$A$16</c:f>
              <c:numCache>
                <c:formatCode>General</c:formatCode>
                <c:ptCount val="15"/>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numCache>
            </c:numRef>
          </c:cat>
          <c:val>
            <c:numRef>
              <c:f>'Permits Issued'!$B$2:$B$16</c:f>
              <c:numCache>
                <c:formatCode>#,##0</c:formatCode>
                <c:ptCount val="15"/>
                <c:pt idx="0">
                  <c:v>1559</c:v>
                </c:pt>
                <c:pt idx="1">
                  <c:v>2116</c:v>
                </c:pt>
                <c:pt idx="2">
                  <c:v>2072</c:v>
                </c:pt>
                <c:pt idx="3">
                  <c:v>2331</c:v>
                </c:pt>
                <c:pt idx="4">
                  <c:v>2445</c:v>
                </c:pt>
                <c:pt idx="5">
                  <c:v>2246</c:v>
                </c:pt>
                <c:pt idx="6">
                  <c:v>1886</c:v>
                </c:pt>
                <c:pt idx="7">
                  <c:v>1677</c:v>
                </c:pt>
                <c:pt idx="8">
                  <c:v>1849</c:v>
                </c:pt>
                <c:pt idx="9">
                  <c:v>2187</c:v>
                </c:pt>
                <c:pt idx="10">
                  <c:v>2134</c:v>
                </c:pt>
                <c:pt idx="11">
                  <c:v>1889</c:v>
                </c:pt>
                <c:pt idx="12">
                  <c:v>2113</c:v>
                </c:pt>
                <c:pt idx="13">
                  <c:v>1888</c:v>
                </c:pt>
                <c:pt idx="14">
                  <c:v>2139</c:v>
                </c:pt>
              </c:numCache>
            </c:numRef>
          </c:val>
          <c:extLst xmlns:c16r2="http://schemas.microsoft.com/office/drawing/2015/06/chart">
            <c:ext xmlns:c16="http://schemas.microsoft.com/office/drawing/2014/chart" uri="{C3380CC4-5D6E-409C-BE32-E72D297353CC}">
              <c16:uniqueId val="{00000000-09ED-4423-AF10-30DBD9A11090}"/>
            </c:ext>
          </c:extLst>
        </c:ser>
        <c:dLbls>
          <c:showLegendKey val="0"/>
          <c:showVal val="0"/>
          <c:showCatName val="0"/>
          <c:showSerName val="0"/>
          <c:showPercent val="0"/>
          <c:showBubbleSize val="0"/>
        </c:dLbls>
        <c:gapWidth val="150"/>
        <c:axId val="229590144"/>
        <c:axId val="229591680"/>
      </c:barChart>
      <c:catAx>
        <c:axId val="229590144"/>
        <c:scaling>
          <c:orientation val="minMax"/>
        </c:scaling>
        <c:delete val="0"/>
        <c:axPos val="b"/>
        <c:numFmt formatCode="General" sourceLinked="1"/>
        <c:majorTickMark val="out"/>
        <c:minorTickMark val="none"/>
        <c:tickLblPos val="nextTo"/>
        <c:txPr>
          <a:bodyPr rot="-2700000" vert="horz" anchor="t" anchorCtr="0"/>
          <a:lstStyle/>
          <a:p>
            <a:pPr>
              <a:defRPr>
                <a:latin typeface="+mj-lt"/>
              </a:defRPr>
            </a:pPr>
            <a:endParaRPr lang="en-US"/>
          </a:p>
        </c:txPr>
        <c:crossAx val="229591680"/>
        <c:crosses val="autoZero"/>
        <c:auto val="1"/>
        <c:lblAlgn val="ctr"/>
        <c:lblOffset val="100"/>
        <c:noMultiLvlLbl val="0"/>
      </c:catAx>
      <c:valAx>
        <c:axId val="229591680"/>
        <c:scaling>
          <c:orientation val="minMax"/>
        </c:scaling>
        <c:delete val="0"/>
        <c:axPos val="l"/>
        <c:majorGridlines/>
        <c:numFmt formatCode="#,##0" sourceLinked="1"/>
        <c:majorTickMark val="out"/>
        <c:minorTickMark val="none"/>
        <c:tickLblPos val="nextTo"/>
        <c:txPr>
          <a:bodyPr/>
          <a:lstStyle/>
          <a:p>
            <a:pPr>
              <a:defRPr>
                <a:latin typeface="+mj-lt"/>
              </a:defRPr>
            </a:pPr>
            <a:endParaRPr lang="en-US"/>
          </a:p>
        </c:txPr>
        <c:crossAx val="229590144"/>
        <c:crosses val="autoZero"/>
        <c:crossBetween val="between"/>
      </c:valAx>
    </c:plotArea>
    <c:plotVisOnly val="1"/>
    <c:dispBlanksAs val="gap"/>
    <c:showDLblsOverMax val="0"/>
  </c:chart>
  <c:spPr>
    <a:ln>
      <a:noFill/>
    </a:ln>
  </c:spPr>
  <c:externalData r:id="rId2">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v>Annual Incidents</c:v>
          </c:tx>
          <c:invertIfNegative val="0"/>
          <c:cat>
            <c:numRef>
              <c:f>Sheet1!$R$16:$R$20</c:f>
              <c:numCache>
                <c:formatCode>General</c:formatCode>
                <c:ptCount val="5"/>
                <c:pt idx="0">
                  <c:v>2011</c:v>
                </c:pt>
                <c:pt idx="1">
                  <c:v>2012</c:v>
                </c:pt>
                <c:pt idx="2">
                  <c:v>2013</c:v>
                </c:pt>
                <c:pt idx="3">
                  <c:v>2014</c:v>
                </c:pt>
                <c:pt idx="4">
                  <c:v>2015</c:v>
                </c:pt>
              </c:numCache>
            </c:numRef>
          </c:cat>
          <c:val>
            <c:numRef>
              <c:f>Sheet1!$S$16:$S$20</c:f>
              <c:numCache>
                <c:formatCode>#,##0</c:formatCode>
                <c:ptCount val="5"/>
                <c:pt idx="0">
                  <c:v>4238</c:v>
                </c:pt>
                <c:pt idx="1">
                  <c:v>4400</c:v>
                </c:pt>
                <c:pt idx="2">
                  <c:v>4341</c:v>
                </c:pt>
                <c:pt idx="3">
                  <c:v>4715</c:v>
                </c:pt>
                <c:pt idx="4">
                  <c:v>5103</c:v>
                </c:pt>
              </c:numCache>
            </c:numRef>
          </c:val>
          <c:extLst xmlns:c16r2="http://schemas.microsoft.com/office/drawing/2015/06/chart">
            <c:ext xmlns:c16="http://schemas.microsoft.com/office/drawing/2014/chart" uri="{C3380CC4-5D6E-409C-BE32-E72D297353CC}">
              <c16:uniqueId val="{00000000-D68A-44C0-BD53-FDE4D9BF6D88}"/>
            </c:ext>
          </c:extLst>
        </c:ser>
        <c:dLbls>
          <c:showLegendKey val="0"/>
          <c:showVal val="0"/>
          <c:showCatName val="0"/>
          <c:showSerName val="0"/>
          <c:showPercent val="0"/>
          <c:showBubbleSize val="0"/>
        </c:dLbls>
        <c:gapWidth val="150"/>
        <c:axId val="229624064"/>
        <c:axId val="229650432"/>
      </c:barChart>
      <c:catAx>
        <c:axId val="229624064"/>
        <c:scaling>
          <c:orientation val="minMax"/>
        </c:scaling>
        <c:delete val="0"/>
        <c:axPos val="b"/>
        <c:numFmt formatCode="General" sourceLinked="1"/>
        <c:majorTickMark val="out"/>
        <c:minorTickMark val="none"/>
        <c:tickLblPos val="nextTo"/>
        <c:crossAx val="229650432"/>
        <c:crosses val="autoZero"/>
        <c:auto val="1"/>
        <c:lblAlgn val="ctr"/>
        <c:lblOffset val="100"/>
        <c:noMultiLvlLbl val="0"/>
      </c:catAx>
      <c:valAx>
        <c:axId val="229650432"/>
        <c:scaling>
          <c:orientation val="minMax"/>
        </c:scaling>
        <c:delete val="0"/>
        <c:axPos val="l"/>
        <c:majorGridlines/>
        <c:minorGridlines>
          <c:spPr>
            <a:ln>
              <a:noFill/>
            </a:ln>
          </c:spPr>
        </c:minorGridlines>
        <c:numFmt formatCode="#,##0" sourceLinked="1"/>
        <c:majorTickMark val="out"/>
        <c:minorTickMark val="none"/>
        <c:tickLblPos val="nextTo"/>
        <c:crossAx val="229624064"/>
        <c:crosses val="autoZero"/>
        <c:crossBetween val="between"/>
        <c:minorUnit val="500"/>
      </c:valAx>
      <c:dTable>
        <c:showHorzBorder val="1"/>
        <c:showVertBorder val="1"/>
        <c:showOutline val="1"/>
        <c:showKeys val="0"/>
      </c:dTable>
    </c:plotArea>
    <c:plotVisOnly val="1"/>
    <c:dispBlanksAs val="gap"/>
    <c:showDLblsOverMax val="0"/>
  </c:chart>
  <c:spPr>
    <a:solidFill>
      <a:sysClr val="window" lastClr="FFFFFF"/>
    </a:solidFill>
    <a:ln w="12700">
      <a:noFill/>
    </a:ln>
  </c:spPr>
  <c:txPr>
    <a:bodyPr/>
    <a:lstStyle/>
    <a:p>
      <a:pPr>
        <a:defRPr b="0">
          <a:latin typeface="Calibri" pitchFamily="34" charset="0"/>
          <a:cs typeface="Arial" pitchFamily="34" charset="0"/>
        </a:defRPr>
      </a:pPr>
      <a:endParaRPr lang="en-US"/>
    </a:p>
  </c:txPr>
  <c:externalData r:id="rId2">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v>Incident Type</c:v>
          </c:tx>
          <c:invertIfNegative val="0"/>
          <c:dPt>
            <c:idx val="0"/>
            <c:invertIfNegative val="0"/>
            <c:bubble3D val="0"/>
            <c:spPr>
              <a:solidFill>
                <a:srgbClr val="C00000"/>
              </a:solidFill>
              <a:ln>
                <a:noFill/>
              </a:ln>
            </c:spPr>
            <c:extLst xmlns:c16r2="http://schemas.microsoft.com/office/drawing/2015/06/chart">
              <c:ext xmlns:c16="http://schemas.microsoft.com/office/drawing/2014/chart" uri="{C3380CC4-5D6E-409C-BE32-E72D297353CC}">
                <c16:uniqueId val="{00000001-3D35-474D-8B12-FA8CCBDBCA13}"/>
              </c:ext>
            </c:extLst>
          </c:dPt>
          <c:dPt>
            <c:idx val="1"/>
            <c:invertIfNegative val="0"/>
            <c:bubble3D val="0"/>
            <c:spPr>
              <a:solidFill>
                <a:srgbClr val="70AD47"/>
              </a:solidFill>
              <a:ln>
                <a:noFill/>
              </a:ln>
            </c:spPr>
            <c:extLst xmlns:c16r2="http://schemas.microsoft.com/office/drawing/2015/06/chart">
              <c:ext xmlns:c16="http://schemas.microsoft.com/office/drawing/2014/chart" uri="{C3380CC4-5D6E-409C-BE32-E72D297353CC}">
                <c16:uniqueId val="{00000003-3D35-474D-8B12-FA8CCBDBCA13}"/>
              </c:ext>
            </c:extLst>
          </c:dPt>
          <c:dPt>
            <c:idx val="2"/>
            <c:invertIfNegative val="0"/>
            <c:bubble3D val="0"/>
            <c:spPr>
              <a:solidFill>
                <a:srgbClr val="0070C0"/>
              </a:solidFill>
              <a:ln>
                <a:noFill/>
              </a:ln>
            </c:spPr>
            <c:extLst xmlns:c16r2="http://schemas.microsoft.com/office/drawing/2015/06/chart">
              <c:ext xmlns:c16="http://schemas.microsoft.com/office/drawing/2014/chart" uri="{C3380CC4-5D6E-409C-BE32-E72D297353CC}">
                <c16:uniqueId val="{00000005-3D35-474D-8B12-FA8CCBDBCA13}"/>
              </c:ext>
            </c:extLst>
          </c:dPt>
          <c:cat>
            <c:strRef>
              <c:f>Sheet1!$A$1:$A$3</c:f>
              <c:strCache>
                <c:ptCount val="3"/>
                <c:pt idx="0">
                  <c:v>Fires</c:v>
                </c:pt>
                <c:pt idx="1">
                  <c:v>Other</c:v>
                </c:pt>
                <c:pt idx="2">
                  <c:v>EMS</c:v>
                </c:pt>
              </c:strCache>
            </c:strRef>
          </c:cat>
          <c:val>
            <c:numRef>
              <c:f>Sheet1!$B$1:$B$3</c:f>
              <c:numCache>
                <c:formatCode>0.0%</c:formatCode>
                <c:ptCount val="3"/>
                <c:pt idx="0">
                  <c:v>5.4288042371155018E-2</c:v>
                </c:pt>
                <c:pt idx="1">
                  <c:v>0.15716031778366263</c:v>
                </c:pt>
                <c:pt idx="2">
                  <c:v>0.78855163984518228</c:v>
                </c:pt>
              </c:numCache>
            </c:numRef>
          </c:val>
          <c:extLst xmlns:c16r2="http://schemas.microsoft.com/office/drawing/2015/06/chart">
            <c:ext xmlns:c16="http://schemas.microsoft.com/office/drawing/2014/chart" uri="{C3380CC4-5D6E-409C-BE32-E72D297353CC}">
              <c16:uniqueId val="{00000006-3D35-474D-8B12-FA8CCBDBCA13}"/>
            </c:ext>
          </c:extLst>
        </c:ser>
        <c:dLbls>
          <c:showLegendKey val="0"/>
          <c:showVal val="0"/>
          <c:showCatName val="0"/>
          <c:showSerName val="0"/>
          <c:showPercent val="0"/>
          <c:showBubbleSize val="0"/>
        </c:dLbls>
        <c:gapWidth val="150"/>
        <c:axId val="229682560"/>
        <c:axId val="229688448"/>
      </c:barChart>
      <c:catAx>
        <c:axId val="229682560"/>
        <c:scaling>
          <c:orientation val="minMax"/>
        </c:scaling>
        <c:delete val="0"/>
        <c:axPos val="b"/>
        <c:numFmt formatCode="General" sourceLinked="0"/>
        <c:majorTickMark val="out"/>
        <c:minorTickMark val="none"/>
        <c:tickLblPos val="nextTo"/>
        <c:crossAx val="229688448"/>
        <c:crosses val="autoZero"/>
        <c:auto val="1"/>
        <c:lblAlgn val="ctr"/>
        <c:lblOffset val="100"/>
        <c:noMultiLvlLbl val="0"/>
      </c:catAx>
      <c:valAx>
        <c:axId val="229688448"/>
        <c:scaling>
          <c:orientation val="minMax"/>
          <c:max val="1"/>
        </c:scaling>
        <c:delete val="0"/>
        <c:axPos val="l"/>
        <c:majorGridlines/>
        <c:minorGridlines>
          <c:spPr>
            <a:ln>
              <a:noFill/>
            </a:ln>
          </c:spPr>
        </c:minorGridlines>
        <c:numFmt formatCode="0%" sourceLinked="0"/>
        <c:majorTickMark val="out"/>
        <c:minorTickMark val="none"/>
        <c:tickLblPos val="nextTo"/>
        <c:crossAx val="229682560"/>
        <c:crosses val="autoZero"/>
        <c:crossBetween val="between"/>
        <c:majorUnit val="0.2"/>
        <c:minorUnit val="5.000000000000001E-2"/>
      </c:valAx>
      <c:dTable>
        <c:showHorzBorder val="1"/>
        <c:showVertBorder val="1"/>
        <c:showOutline val="1"/>
        <c:showKeys val="0"/>
      </c:dTable>
    </c:plotArea>
    <c:plotVisOnly val="1"/>
    <c:dispBlanksAs val="gap"/>
    <c:showDLblsOverMax val="0"/>
  </c:chart>
  <c:spPr>
    <a:solidFill>
      <a:sysClr val="window" lastClr="FFFFFF"/>
    </a:solidFill>
    <a:ln w="12700">
      <a:noFill/>
    </a:ln>
  </c:spPr>
  <c:txPr>
    <a:bodyPr/>
    <a:lstStyle/>
    <a:p>
      <a:pPr>
        <a:defRPr b="0">
          <a:latin typeface="Calibri" pitchFamily="34" charset="0"/>
          <a:cs typeface="Arial" pitchFamily="34" charset="0"/>
        </a:defRPr>
      </a:pPr>
      <a:endParaRPr lang="en-US"/>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3471256197142023"/>
          <c:y val="9.6009253903990746E-2"/>
          <c:w val="0.73964803878681828"/>
          <c:h val="0.66839849131707973"/>
        </c:manualLayout>
      </c:layout>
      <c:barChart>
        <c:barDir val="col"/>
        <c:grouping val="clustered"/>
        <c:varyColors val="0"/>
        <c:ser>
          <c:idx val="2"/>
          <c:order val="2"/>
          <c:tx>
            <c:strRef>
              <c:f>Employment!$H$9</c:f>
              <c:strCache>
                <c:ptCount val="1"/>
                <c:pt idx="0">
                  <c:v>Tri-Cities Unemployment Rate</c:v>
                </c:pt>
              </c:strCache>
            </c:strRef>
          </c:tx>
          <c:spPr>
            <a:ln>
              <a:solidFill>
                <a:schemeClr val="tx1"/>
              </a:solidFill>
            </a:ln>
          </c:spPr>
          <c:invertIfNegative val="0"/>
          <c:cat>
            <c:numRef>
              <c:f>Employment!$I$5:$R$5</c:f>
              <c:numCache>
                <c:formatCode>General</c:formatCode>
                <c:ptCount val="10"/>
                <c:pt idx="0">
                  <c:v>2006</c:v>
                </c:pt>
                <c:pt idx="1">
                  <c:v>2007</c:v>
                </c:pt>
                <c:pt idx="2">
                  <c:v>2008</c:v>
                </c:pt>
                <c:pt idx="3">
                  <c:v>2009</c:v>
                </c:pt>
                <c:pt idx="4">
                  <c:v>2010</c:v>
                </c:pt>
                <c:pt idx="5">
                  <c:v>2011</c:v>
                </c:pt>
                <c:pt idx="6">
                  <c:v>2012</c:v>
                </c:pt>
                <c:pt idx="7">
                  <c:v>2013</c:v>
                </c:pt>
                <c:pt idx="8">
                  <c:v>2014</c:v>
                </c:pt>
                <c:pt idx="9">
                  <c:v>2015</c:v>
                </c:pt>
              </c:numCache>
            </c:numRef>
          </c:cat>
          <c:val>
            <c:numRef>
              <c:f>Employment!$I$9:$R$9</c:f>
              <c:numCache>
                <c:formatCode>General</c:formatCode>
                <c:ptCount val="10"/>
                <c:pt idx="0">
                  <c:v>6.6</c:v>
                </c:pt>
                <c:pt idx="1">
                  <c:v>5.9</c:v>
                </c:pt>
                <c:pt idx="2">
                  <c:v>5.7</c:v>
                </c:pt>
                <c:pt idx="3">
                  <c:v>7.6</c:v>
                </c:pt>
                <c:pt idx="4">
                  <c:v>8.1</c:v>
                </c:pt>
                <c:pt idx="5">
                  <c:v>8.5</c:v>
                </c:pt>
                <c:pt idx="6">
                  <c:v>9.4</c:v>
                </c:pt>
                <c:pt idx="7">
                  <c:v>9.1</c:v>
                </c:pt>
                <c:pt idx="8">
                  <c:v>7.7</c:v>
                </c:pt>
                <c:pt idx="9">
                  <c:v>6.8</c:v>
                </c:pt>
              </c:numCache>
            </c:numRef>
          </c:val>
          <c:extLst xmlns:c16r2="http://schemas.microsoft.com/office/drawing/2015/06/chart">
            <c:ext xmlns:c16="http://schemas.microsoft.com/office/drawing/2014/chart" uri="{C3380CC4-5D6E-409C-BE32-E72D297353CC}">
              <c16:uniqueId val="{00000000-A294-4F81-9C4A-79A9FB80E6E3}"/>
            </c:ext>
          </c:extLst>
        </c:ser>
        <c:dLbls>
          <c:showLegendKey val="0"/>
          <c:showVal val="0"/>
          <c:showCatName val="0"/>
          <c:showSerName val="0"/>
          <c:showPercent val="0"/>
          <c:showBubbleSize val="0"/>
        </c:dLbls>
        <c:gapWidth val="150"/>
        <c:axId val="223909376"/>
        <c:axId val="223907200"/>
      </c:barChart>
      <c:lineChart>
        <c:grouping val="standard"/>
        <c:varyColors val="0"/>
        <c:ser>
          <c:idx val="0"/>
          <c:order val="0"/>
          <c:tx>
            <c:strRef>
              <c:f>Employment!$H$6</c:f>
              <c:strCache>
                <c:ptCount val="1"/>
                <c:pt idx="0">
                  <c:v>Labor Force</c:v>
                </c:pt>
              </c:strCache>
            </c:strRef>
          </c:tx>
          <c:cat>
            <c:numRef>
              <c:f>Employment!$I$5:$R$5</c:f>
              <c:numCache>
                <c:formatCode>General</c:formatCode>
                <c:ptCount val="10"/>
                <c:pt idx="0">
                  <c:v>2006</c:v>
                </c:pt>
                <c:pt idx="1">
                  <c:v>2007</c:v>
                </c:pt>
                <c:pt idx="2">
                  <c:v>2008</c:v>
                </c:pt>
                <c:pt idx="3">
                  <c:v>2009</c:v>
                </c:pt>
                <c:pt idx="4">
                  <c:v>2010</c:v>
                </c:pt>
                <c:pt idx="5">
                  <c:v>2011</c:v>
                </c:pt>
                <c:pt idx="6">
                  <c:v>2012</c:v>
                </c:pt>
                <c:pt idx="7">
                  <c:v>2013</c:v>
                </c:pt>
                <c:pt idx="8">
                  <c:v>2014</c:v>
                </c:pt>
                <c:pt idx="9">
                  <c:v>2015</c:v>
                </c:pt>
              </c:numCache>
            </c:numRef>
          </c:cat>
          <c:val>
            <c:numRef>
              <c:f>Employment!$I$6:$R$6</c:f>
              <c:numCache>
                <c:formatCode>General</c:formatCode>
                <c:ptCount val="10"/>
                <c:pt idx="0">
                  <c:v>113223</c:v>
                </c:pt>
                <c:pt idx="1">
                  <c:v>118536</c:v>
                </c:pt>
                <c:pt idx="2">
                  <c:v>122912</c:v>
                </c:pt>
                <c:pt idx="3">
                  <c:v>129580</c:v>
                </c:pt>
                <c:pt idx="4">
                  <c:v>132507</c:v>
                </c:pt>
                <c:pt idx="5">
                  <c:v>131603</c:v>
                </c:pt>
                <c:pt idx="6">
                  <c:v>131278</c:v>
                </c:pt>
                <c:pt idx="7">
                  <c:v>128619</c:v>
                </c:pt>
                <c:pt idx="8">
                  <c:v>127931</c:v>
                </c:pt>
                <c:pt idx="9">
                  <c:v>130603</c:v>
                </c:pt>
              </c:numCache>
            </c:numRef>
          </c:val>
          <c:smooth val="0"/>
          <c:extLst xmlns:c16r2="http://schemas.microsoft.com/office/drawing/2015/06/chart">
            <c:ext xmlns:c16="http://schemas.microsoft.com/office/drawing/2014/chart" uri="{C3380CC4-5D6E-409C-BE32-E72D297353CC}">
              <c16:uniqueId val="{00000001-A294-4F81-9C4A-79A9FB80E6E3}"/>
            </c:ext>
          </c:extLst>
        </c:ser>
        <c:ser>
          <c:idx val="1"/>
          <c:order val="1"/>
          <c:tx>
            <c:strRef>
              <c:f>Employment!$H$7</c:f>
              <c:strCache>
                <c:ptCount val="1"/>
                <c:pt idx="0">
                  <c:v>Employed</c:v>
                </c:pt>
              </c:strCache>
            </c:strRef>
          </c:tx>
          <c:cat>
            <c:numRef>
              <c:f>Employment!$I$5:$R$5</c:f>
              <c:numCache>
                <c:formatCode>General</c:formatCode>
                <c:ptCount val="10"/>
                <c:pt idx="0">
                  <c:v>2006</c:v>
                </c:pt>
                <c:pt idx="1">
                  <c:v>2007</c:v>
                </c:pt>
                <c:pt idx="2">
                  <c:v>2008</c:v>
                </c:pt>
                <c:pt idx="3">
                  <c:v>2009</c:v>
                </c:pt>
                <c:pt idx="4">
                  <c:v>2010</c:v>
                </c:pt>
                <c:pt idx="5">
                  <c:v>2011</c:v>
                </c:pt>
                <c:pt idx="6">
                  <c:v>2012</c:v>
                </c:pt>
                <c:pt idx="7">
                  <c:v>2013</c:v>
                </c:pt>
                <c:pt idx="8">
                  <c:v>2014</c:v>
                </c:pt>
                <c:pt idx="9">
                  <c:v>2015</c:v>
                </c:pt>
              </c:numCache>
            </c:numRef>
          </c:cat>
          <c:val>
            <c:numRef>
              <c:f>Employment!$I$7:$R$7</c:f>
              <c:numCache>
                <c:formatCode>General</c:formatCode>
                <c:ptCount val="10"/>
                <c:pt idx="0">
                  <c:v>105779</c:v>
                </c:pt>
                <c:pt idx="1">
                  <c:v>111577</c:v>
                </c:pt>
                <c:pt idx="2">
                  <c:v>115876</c:v>
                </c:pt>
                <c:pt idx="3">
                  <c:v>119792</c:v>
                </c:pt>
                <c:pt idx="4">
                  <c:v>121729</c:v>
                </c:pt>
                <c:pt idx="5">
                  <c:v>120474</c:v>
                </c:pt>
                <c:pt idx="6">
                  <c:v>118895</c:v>
                </c:pt>
                <c:pt idx="7">
                  <c:v>116873</c:v>
                </c:pt>
                <c:pt idx="8">
                  <c:v>118101</c:v>
                </c:pt>
                <c:pt idx="9">
                  <c:v>121662</c:v>
                </c:pt>
              </c:numCache>
            </c:numRef>
          </c:val>
          <c:smooth val="0"/>
          <c:extLst xmlns:c16r2="http://schemas.microsoft.com/office/drawing/2015/06/chart">
            <c:ext xmlns:c16="http://schemas.microsoft.com/office/drawing/2014/chart" uri="{C3380CC4-5D6E-409C-BE32-E72D297353CC}">
              <c16:uniqueId val="{00000002-A294-4F81-9C4A-79A9FB80E6E3}"/>
            </c:ext>
          </c:extLst>
        </c:ser>
        <c:dLbls>
          <c:showLegendKey val="0"/>
          <c:showVal val="0"/>
          <c:showCatName val="0"/>
          <c:showSerName val="0"/>
          <c:showPercent val="0"/>
          <c:showBubbleSize val="0"/>
        </c:dLbls>
        <c:marker val="1"/>
        <c:smooth val="0"/>
        <c:axId val="223904128"/>
        <c:axId val="223905664"/>
      </c:lineChart>
      <c:catAx>
        <c:axId val="223904128"/>
        <c:scaling>
          <c:orientation val="minMax"/>
        </c:scaling>
        <c:delete val="0"/>
        <c:axPos val="b"/>
        <c:numFmt formatCode="General" sourceLinked="1"/>
        <c:majorTickMark val="out"/>
        <c:minorTickMark val="none"/>
        <c:tickLblPos val="nextTo"/>
        <c:txPr>
          <a:bodyPr rot="-1800000"/>
          <a:lstStyle/>
          <a:p>
            <a:pPr>
              <a:defRPr sz="1000" b="0">
                <a:latin typeface="Calibri" panose="020F0502020204030204" pitchFamily="34" charset="0"/>
              </a:defRPr>
            </a:pPr>
            <a:endParaRPr lang="en-US"/>
          </a:p>
        </c:txPr>
        <c:crossAx val="223905664"/>
        <c:crosses val="autoZero"/>
        <c:auto val="1"/>
        <c:lblAlgn val="ctr"/>
        <c:lblOffset val="100"/>
        <c:noMultiLvlLbl val="0"/>
      </c:catAx>
      <c:valAx>
        <c:axId val="223905664"/>
        <c:scaling>
          <c:orientation val="minMax"/>
          <c:max val="140000"/>
          <c:min val="60000"/>
        </c:scaling>
        <c:delete val="0"/>
        <c:axPos val="l"/>
        <c:majorGridlines/>
        <c:numFmt formatCode="#,##0" sourceLinked="0"/>
        <c:majorTickMark val="out"/>
        <c:minorTickMark val="none"/>
        <c:tickLblPos val="nextTo"/>
        <c:txPr>
          <a:bodyPr/>
          <a:lstStyle/>
          <a:p>
            <a:pPr>
              <a:defRPr sz="1000" b="0">
                <a:latin typeface="Calibri" panose="020F0502020204030204" pitchFamily="34" charset="0"/>
              </a:defRPr>
            </a:pPr>
            <a:endParaRPr lang="en-US"/>
          </a:p>
        </c:txPr>
        <c:crossAx val="223904128"/>
        <c:crosses val="autoZero"/>
        <c:crossBetween val="between"/>
      </c:valAx>
      <c:valAx>
        <c:axId val="223907200"/>
        <c:scaling>
          <c:orientation val="minMax"/>
          <c:max val="12"/>
          <c:min val="4"/>
        </c:scaling>
        <c:delete val="0"/>
        <c:axPos val="r"/>
        <c:title>
          <c:tx>
            <c:rich>
              <a:bodyPr rot="-5400000" vert="horz"/>
              <a:lstStyle/>
              <a:p>
                <a:pPr>
                  <a:defRPr sz="1000"/>
                </a:pPr>
                <a:r>
                  <a:rPr lang="en-US" sz="1000"/>
                  <a:t>Unemployment Rate</a:t>
                </a:r>
              </a:p>
            </c:rich>
          </c:tx>
          <c:layout>
            <c:manualLayout>
              <c:xMode val="edge"/>
              <c:yMode val="edge"/>
              <c:x val="0.93189942403032955"/>
              <c:y val="0.27544063347768905"/>
            </c:manualLayout>
          </c:layout>
          <c:overlay val="0"/>
        </c:title>
        <c:numFmt formatCode="General" sourceLinked="1"/>
        <c:majorTickMark val="out"/>
        <c:minorTickMark val="none"/>
        <c:tickLblPos val="nextTo"/>
        <c:txPr>
          <a:bodyPr/>
          <a:lstStyle/>
          <a:p>
            <a:pPr>
              <a:defRPr sz="1000" b="0"/>
            </a:pPr>
            <a:endParaRPr lang="en-US"/>
          </a:p>
        </c:txPr>
        <c:crossAx val="223909376"/>
        <c:crosses val="max"/>
        <c:crossBetween val="between"/>
      </c:valAx>
      <c:catAx>
        <c:axId val="223909376"/>
        <c:scaling>
          <c:orientation val="minMax"/>
        </c:scaling>
        <c:delete val="1"/>
        <c:axPos val="b"/>
        <c:numFmt formatCode="General" sourceLinked="1"/>
        <c:majorTickMark val="out"/>
        <c:minorTickMark val="none"/>
        <c:tickLblPos val="nextTo"/>
        <c:crossAx val="223907200"/>
        <c:crosses val="autoZero"/>
        <c:auto val="1"/>
        <c:lblAlgn val="ctr"/>
        <c:lblOffset val="100"/>
        <c:noMultiLvlLbl val="0"/>
      </c:catAx>
    </c:plotArea>
    <c:legend>
      <c:legendPos val="r"/>
      <c:layout>
        <c:manualLayout>
          <c:xMode val="edge"/>
          <c:yMode val="edge"/>
          <c:x val="3.15731627296588E-2"/>
          <c:y val="0.88942754791527956"/>
          <c:w val="0.9313898002333042"/>
          <c:h val="8.1834434705847087E-2"/>
        </c:manualLayout>
      </c:layout>
      <c:overlay val="0"/>
      <c:txPr>
        <a:bodyPr/>
        <a:lstStyle/>
        <a:p>
          <a:pPr>
            <a:defRPr sz="1000" b="1">
              <a:latin typeface="Calibri" panose="020F0502020204030204" pitchFamily="34" charset="0"/>
            </a:defRPr>
          </a:pPr>
          <a:endParaRPr lang="en-US"/>
        </a:p>
      </c:txPr>
    </c:legend>
    <c:plotVisOnly val="1"/>
    <c:dispBlanksAs val="gap"/>
    <c:showDLblsOverMax val="0"/>
  </c:chart>
  <c:externalData r:id="rId2">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invertIfNegative val="0"/>
          <c:cat>
            <c:strRef>
              <c:f>Sheet1!$A$32:$A$43</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Sheet1!$D$32:$D$43</c:f>
              <c:numCache>
                <c:formatCode>0.00%</c:formatCode>
                <c:ptCount val="12"/>
                <c:pt idx="0">
                  <c:v>7.2927276431045018E-2</c:v>
                </c:pt>
                <c:pt idx="1">
                  <c:v>6.7936443267467922E-2</c:v>
                </c:pt>
                <c:pt idx="2">
                  <c:v>8.2807089020167035E-2</c:v>
                </c:pt>
                <c:pt idx="3">
                  <c:v>7.8936646974943986E-2</c:v>
                </c:pt>
                <c:pt idx="4">
                  <c:v>8.3825626400488892E-2</c:v>
                </c:pt>
                <c:pt idx="5">
                  <c:v>8.5353432470971685E-2</c:v>
                </c:pt>
                <c:pt idx="6">
                  <c:v>9.1770217966999384E-2</c:v>
                </c:pt>
                <c:pt idx="7">
                  <c:v>8.973314320635567E-2</c:v>
                </c:pt>
                <c:pt idx="8">
                  <c:v>8.6270116113261353E-2</c:v>
                </c:pt>
                <c:pt idx="9">
                  <c:v>9.0038704420452226E-2</c:v>
                </c:pt>
                <c:pt idx="10">
                  <c:v>8.993685068242005E-2</c:v>
                </c:pt>
                <c:pt idx="11">
                  <c:v>8.0464453045426765E-2</c:v>
                </c:pt>
              </c:numCache>
            </c:numRef>
          </c:val>
          <c:extLst xmlns:c16r2="http://schemas.microsoft.com/office/drawing/2015/06/chart">
            <c:ext xmlns:c16="http://schemas.microsoft.com/office/drawing/2014/chart" uri="{C3380CC4-5D6E-409C-BE32-E72D297353CC}">
              <c16:uniqueId val="{00000000-FBB9-4235-BDDA-E8EC2A9F3C87}"/>
            </c:ext>
          </c:extLst>
        </c:ser>
        <c:dLbls>
          <c:showLegendKey val="0"/>
          <c:showVal val="0"/>
          <c:showCatName val="0"/>
          <c:showSerName val="0"/>
          <c:showPercent val="0"/>
          <c:showBubbleSize val="0"/>
        </c:dLbls>
        <c:gapWidth val="150"/>
        <c:axId val="234764544"/>
        <c:axId val="234795008"/>
      </c:barChart>
      <c:catAx>
        <c:axId val="234764544"/>
        <c:scaling>
          <c:orientation val="minMax"/>
        </c:scaling>
        <c:delete val="0"/>
        <c:axPos val="b"/>
        <c:numFmt formatCode="General" sourceLinked="0"/>
        <c:majorTickMark val="out"/>
        <c:minorTickMark val="none"/>
        <c:tickLblPos val="nextTo"/>
        <c:crossAx val="234795008"/>
        <c:crosses val="autoZero"/>
        <c:auto val="1"/>
        <c:lblAlgn val="ctr"/>
        <c:lblOffset val="100"/>
        <c:noMultiLvlLbl val="0"/>
      </c:catAx>
      <c:valAx>
        <c:axId val="234795008"/>
        <c:scaling>
          <c:orientation val="minMax"/>
        </c:scaling>
        <c:delete val="0"/>
        <c:axPos val="l"/>
        <c:majorGridlines/>
        <c:minorGridlines>
          <c:spPr>
            <a:ln>
              <a:noFill/>
            </a:ln>
          </c:spPr>
        </c:minorGridlines>
        <c:numFmt formatCode="0%" sourceLinked="0"/>
        <c:majorTickMark val="out"/>
        <c:minorTickMark val="none"/>
        <c:tickLblPos val="nextTo"/>
        <c:crossAx val="234764544"/>
        <c:crosses val="autoZero"/>
        <c:crossBetween val="between"/>
        <c:minorUnit val="5.000000000000001E-3"/>
      </c:valAx>
    </c:plotArea>
    <c:plotVisOnly val="1"/>
    <c:dispBlanksAs val="gap"/>
    <c:showDLblsOverMax val="0"/>
  </c:chart>
  <c:spPr>
    <a:solidFill>
      <a:sysClr val="window" lastClr="FFFFFF"/>
    </a:solidFill>
    <a:ln w="12700">
      <a:noFill/>
    </a:ln>
  </c:spPr>
  <c:txPr>
    <a:bodyPr/>
    <a:lstStyle/>
    <a:p>
      <a:pPr>
        <a:defRPr b="0">
          <a:latin typeface="Calibri" pitchFamily="34" charset="0"/>
          <a:cs typeface="Arial" pitchFamily="34" charset="0"/>
        </a:defRPr>
      </a:pPr>
      <a:endParaRPr lang="en-US"/>
    </a:p>
  </c:txPr>
  <c:externalData r:id="rId2">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invertIfNegative val="0"/>
          <c:cat>
            <c:strRef>
              <c:f>Sheet1!$A$51:$A$57</c:f>
              <c:strCache>
                <c:ptCount val="7"/>
                <c:pt idx="0">
                  <c:v>Sunday</c:v>
                </c:pt>
                <c:pt idx="1">
                  <c:v>Monday</c:v>
                </c:pt>
                <c:pt idx="2">
                  <c:v>Tuesday</c:v>
                </c:pt>
                <c:pt idx="3">
                  <c:v>Wednesday</c:v>
                </c:pt>
                <c:pt idx="4">
                  <c:v>Thursday</c:v>
                </c:pt>
                <c:pt idx="5">
                  <c:v>Friday</c:v>
                </c:pt>
                <c:pt idx="6">
                  <c:v>Saturday</c:v>
                </c:pt>
              </c:strCache>
            </c:strRef>
          </c:cat>
          <c:val>
            <c:numRef>
              <c:f>Sheet1!$D$51:$D$57</c:f>
              <c:numCache>
                <c:formatCode>0.00%</c:formatCode>
                <c:ptCount val="7"/>
                <c:pt idx="0">
                  <c:v>0.13220615196577715</c:v>
                </c:pt>
                <c:pt idx="1">
                  <c:v>0.14442860052963943</c:v>
                </c:pt>
                <c:pt idx="2">
                  <c:v>0.13770625381951518</c:v>
                </c:pt>
                <c:pt idx="3">
                  <c:v>0.14096557343654512</c:v>
                </c:pt>
                <c:pt idx="4">
                  <c:v>0.15033611733550623</c:v>
                </c:pt>
                <c:pt idx="5">
                  <c:v>0.14799348136076593</c:v>
                </c:pt>
                <c:pt idx="6">
                  <c:v>0.14636382155225097</c:v>
                </c:pt>
              </c:numCache>
            </c:numRef>
          </c:val>
          <c:extLst xmlns:c16r2="http://schemas.microsoft.com/office/drawing/2015/06/chart">
            <c:ext xmlns:c16="http://schemas.microsoft.com/office/drawing/2014/chart" uri="{C3380CC4-5D6E-409C-BE32-E72D297353CC}">
              <c16:uniqueId val="{00000000-5A56-4AEF-BA09-F295C1395B94}"/>
            </c:ext>
          </c:extLst>
        </c:ser>
        <c:dLbls>
          <c:showLegendKey val="0"/>
          <c:showVal val="0"/>
          <c:showCatName val="0"/>
          <c:showSerName val="0"/>
          <c:showPercent val="0"/>
          <c:showBubbleSize val="0"/>
        </c:dLbls>
        <c:gapWidth val="150"/>
        <c:axId val="234814848"/>
        <c:axId val="234824832"/>
      </c:barChart>
      <c:catAx>
        <c:axId val="234814848"/>
        <c:scaling>
          <c:orientation val="minMax"/>
        </c:scaling>
        <c:delete val="0"/>
        <c:axPos val="b"/>
        <c:numFmt formatCode="General" sourceLinked="0"/>
        <c:majorTickMark val="out"/>
        <c:minorTickMark val="none"/>
        <c:tickLblPos val="nextTo"/>
        <c:crossAx val="234824832"/>
        <c:crosses val="autoZero"/>
        <c:auto val="1"/>
        <c:lblAlgn val="ctr"/>
        <c:lblOffset val="100"/>
        <c:noMultiLvlLbl val="0"/>
      </c:catAx>
      <c:valAx>
        <c:axId val="234824832"/>
        <c:scaling>
          <c:orientation val="minMax"/>
          <c:min val="0"/>
        </c:scaling>
        <c:delete val="0"/>
        <c:axPos val="l"/>
        <c:majorGridlines/>
        <c:minorGridlines>
          <c:spPr>
            <a:ln>
              <a:noFill/>
            </a:ln>
          </c:spPr>
        </c:minorGridlines>
        <c:numFmt formatCode="0%" sourceLinked="0"/>
        <c:majorTickMark val="out"/>
        <c:minorTickMark val="none"/>
        <c:tickLblPos val="nextTo"/>
        <c:crossAx val="234814848"/>
        <c:crosses val="autoZero"/>
        <c:crossBetween val="between"/>
        <c:minorUnit val="1.0000000000000002E-2"/>
      </c:valAx>
    </c:plotArea>
    <c:plotVisOnly val="1"/>
    <c:dispBlanksAs val="gap"/>
    <c:showDLblsOverMax val="0"/>
  </c:chart>
  <c:spPr>
    <a:solidFill>
      <a:sysClr val="window" lastClr="FFFFFF"/>
    </a:solidFill>
    <a:ln w="12700">
      <a:noFill/>
    </a:ln>
  </c:spPr>
  <c:txPr>
    <a:bodyPr/>
    <a:lstStyle/>
    <a:p>
      <a:pPr>
        <a:defRPr b="0">
          <a:latin typeface="Calibri" pitchFamily="34" charset="0"/>
          <a:cs typeface="Arial" pitchFamily="34" charset="0"/>
        </a:defRPr>
      </a:pPr>
      <a:endParaRPr lang="en-US"/>
    </a:p>
  </c:txPr>
  <c:externalData r:id="rId2">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invertIfNegative val="0"/>
          <c:cat>
            <c:strRef>
              <c:f>Sheet1!$G$65:$G$88</c:f>
              <c:strCache>
                <c:ptCount val="24"/>
                <c:pt idx="0">
                  <c:v>Midnight</c:v>
                </c:pt>
                <c:pt idx="1">
                  <c:v>1 AM</c:v>
                </c:pt>
                <c:pt idx="2">
                  <c:v>2 AM</c:v>
                </c:pt>
                <c:pt idx="3">
                  <c:v>3 AM</c:v>
                </c:pt>
                <c:pt idx="4">
                  <c:v>4 AM</c:v>
                </c:pt>
                <c:pt idx="5">
                  <c:v>5 AM</c:v>
                </c:pt>
                <c:pt idx="6">
                  <c:v>6 AM</c:v>
                </c:pt>
                <c:pt idx="7">
                  <c:v>7 AM</c:v>
                </c:pt>
                <c:pt idx="8">
                  <c:v>8 AM</c:v>
                </c:pt>
                <c:pt idx="9">
                  <c:v>9 AM</c:v>
                </c:pt>
                <c:pt idx="10">
                  <c:v>10 AM</c:v>
                </c:pt>
                <c:pt idx="11">
                  <c:v>11 AM</c:v>
                </c:pt>
                <c:pt idx="12">
                  <c:v>Noon</c:v>
                </c:pt>
                <c:pt idx="13">
                  <c:v>1 PM</c:v>
                </c:pt>
                <c:pt idx="14">
                  <c:v>2 PM</c:v>
                </c:pt>
                <c:pt idx="15">
                  <c:v>3 PM</c:v>
                </c:pt>
                <c:pt idx="16">
                  <c:v>4 PM</c:v>
                </c:pt>
                <c:pt idx="17">
                  <c:v>5 PM</c:v>
                </c:pt>
                <c:pt idx="18">
                  <c:v>6 PM</c:v>
                </c:pt>
                <c:pt idx="19">
                  <c:v>7 PM</c:v>
                </c:pt>
                <c:pt idx="20">
                  <c:v>8 PM</c:v>
                </c:pt>
                <c:pt idx="21">
                  <c:v>9 PM</c:v>
                </c:pt>
                <c:pt idx="22">
                  <c:v>10 PM</c:v>
                </c:pt>
                <c:pt idx="23">
                  <c:v>11 PM</c:v>
                </c:pt>
              </c:strCache>
            </c:strRef>
          </c:cat>
          <c:val>
            <c:numRef>
              <c:f>Sheet1!$H$65:$H$88</c:f>
              <c:numCache>
                <c:formatCode>0.00%</c:formatCode>
                <c:ptCount val="24"/>
                <c:pt idx="0">
                  <c:v>2.5843934688971251E-2</c:v>
                </c:pt>
                <c:pt idx="1">
                  <c:v>2.5042572373034158E-2</c:v>
                </c:pt>
                <c:pt idx="2">
                  <c:v>2.3039166583191426E-2</c:v>
                </c:pt>
                <c:pt idx="3">
                  <c:v>2.0334568766903736E-2</c:v>
                </c:pt>
                <c:pt idx="4">
                  <c:v>2.0134228187919462E-2</c:v>
                </c:pt>
                <c:pt idx="5">
                  <c:v>2.053490934588801E-2</c:v>
                </c:pt>
                <c:pt idx="6">
                  <c:v>2.5042572373034158E-2</c:v>
                </c:pt>
                <c:pt idx="7">
                  <c:v>3.1653811479515175E-2</c:v>
                </c:pt>
                <c:pt idx="8">
                  <c:v>4.2973054192126617E-2</c:v>
                </c:pt>
                <c:pt idx="9">
                  <c:v>4.8582590403686267E-2</c:v>
                </c:pt>
                <c:pt idx="10">
                  <c:v>5.1988380246418914E-2</c:v>
                </c:pt>
                <c:pt idx="11">
                  <c:v>5.7097065010517881E-2</c:v>
                </c:pt>
                <c:pt idx="12">
                  <c:v>5.7097065010517881E-2</c:v>
                </c:pt>
                <c:pt idx="13">
                  <c:v>5.3190423720324551E-2</c:v>
                </c:pt>
                <c:pt idx="14">
                  <c:v>5.7698086747470699E-2</c:v>
                </c:pt>
                <c:pt idx="15">
                  <c:v>5.689672443153361E-2</c:v>
                </c:pt>
                <c:pt idx="16">
                  <c:v>5.6696383852549333E-2</c:v>
                </c:pt>
                <c:pt idx="17">
                  <c:v>5.9501151958329161E-2</c:v>
                </c:pt>
                <c:pt idx="18">
                  <c:v>5.1287188219973953E-2</c:v>
                </c:pt>
                <c:pt idx="19">
                  <c:v>4.908344185114695E-2</c:v>
                </c:pt>
                <c:pt idx="20">
                  <c:v>5.0485825904036864E-2</c:v>
                </c:pt>
                <c:pt idx="21">
                  <c:v>4.2372032455173798E-2</c:v>
                </c:pt>
                <c:pt idx="22">
                  <c:v>4.1871181007713115E-2</c:v>
                </c:pt>
                <c:pt idx="23">
                  <c:v>3.1553641190023039E-2</c:v>
                </c:pt>
              </c:numCache>
            </c:numRef>
          </c:val>
          <c:extLst xmlns:c16r2="http://schemas.microsoft.com/office/drawing/2015/06/chart">
            <c:ext xmlns:c16="http://schemas.microsoft.com/office/drawing/2014/chart" uri="{C3380CC4-5D6E-409C-BE32-E72D297353CC}">
              <c16:uniqueId val="{00000000-1C80-43E5-8830-2359CF774436}"/>
            </c:ext>
          </c:extLst>
        </c:ser>
        <c:dLbls>
          <c:showLegendKey val="0"/>
          <c:showVal val="0"/>
          <c:showCatName val="0"/>
          <c:showSerName val="0"/>
          <c:showPercent val="0"/>
          <c:showBubbleSize val="0"/>
        </c:dLbls>
        <c:gapWidth val="150"/>
        <c:axId val="234845312"/>
        <c:axId val="234846848"/>
      </c:barChart>
      <c:catAx>
        <c:axId val="234845312"/>
        <c:scaling>
          <c:orientation val="minMax"/>
        </c:scaling>
        <c:delete val="0"/>
        <c:axPos val="b"/>
        <c:numFmt formatCode="General" sourceLinked="0"/>
        <c:majorTickMark val="out"/>
        <c:minorTickMark val="none"/>
        <c:tickLblPos val="nextTo"/>
        <c:crossAx val="234846848"/>
        <c:crosses val="autoZero"/>
        <c:auto val="1"/>
        <c:lblAlgn val="ctr"/>
        <c:lblOffset val="100"/>
        <c:noMultiLvlLbl val="0"/>
      </c:catAx>
      <c:valAx>
        <c:axId val="234846848"/>
        <c:scaling>
          <c:orientation val="minMax"/>
        </c:scaling>
        <c:delete val="0"/>
        <c:axPos val="l"/>
        <c:majorGridlines/>
        <c:minorGridlines>
          <c:spPr>
            <a:ln>
              <a:noFill/>
            </a:ln>
          </c:spPr>
        </c:minorGridlines>
        <c:numFmt formatCode="0%" sourceLinked="0"/>
        <c:majorTickMark val="out"/>
        <c:minorTickMark val="none"/>
        <c:tickLblPos val="nextTo"/>
        <c:crossAx val="234845312"/>
        <c:crosses val="autoZero"/>
        <c:crossBetween val="between"/>
        <c:minorUnit val="5.000000000000001E-3"/>
      </c:valAx>
    </c:plotArea>
    <c:plotVisOnly val="1"/>
    <c:dispBlanksAs val="gap"/>
    <c:showDLblsOverMax val="0"/>
  </c:chart>
  <c:spPr>
    <a:solidFill>
      <a:sysClr val="window" lastClr="FFFFFF"/>
    </a:solidFill>
    <a:ln w="12700">
      <a:noFill/>
    </a:ln>
  </c:spPr>
  <c:txPr>
    <a:bodyPr/>
    <a:lstStyle/>
    <a:p>
      <a:pPr>
        <a:defRPr b="0">
          <a:latin typeface="Calibri" pitchFamily="34" charset="0"/>
          <a:cs typeface="Arial" pitchFamily="34" charset="0"/>
        </a:defRPr>
      </a:pPr>
      <a:endParaRPr lang="en-US"/>
    </a:p>
  </c:txPr>
  <c:externalData r:id="rId2">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v>Frequency</c:v>
          </c:tx>
          <c:invertIfNegative val="0"/>
          <c:cat>
            <c:strRef>
              <c:f>Frequency!$O$8:$O$39</c:f>
              <c:strCache>
                <c:ptCount val="32"/>
                <c:pt idx="0">
                  <c:v>0:00</c:v>
                </c:pt>
                <c:pt idx="1">
                  <c:v>&lt;01:00</c:v>
                </c:pt>
                <c:pt idx="2">
                  <c:v>&lt;02:00</c:v>
                </c:pt>
                <c:pt idx="3">
                  <c:v>&lt;03:00</c:v>
                </c:pt>
                <c:pt idx="4">
                  <c:v>&lt;04:00</c:v>
                </c:pt>
                <c:pt idx="5">
                  <c:v>&lt;05:00</c:v>
                </c:pt>
                <c:pt idx="6">
                  <c:v>&lt;06:00</c:v>
                </c:pt>
                <c:pt idx="7">
                  <c:v>&lt;07:00</c:v>
                </c:pt>
                <c:pt idx="8">
                  <c:v>&lt;08:00</c:v>
                </c:pt>
                <c:pt idx="9">
                  <c:v>&lt;09:00</c:v>
                </c:pt>
                <c:pt idx="10">
                  <c:v>&lt;10:00</c:v>
                </c:pt>
                <c:pt idx="11">
                  <c:v>&lt;11:00</c:v>
                </c:pt>
                <c:pt idx="12">
                  <c:v>&lt;12:00</c:v>
                </c:pt>
                <c:pt idx="13">
                  <c:v>&lt;13:00</c:v>
                </c:pt>
                <c:pt idx="14">
                  <c:v>&lt;14:00</c:v>
                </c:pt>
                <c:pt idx="15">
                  <c:v>&lt;15:00</c:v>
                </c:pt>
                <c:pt idx="16">
                  <c:v>&lt;16:00</c:v>
                </c:pt>
                <c:pt idx="17">
                  <c:v>&lt;17:00</c:v>
                </c:pt>
                <c:pt idx="18">
                  <c:v>&lt;18:00</c:v>
                </c:pt>
                <c:pt idx="19">
                  <c:v>&lt;19:00</c:v>
                </c:pt>
                <c:pt idx="20">
                  <c:v>&lt;20:00</c:v>
                </c:pt>
                <c:pt idx="21">
                  <c:v>&lt;21:00</c:v>
                </c:pt>
                <c:pt idx="22">
                  <c:v>&lt;22:00</c:v>
                </c:pt>
                <c:pt idx="23">
                  <c:v>&lt;23:00</c:v>
                </c:pt>
                <c:pt idx="24">
                  <c:v>&lt;24:00</c:v>
                </c:pt>
                <c:pt idx="25">
                  <c:v>&lt;25:00</c:v>
                </c:pt>
                <c:pt idx="26">
                  <c:v>&lt;26:00</c:v>
                </c:pt>
                <c:pt idx="27">
                  <c:v>&lt;27:00</c:v>
                </c:pt>
                <c:pt idx="28">
                  <c:v>&lt;28:00</c:v>
                </c:pt>
                <c:pt idx="29">
                  <c:v>&lt;29:00</c:v>
                </c:pt>
                <c:pt idx="30">
                  <c:v>&lt;30:00</c:v>
                </c:pt>
                <c:pt idx="31">
                  <c:v>More</c:v>
                </c:pt>
              </c:strCache>
            </c:strRef>
          </c:cat>
          <c:val>
            <c:numRef>
              <c:f>Frequency!$Q$8:$Q$39</c:f>
              <c:numCache>
                <c:formatCode>General</c:formatCode>
                <c:ptCount val="32"/>
                <c:pt idx="0">
                  <c:v>1</c:v>
                </c:pt>
                <c:pt idx="1">
                  <c:v>53</c:v>
                </c:pt>
                <c:pt idx="2">
                  <c:v>151</c:v>
                </c:pt>
                <c:pt idx="3">
                  <c:v>504</c:v>
                </c:pt>
                <c:pt idx="4">
                  <c:v>1192</c:v>
                </c:pt>
                <c:pt idx="5">
                  <c:v>1728</c:v>
                </c:pt>
                <c:pt idx="6">
                  <c:v>1759</c:v>
                </c:pt>
                <c:pt idx="7">
                  <c:v>1062</c:v>
                </c:pt>
                <c:pt idx="8">
                  <c:v>515</c:v>
                </c:pt>
                <c:pt idx="9">
                  <c:v>221</c:v>
                </c:pt>
                <c:pt idx="10">
                  <c:v>87</c:v>
                </c:pt>
                <c:pt idx="11">
                  <c:v>33</c:v>
                </c:pt>
                <c:pt idx="12">
                  <c:v>13</c:v>
                </c:pt>
                <c:pt idx="13">
                  <c:v>12</c:v>
                </c:pt>
                <c:pt idx="14">
                  <c:v>10</c:v>
                </c:pt>
                <c:pt idx="15">
                  <c:v>4</c:v>
                </c:pt>
                <c:pt idx="16">
                  <c:v>2</c:v>
                </c:pt>
                <c:pt idx="17">
                  <c:v>3</c:v>
                </c:pt>
                <c:pt idx="18">
                  <c:v>5</c:v>
                </c:pt>
                <c:pt idx="19">
                  <c:v>2</c:v>
                </c:pt>
                <c:pt idx="20">
                  <c:v>1</c:v>
                </c:pt>
                <c:pt idx="21">
                  <c:v>1</c:v>
                </c:pt>
                <c:pt idx="22">
                  <c:v>0</c:v>
                </c:pt>
                <c:pt idx="23">
                  <c:v>0</c:v>
                </c:pt>
                <c:pt idx="24">
                  <c:v>0</c:v>
                </c:pt>
                <c:pt idx="25">
                  <c:v>2</c:v>
                </c:pt>
                <c:pt idx="26">
                  <c:v>0</c:v>
                </c:pt>
                <c:pt idx="27">
                  <c:v>0</c:v>
                </c:pt>
                <c:pt idx="28">
                  <c:v>1</c:v>
                </c:pt>
                <c:pt idx="29">
                  <c:v>0</c:v>
                </c:pt>
                <c:pt idx="30">
                  <c:v>0</c:v>
                </c:pt>
                <c:pt idx="31">
                  <c:v>0</c:v>
                </c:pt>
              </c:numCache>
            </c:numRef>
          </c:val>
          <c:extLst xmlns:c16r2="http://schemas.microsoft.com/office/drawing/2015/06/chart">
            <c:ext xmlns:c16="http://schemas.microsoft.com/office/drawing/2014/chart" uri="{C3380CC4-5D6E-409C-BE32-E72D297353CC}">
              <c16:uniqueId val="{00000000-FC50-471D-A2B7-A4C9817458FB}"/>
            </c:ext>
          </c:extLst>
        </c:ser>
        <c:dLbls>
          <c:showLegendKey val="0"/>
          <c:showVal val="0"/>
          <c:showCatName val="0"/>
          <c:showSerName val="0"/>
          <c:showPercent val="0"/>
          <c:showBubbleSize val="0"/>
        </c:dLbls>
        <c:gapWidth val="150"/>
        <c:axId val="234914944"/>
        <c:axId val="234916864"/>
      </c:barChart>
      <c:lineChart>
        <c:grouping val="standard"/>
        <c:varyColors val="0"/>
        <c:ser>
          <c:idx val="1"/>
          <c:order val="1"/>
          <c:tx>
            <c:v>Cumulative Percent</c:v>
          </c:tx>
          <c:marker>
            <c:symbol val="diamond"/>
            <c:size val="7"/>
          </c:marker>
          <c:cat>
            <c:strRef>
              <c:f>Frequency!$P$8:$P$39</c:f>
              <c:strCache>
                <c:ptCount val="32"/>
                <c:pt idx="0">
                  <c:v>00:00</c:v>
                </c:pt>
                <c:pt idx="1">
                  <c:v>01:00</c:v>
                </c:pt>
                <c:pt idx="2">
                  <c:v>02:00</c:v>
                </c:pt>
                <c:pt idx="3">
                  <c:v>03:00</c:v>
                </c:pt>
                <c:pt idx="4">
                  <c:v>04:00</c:v>
                </c:pt>
                <c:pt idx="5">
                  <c:v>05:00</c:v>
                </c:pt>
                <c:pt idx="6">
                  <c:v>06:00</c:v>
                </c:pt>
                <c:pt idx="7">
                  <c:v>07:00</c:v>
                </c:pt>
                <c:pt idx="8">
                  <c:v>08:00</c:v>
                </c:pt>
                <c:pt idx="9">
                  <c:v>09:00</c:v>
                </c:pt>
                <c:pt idx="10">
                  <c:v>10:00</c:v>
                </c:pt>
                <c:pt idx="11">
                  <c:v>11:00</c:v>
                </c:pt>
                <c:pt idx="12">
                  <c:v>12:00</c:v>
                </c:pt>
                <c:pt idx="13">
                  <c:v>13:00</c:v>
                </c:pt>
                <c:pt idx="14">
                  <c:v>14:00</c:v>
                </c:pt>
                <c:pt idx="15">
                  <c:v>15:00</c:v>
                </c:pt>
                <c:pt idx="16">
                  <c:v>16:00</c:v>
                </c:pt>
                <c:pt idx="17">
                  <c:v>17:00</c:v>
                </c:pt>
                <c:pt idx="18">
                  <c:v>18:00</c:v>
                </c:pt>
                <c:pt idx="19">
                  <c:v>19:00</c:v>
                </c:pt>
                <c:pt idx="20">
                  <c:v>20:00</c:v>
                </c:pt>
                <c:pt idx="21">
                  <c:v>21:00</c:v>
                </c:pt>
                <c:pt idx="22">
                  <c:v>22:00</c:v>
                </c:pt>
                <c:pt idx="23">
                  <c:v>23:00</c:v>
                </c:pt>
                <c:pt idx="24">
                  <c:v>24:00</c:v>
                </c:pt>
                <c:pt idx="25">
                  <c:v>25:00</c:v>
                </c:pt>
                <c:pt idx="26">
                  <c:v>26:00</c:v>
                </c:pt>
                <c:pt idx="27">
                  <c:v>27:00</c:v>
                </c:pt>
                <c:pt idx="28">
                  <c:v>28:00</c:v>
                </c:pt>
                <c:pt idx="29">
                  <c:v>29:00</c:v>
                </c:pt>
                <c:pt idx="30">
                  <c:v>30:00</c:v>
                </c:pt>
                <c:pt idx="31">
                  <c:v>More</c:v>
                </c:pt>
              </c:strCache>
            </c:strRef>
          </c:cat>
          <c:val>
            <c:numRef>
              <c:f>Frequency!$R$8:$R$39</c:f>
              <c:numCache>
                <c:formatCode>0.00%</c:formatCode>
                <c:ptCount val="32"/>
                <c:pt idx="0">
                  <c:v>1.3583265417006248E-4</c:v>
                </c:pt>
                <c:pt idx="1">
                  <c:v>7.3349633251833741E-3</c:v>
                </c:pt>
                <c:pt idx="2">
                  <c:v>2.784569410486281E-2</c:v>
                </c:pt>
                <c:pt idx="3">
                  <c:v>9.6305351806574305E-2</c:v>
                </c:pt>
                <c:pt idx="4">
                  <c:v>0.25821787557728876</c:v>
                </c:pt>
                <c:pt idx="5">
                  <c:v>0.49293670198315676</c:v>
                </c:pt>
                <c:pt idx="6">
                  <c:v>0.7318663406682967</c:v>
                </c:pt>
                <c:pt idx="7">
                  <c:v>0.876120619396903</c:v>
                </c:pt>
                <c:pt idx="8">
                  <c:v>0.94607443629448518</c:v>
                </c:pt>
                <c:pt idx="9">
                  <c:v>0.97609345286606897</c:v>
                </c:pt>
                <c:pt idx="10">
                  <c:v>0.98791089377886443</c:v>
                </c:pt>
                <c:pt idx="11">
                  <c:v>0.99239337136647654</c:v>
                </c:pt>
                <c:pt idx="12">
                  <c:v>0.99415919587068735</c:v>
                </c:pt>
                <c:pt idx="13">
                  <c:v>0.99578918772072811</c:v>
                </c:pt>
                <c:pt idx="14">
                  <c:v>0.99714751426242865</c:v>
                </c:pt>
                <c:pt idx="15">
                  <c:v>0.99769084487910897</c:v>
                </c:pt>
                <c:pt idx="16">
                  <c:v>0.99796251018744908</c:v>
                </c:pt>
                <c:pt idx="17">
                  <c:v>0.99837000814995924</c:v>
                </c:pt>
                <c:pt idx="18">
                  <c:v>0.99904917142080951</c:v>
                </c:pt>
                <c:pt idx="19">
                  <c:v>0.99932083672914973</c:v>
                </c:pt>
                <c:pt idx="20">
                  <c:v>0.99945666938331978</c:v>
                </c:pt>
                <c:pt idx="21">
                  <c:v>0.99959250203748984</c:v>
                </c:pt>
                <c:pt idx="22">
                  <c:v>0.99959250203748984</c:v>
                </c:pt>
                <c:pt idx="23">
                  <c:v>0.99959250203748984</c:v>
                </c:pt>
                <c:pt idx="24">
                  <c:v>0.99959250203748984</c:v>
                </c:pt>
                <c:pt idx="25">
                  <c:v>0.99986416734582995</c:v>
                </c:pt>
                <c:pt idx="26">
                  <c:v>0.99986416734582995</c:v>
                </c:pt>
                <c:pt idx="27">
                  <c:v>0.99986416734582995</c:v>
                </c:pt>
                <c:pt idx="28">
                  <c:v>1</c:v>
                </c:pt>
                <c:pt idx="29">
                  <c:v>1</c:v>
                </c:pt>
                <c:pt idx="30">
                  <c:v>1</c:v>
                </c:pt>
                <c:pt idx="31">
                  <c:v>1</c:v>
                </c:pt>
              </c:numCache>
            </c:numRef>
          </c:val>
          <c:smooth val="0"/>
          <c:extLst xmlns:c16r2="http://schemas.microsoft.com/office/drawing/2015/06/chart">
            <c:ext xmlns:c16="http://schemas.microsoft.com/office/drawing/2014/chart" uri="{C3380CC4-5D6E-409C-BE32-E72D297353CC}">
              <c16:uniqueId val="{00000001-FC50-471D-A2B7-A4C9817458FB}"/>
            </c:ext>
          </c:extLst>
        </c:ser>
        <c:dLbls>
          <c:showLegendKey val="0"/>
          <c:showVal val="0"/>
          <c:showCatName val="0"/>
          <c:showSerName val="0"/>
          <c:showPercent val="0"/>
          <c:showBubbleSize val="0"/>
        </c:dLbls>
        <c:marker val="1"/>
        <c:smooth val="0"/>
        <c:axId val="234920960"/>
        <c:axId val="234919040"/>
      </c:lineChart>
      <c:catAx>
        <c:axId val="234914944"/>
        <c:scaling>
          <c:orientation val="minMax"/>
        </c:scaling>
        <c:delete val="0"/>
        <c:axPos val="b"/>
        <c:title>
          <c:tx>
            <c:rich>
              <a:bodyPr/>
              <a:lstStyle/>
              <a:p>
                <a:pPr>
                  <a:defRPr/>
                </a:pPr>
                <a:r>
                  <a:rPr lang="en-US"/>
                  <a:t>Response Minutes</a:t>
                </a:r>
              </a:p>
            </c:rich>
          </c:tx>
          <c:overlay val="0"/>
        </c:title>
        <c:numFmt formatCode="General" sourceLinked="0"/>
        <c:majorTickMark val="out"/>
        <c:minorTickMark val="none"/>
        <c:tickLblPos val="nextTo"/>
        <c:crossAx val="234916864"/>
        <c:crosses val="autoZero"/>
        <c:auto val="1"/>
        <c:lblAlgn val="ctr"/>
        <c:lblOffset val="100"/>
        <c:tickLblSkip val="1"/>
        <c:noMultiLvlLbl val="0"/>
      </c:catAx>
      <c:valAx>
        <c:axId val="234916864"/>
        <c:scaling>
          <c:orientation val="minMax"/>
        </c:scaling>
        <c:delete val="0"/>
        <c:axPos val="l"/>
        <c:title>
          <c:tx>
            <c:rich>
              <a:bodyPr rot="-5400000" vert="horz"/>
              <a:lstStyle/>
              <a:p>
                <a:pPr>
                  <a:defRPr/>
                </a:pPr>
                <a:r>
                  <a:rPr lang="en-US"/>
                  <a:t>Frequency of Incidents</a:t>
                </a:r>
              </a:p>
            </c:rich>
          </c:tx>
          <c:overlay val="0"/>
        </c:title>
        <c:numFmt formatCode="#,##0" sourceLinked="0"/>
        <c:majorTickMark val="out"/>
        <c:minorTickMark val="none"/>
        <c:tickLblPos val="nextTo"/>
        <c:crossAx val="234914944"/>
        <c:crosses val="autoZero"/>
        <c:crossBetween val="between"/>
      </c:valAx>
      <c:valAx>
        <c:axId val="234919040"/>
        <c:scaling>
          <c:orientation val="minMax"/>
          <c:max val="1"/>
        </c:scaling>
        <c:delete val="0"/>
        <c:axPos val="r"/>
        <c:majorGridlines/>
        <c:title>
          <c:tx>
            <c:rich>
              <a:bodyPr rot="-5400000" vert="horz"/>
              <a:lstStyle/>
              <a:p>
                <a:pPr>
                  <a:defRPr/>
                </a:pPr>
                <a:r>
                  <a:rPr lang="en-US"/>
                  <a:t>Cumulative Percent</a:t>
                </a:r>
              </a:p>
            </c:rich>
          </c:tx>
          <c:overlay val="0"/>
        </c:title>
        <c:numFmt formatCode="0%" sourceLinked="0"/>
        <c:majorTickMark val="out"/>
        <c:minorTickMark val="none"/>
        <c:tickLblPos val="nextTo"/>
        <c:crossAx val="234920960"/>
        <c:crosses val="max"/>
        <c:crossBetween val="between"/>
        <c:majorUnit val="0.1"/>
        <c:minorUnit val="5.000000000000001E-2"/>
      </c:valAx>
      <c:catAx>
        <c:axId val="234920960"/>
        <c:scaling>
          <c:orientation val="minMax"/>
        </c:scaling>
        <c:delete val="1"/>
        <c:axPos val="b"/>
        <c:numFmt formatCode="General" sourceLinked="1"/>
        <c:majorTickMark val="out"/>
        <c:minorTickMark val="none"/>
        <c:tickLblPos val="nextTo"/>
        <c:crossAx val="234919040"/>
        <c:crosses val="autoZero"/>
        <c:auto val="1"/>
        <c:lblAlgn val="ctr"/>
        <c:lblOffset val="100"/>
        <c:noMultiLvlLbl val="0"/>
      </c:catAx>
    </c:plotArea>
    <c:legend>
      <c:legendPos val="b"/>
      <c:overlay val="0"/>
    </c:legend>
    <c:plotVisOnly val="1"/>
    <c:dispBlanksAs val="gap"/>
    <c:showDLblsOverMax val="0"/>
  </c:chart>
  <c:spPr>
    <a:ln>
      <a:noFill/>
    </a:ln>
  </c:spPr>
  <c:txPr>
    <a:bodyPr/>
    <a:lstStyle/>
    <a:p>
      <a:pPr>
        <a:defRPr>
          <a:latin typeface="Calibri" panose="020F0502020204030204" pitchFamily="34" charset="0"/>
        </a:defRPr>
      </a:pPr>
      <a:endParaRPr lang="en-US"/>
    </a:p>
  </c:txPr>
  <c:externalData r:id="rId2">
    <c:autoUpdate val="0"/>
  </c:externalData>
  <c:userShapes r:id="rId3"/>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v>Population</c:v>
          </c:tx>
          <c:spPr>
            <a:solidFill>
              <a:srgbClr val="1F497D">
                <a:lumMod val="75000"/>
              </a:srgbClr>
            </a:solidFill>
          </c:spPr>
          <c:invertIfNegative val="0"/>
          <c:cat>
            <c:numRef>
              <c:f>Sheet1!$F$46:$F$50</c:f>
              <c:numCache>
                <c:formatCode>General</c:formatCode>
                <c:ptCount val="5"/>
                <c:pt idx="0">
                  <c:v>1980</c:v>
                </c:pt>
                <c:pt idx="1">
                  <c:v>1990</c:v>
                </c:pt>
                <c:pt idx="2">
                  <c:v>2000</c:v>
                </c:pt>
                <c:pt idx="3">
                  <c:v>2010</c:v>
                </c:pt>
                <c:pt idx="4">
                  <c:v>2016</c:v>
                </c:pt>
              </c:numCache>
            </c:numRef>
          </c:cat>
          <c:val>
            <c:numRef>
              <c:f>Sheet1!$G$46:$G$50</c:f>
              <c:numCache>
                <c:formatCode>#,##0</c:formatCode>
                <c:ptCount val="5"/>
                <c:pt idx="0">
                  <c:v>18428</c:v>
                </c:pt>
                <c:pt idx="1">
                  <c:v>20337</c:v>
                </c:pt>
                <c:pt idx="2">
                  <c:v>32066</c:v>
                </c:pt>
                <c:pt idx="3">
                  <c:v>59781</c:v>
                </c:pt>
                <c:pt idx="4">
                  <c:v>70560</c:v>
                </c:pt>
              </c:numCache>
            </c:numRef>
          </c:val>
          <c:extLst xmlns:c16r2="http://schemas.microsoft.com/office/drawing/2015/06/chart">
            <c:ext xmlns:c16="http://schemas.microsoft.com/office/drawing/2014/chart" uri="{C3380CC4-5D6E-409C-BE32-E72D297353CC}">
              <c16:uniqueId val="{00000000-6CA1-4ED0-80FB-5E05ED6C5353}"/>
            </c:ext>
          </c:extLst>
        </c:ser>
        <c:dLbls>
          <c:showLegendKey val="0"/>
          <c:showVal val="0"/>
          <c:showCatName val="0"/>
          <c:showSerName val="0"/>
          <c:showPercent val="0"/>
          <c:showBubbleSize val="0"/>
        </c:dLbls>
        <c:gapWidth val="150"/>
        <c:axId val="234955904"/>
        <c:axId val="234957440"/>
      </c:barChart>
      <c:lineChart>
        <c:grouping val="standard"/>
        <c:varyColors val="0"/>
        <c:ser>
          <c:idx val="1"/>
          <c:order val="1"/>
          <c:tx>
            <c:v>Average Annual Growth Rate</c:v>
          </c:tx>
          <c:cat>
            <c:numRef>
              <c:f>Sheet1!$F$46:$F$50</c:f>
              <c:numCache>
                <c:formatCode>General</c:formatCode>
                <c:ptCount val="5"/>
                <c:pt idx="0">
                  <c:v>1980</c:v>
                </c:pt>
                <c:pt idx="1">
                  <c:v>1990</c:v>
                </c:pt>
                <c:pt idx="2">
                  <c:v>2000</c:v>
                </c:pt>
                <c:pt idx="3">
                  <c:v>2010</c:v>
                </c:pt>
                <c:pt idx="4">
                  <c:v>2016</c:v>
                </c:pt>
              </c:numCache>
            </c:numRef>
          </c:cat>
          <c:val>
            <c:numRef>
              <c:f>Sheet1!$I$46:$I$50</c:f>
              <c:numCache>
                <c:formatCode>0.00%</c:formatCode>
                <c:ptCount val="5"/>
                <c:pt idx="0">
                  <c:v>3.2399999999999998E-2</c:v>
                </c:pt>
                <c:pt idx="1">
                  <c:v>1.0400000000000001E-2</c:v>
                </c:pt>
                <c:pt idx="2">
                  <c:v>5.7700000000000008E-2</c:v>
                </c:pt>
                <c:pt idx="3">
                  <c:v>8.6400000000000005E-2</c:v>
                </c:pt>
                <c:pt idx="4">
                  <c:v>3.005135410916512E-2</c:v>
                </c:pt>
              </c:numCache>
            </c:numRef>
          </c:val>
          <c:smooth val="0"/>
          <c:extLst xmlns:c16r2="http://schemas.microsoft.com/office/drawing/2015/06/chart">
            <c:ext xmlns:c16="http://schemas.microsoft.com/office/drawing/2014/chart" uri="{C3380CC4-5D6E-409C-BE32-E72D297353CC}">
              <c16:uniqueId val="{00000001-6CA1-4ED0-80FB-5E05ED6C5353}"/>
            </c:ext>
          </c:extLst>
        </c:ser>
        <c:dLbls>
          <c:showLegendKey val="0"/>
          <c:showVal val="0"/>
          <c:showCatName val="0"/>
          <c:showSerName val="0"/>
          <c:showPercent val="0"/>
          <c:showBubbleSize val="0"/>
        </c:dLbls>
        <c:marker val="1"/>
        <c:smooth val="0"/>
        <c:axId val="234960768"/>
        <c:axId val="234959232"/>
      </c:lineChart>
      <c:catAx>
        <c:axId val="234955904"/>
        <c:scaling>
          <c:orientation val="minMax"/>
        </c:scaling>
        <c:delete val="0"/>
        <c:axPos val="b"/>
        <c:numFmt formatCode="General" sourceLinked="1"/>
        <c:majorTickMark val="out"/>
        <c:minorTickMark val="none"/>
        <c:tickLblPos val="nextTo"/>
        <c:crossAx val="234957440"/>
        <c:crosses val="autoZero"/>
        <c:auto val="1"/>
        <c:lblAlgn val="ctr"/>
        <c:lblOffset val="100"/>
        <c:noMultiLvlLbl val="0"/>
      </c:catAx>
      <c:valAx>
        <c:axId val="234957440"/>
        <c:scaling>
          <c:orientation val="minMax"/>
        </c:scaling>
        <c:delete val="0"/>
        <c:axPos val="l"/>
        <c:majorGridlines/>
        <c:numFmt formatCode="#,##0" sourceLinked="1"/>
        <c:majorTickMark val="out"/>
        <c:minorTickMark val="none"/>
        <c:tickLblPos val="nextTo"/>
        <c:crossAx val="234955904"/>
        <c:crosses val="autoZero"/>
        <c:crossBetween val="between"/>
      </c:valAx>
      <c:valAx>
        <c:axId val="234959232"/>
        <c:scaling>
          <c:orientation val="minMax"/>
        </c:scaling>
        <c:delete val="0"/>
        <c:axPos val="r"/>
        <c:numFmt formatCode="0%" sourceLinked="0"/>
        <c:majorTickMark val="out"/>
        <c:minorTickMark val="none"/>
        <c:tickLblPos val="nextTo"/>
        <c:crossAx val="234960768"/>
        <c:crosses val="max"/>
        <c:crossBetween val="between"/>
      </c:valAx>
      <c:catAx>
        <c:axId val="234960768"/>
        <c:scaling>
          <c:orientation val="minMax"/>
        </c:scaling>
        <c:delete val="1"/>
        <c:axPos val="b"/>
        <c:numFmt formatCode="General" sourceLinked="1"/>
        <c:majorTickMark val="out"/>
        <c:minorTickMark val="none"/>
        <c:tickLblPos val="nextTo"/>
        <c:crossAx val="234959232"/>
        <c:crosses val="autoZero"/>
        <c:auto val="1"/>
        <c:lblAlgn val="ctr"/>
        <c:lblOffset val="100"/>
        <c:noMultiLvlLbl val="0"/>
      </c:catAx>
      <c:dTable>
        <c:showHorzBorder val="1"/>
        <c:showVertBorder val="1"/>
        <c:showOutline val="1"/>
        <c:showKeys val="1"/>
      </c:dTable>
    </c:plotArea>
    <c:plotVisOnly val="1"/>
    <c:dispBlanksAs val="gap"/>
    <c:showDLblsOverMax val="0"/>
  </c:chart>
  <c:spPr>
    <a:solidFill>
      <a:sysClr val="window" lastClr="FFFFFF"/>
    </a:solidFill>
    <a:ln w="12700">
      <a:noFill/>
    </a:ln>
  </c:spPr>
  <c:txPr>
    <a:bodyPr/>
    <a:lstStyle/>
    <a:p>
      <a:pPr>
        <a:defRPr b="0">
          <a:latin typeface="Calibri" pitchFamily="34" charset="0"/>
          <a:cs typeface="Arial" pitchFamily="34" charset="0"/>
        </a:defRPr>
      </a:pPr>
      <a:endParaRPr lang="en-US"/>
    </a:p>
  </c:txPr>
  <c:externalData r:id="rId2">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Sheet1!$A$32</c:f>
              <c:strCache>
                <c:ptCount val="1"/>
                <c:pt idx="0">
                  <c:v>Kennewick</c:v>
                </c:pt>
              </c:strCache>
            </c:strRef>
          </c:tx>
          <c:spPr>
            <a:solidFill>
              <a:srgbClr val="1F497D">
                <a:lumMod val="20000"/>
                <a:lumOff val="80000"/>
              </a:srgbClr>
            </a:solidFill>
          </c:spPr>
          <c:invertIfNegative val="0"/>
          <c:cat>
            <c:strRef>
              <c:f>Sheet1!$B$26:$G$26</c:f>
              <c:strCache>
                <c:ptCount val="6"/>
                <c:pt idx="0">
                  <c:v>2010-2011
</c:v>
                </c:pt>
                <c:pt idx="1">
                  <c:v>2011-2012
</c:v>
                </c:pt>
                <c:pt idx="2">
                  <c:v>2012-2013
</c:v>
                </c:pt>
                <c:pt idx="3">
                  <c:v>2013-2014
</c:v>
                </c:pt>
                <c:pt idx="4">
                  <c:v>2014-2015
</c:v>
                </c:pt>
                <c:pt idx="5">
                  <c:v>2015-2016</c:v>
                </c:pt>
              </c:strCache>
            </c:strRef>
          </c:cat>
          <c:val>
            <c:numRef>
              <c:f>Sheet1!$B$32:$G$32</c:f>
              <c:numCache>
                <c:formatCode>0.00%</c:formatCode>
                <c:ptCount val="6"/>
                <c:pt idx="0">
                  <c:v>1.01E-2</c:v>
                </c:pt>
                <c:pt idx="1">
                  <c:v>6.6E-3</c:v>
                </c:pt>
                <c:pt idx="2">
                  <c:v>1.66E-2</c:v>
                </c:pt>
                <c:pt idx="3">
                  <c:v>1.6899999999999998E-2</c:v>
                </c:pt>
                <c:pt idx="4">
                  <c:v>7.6E-3</c:v>
                </c:pt>
                <c:pt idx="5">
                  <c:v>1.0601609400945204E-2</c:v>
                </c:pt>
              </c:numCache>
            </c:numRef>
          </c:val>
          <c:extLst xmlns:c16r2="http://schemas.microsoft.com/office/drawing/2015/06/chart">
            <c:ext xmlns:c16="http://schemas.microsoft.com/office/drawing/2014/chart" uri="{C3380CC4-5D6E-409C-BE32-E72D297353CC}">
              <c16:uniqueId val="{00000000-AC84-4424-B756-8EF8E2DAAA96}"/>
            </c:ext>
          </c:extLst>
        </c:ser>
        <c:ser>
          <c:idx val="1"/>
          <c:order val="1"/>
          <c:tx>
            <c:strRef>
              <c:f>Sheet1!$A$33</c:f>
              <c:strCache>
                <c:ptCount val="1"/>
                <c:pt idx="0">
                  <c:v>Pasco</c:v>
                </c:pt>
              </c:strCache>
            </c:strRef>
          </c:tx>
          <c:spPr>
            <a:solidFill>
              <a:srgbClr val="1F497D">
                <a:lumMod val="75000"/>
              </a:srgbClr>
            </a:solidFill>
          </c:spPr>
          <c:invertIfNegative val="0"/>
          <c:cat>
            <c:strRef>
              <c:f>Sheet1!$B$26:$G$26</c:f>
              <c:strCache>
                <c:ptCount val="6"/>
                <c:pt idx="0">
                  <c:v>2010-2011
</c:v>
                </c:pt>
                <c:pt idx="1">
                  <c:v>2011-2012
</c:v>
                </c:pt>
                <c:pt idx="2">
                  <c:v>2012-2013
</c:v>
                </c:pt>
                <c:pt idx="3">
                  <c:v>2013-2014
</c:v>
                </c:pt>
                <c:pt idx="4">
                  <c:v>2014-2015
</c:v>
                </c:pt>
                <c:pt idx="5">
                  <c:v>2015-2016</c:v>
                </c:pt>
              </c:strCache>
            </c:strRef>
          </c:cat>
          <c:val>
            <c:numRef>
              <c:f>Sheet1!$B$33:$G$33</c:f>
              <c:numCache>
                <c:formatCode>0.00%</c:formatCode>
                <c:ptCount val="6"/>
                <c:pt idx="0">
                  <c:v>2.0400000000000001E-2</c:v>
                </c:pt>
                <c:pt idx="1">
                  <c:v>2.7400000000000001E-2</c:v>
                </c:pt>
                <c:pt idx="2">
                  <c:v>4.6799999999999994E-2</c:v>
                </c:pt>
                <c:pt idx="3">
                  <c:v>3.3099999999999997E-2</c:v>
                </c:pt>
                <c:pt idx="4">
                  <c:v>6.8999999999999999E-3</c:v>
                </c:pt>
                <c:pt idx="5">
                  <c:v>3.399765533411489E-2</c:v>
                </c:pt>
              </c:numCache>
            </c:numRef>
          </c:val>
          <c:extLst xmlns:c16r2="http://schemas.microsoft.com/office/drawing/2015/06/chart">
            <c:ext xmlns:c16="http://schemas.microsoft.com/office/drawing/2014/chart" uri="{C3380CC4-5D6E-409C-BE32-E72D297353CC}">
              <c16:uniqueId val="{00000001-AC84-4424-B756-8EF8E2DAAA96}"/>
            </c:ext>
          </c:extLst>
        </c:ser>
        <c:ser>
          <c:idx val="2"/>
          <c:order val="2"/>
          <c:tx>
            <c:strRef>
              <c:f>Sheet1!$A$34</c:f>
              <c:strCache>
                <c:ptCount val="1"/>
                <c:pt idx="0">
                  <c:v>Richland</c:v>
                </c:pt>
              </c:strCache>
            </c:strRef>
          </c:tx>
          <c:spPr>
            <a:solidFill>
              <a:srgbClr val="4F81BD"/>
            </a:solidFill>
          </c:spPr>
          <c:invertIfNegative val="0"/>
          <c:cat>
            <c:strRef>
              <c:f>Sheet1!$B$26:$G$26</c:f>
              <c:strCache>
                <c:ptCount val="6"/>
                <c:pt idx="0">
                  <c:v>2010-2011
</c:v>
                </c:pt>
                <c:pt idx="1">
                  <c:v>2011-2012
</c:v>
                </c:pt>
                <c:pt idx="2">
                  <c:v>2012-2013
</c:v>
                </c:pt>
                <c:pt idx="3">
                  <c:v>2013-2014
</c:v>
                </c:pt>
                <c:pt idx="4">
                  <c:v>2014-2015
</c:v>
                </c:pt>
                <c:pt idx="5">
                  <c:v>2015-2016</c:v>
                </c:pt>
              </c:strCache>
            </c:strRef>
          </c:cat>
          <c:val>
            <c:numRef>
              <c:f>Sheet1!$B$34:$G$34</c:f>
              <c:numCache>
                <c:formatCode>0.00%</c:formatCode>
                <c:ptCount val="6"/>
                <c:pt idx="0">
                  <c:v>2.1499999999999998E-2</c:v>
                </c:pt>
                <c:pt idx="1">
                  <c:v>1.6299999999999999E-2</c:v>
                </c:pt>
                <c:pt idx="2">
                  <c:v>2.53E-2</c:v>
                </c:pt>
                <c:pt idx="3">
                  <c:v>1.84E-2</c:v>
                </c:pt>
                <c:pt idx="4">
                  <c:v>1.9E-2</c:v>
                </c:pt>
                <c:pt idx="5">
                  <c:v>6.2170308967596085E-3</c:v>
                </c:pt>
              </c:numCache>
            </c:numRef>
          </c:val>
          <c:extLst xmlns:c16r2="http://schemas.microsoft.com/office/drawing/2015/06/chart">
            <c:ext xmlns:c16="http://schemas.microsoft.com/office/drawing/2014/chart" uri="{C3380CC4-5D6E-409C-BE32-E72D297353CC}">
              <c16:uniqueId val="{00000002-AC84-4424-B756-8EF8E2DAAA96}"/>
            </c:ext>
          </c:extLst>
        </c:ser>
        <c:dLbls>
          <c:showLegendKey val="0"/>
          <c:showVal val="0"/>
          <c:showCatName val="0"/>
          <c:showSerName val="0"/>
          <c:showPercent val="0"/>
          <c:showBubbleSize val="0"/>
        </c:dLbls>
        <c:gapWidth val="150"/>
        <c:axId val="235013632"/>
        <c:axId val="235015168"/>
      </c:barChart>
      <c:catAx>
        <c:axId val="235013632"/>
        <c:scaling>
          <c:orientation val="minMax"/>
        </c:scaling>
        <c:delete val="0"/>
        <c:axPos val="b"/>
        <c:numFmt formatCode="General" sourceLinked="0"/>
        <c:majorTickMark val="out"/>
        <c:minorTickMark val="none"/>
        <c:tickLblPos val="nextTo"/>
        <c:crossAx val="235015168"/>
        <c:crosses val="autoZero"/>
        <c:auto val="1"/>
        <c:lblAlgn val="ctr"/>
        <c:lblOffset val="100"/>
        <c:noMultiLvlLbl val="0"/>
      </c:catAx>
      <c:valAx>
        <c:axId val="235015168"/>
        <c:scaling>
          <c:orientation val="minMax"/>
        </c:scaling>
        <c:delete val="0"/>
        <c:axPos val="l"/>
        <c:majorGridlines/>
        <c:minorGridlines/>
        <c:numFmt formatCode="0%" sourceLinked="0"/>
        <c:majorTickMark val="out"/>
        <c:minorTickMark val="none"/>
        <c:tickLblPos val="nextTo"/>
        <c:crossAx val="235013632"/>
        <c:crosses val="autoZero"/>
        <c:crossBetween val="between"/>
        <c:minorUnit val="1.0000000000000002E-2"/>
      </c:valAx>
      <c:dTable>
        <c:showHorzBorder val="1"/>
        <c:showVertBorder val="1"/>
        <c:showOutline val="1"/>
        <c:showKeys val="1"/>
      </c:dTable>
    </c:plotArea>
    <c:plotVisOnly val="1"/>
    <c:dispBlanksAs val="gap"/>
    <c:showDLblsOverMax val="0"/>
  </c:chart>
  <c:spPr>
    <a:solidFill>
      <a:sysClr val="window" lastClr="FFFFFF"/>
    </a:solidFill>
    <a:ln w="12700">
      <a:noFill/>
    </a:ln>
  </c:spPr>
  <c:txPr>
    <a:bodyPr/>
    <a:lstStyle/>
    <a:p>
      <a:pPr>
        <a:defRPr b="0">
          <a:latin typeface="Calibri" pitchFamily="34" charset="0"/>
          <a:cs typeface="Arial" pitchFamily="34" charset="0"/>
        </a:defRPr>
      </a:pPr>
      <a:endParaRPr lang="en-US"/>
    </a:p>
  </c:txPr>
  <c:externalData r:id="rId2">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Sheet2!$A$10</c:f>
              <c:strCache>
                <c:ptCount val="1"/>
                <c:pt idx="0">
                  <c:v>Franklin County</c:v>
                </c:pt>
              </c:strCache>
            </c:strRef>
          </c:tx>
          <c:spPr>
            <a:solidFill>
              <a:srgbClr val="4F81BD"/>
            </a:solidFill>
          </c:spPr>
          <c:invertIfNegative val="0"/>
          <c:cat>
            <c:numRef>
              <c:f>Sheet2!$C$9:$H$9</c:f>
              <c:numCache>
                <c:formatCode>General</c:formatCode>
                <c:ptCount val="6"/>
                <c:pt idx="0">
                  <c:v>2015</c:v>
                </c:pt>
                <c:pt idx="1">
                  <c:v>2020</c:v>
                </c:pt>
                <c:pt idx="2">
                  <c:v>2025</c:v>
                </c:pt>
                <c:pt idx="3">
                  <c:v>2030</c:v>
                </c:pt>
                <c:pt idx="4">
                  <c:v>2035</c:v>
                </c:pt>
                <c:pt idx="5">
                  <c:v>2040</c:v>
                </c:pt>
              </c:numCache>
            </c:numRef>
          </c:cat>
          <c:val>
            <c:numRef>
              <c:f>Sheet2!$C$10:$H$10</c:f>
              <c:numCache>
                <c:formatCode>#,##0</c:formatCode>
                <c:ptCount val="6"/>
                <c:pt idx="0">
                  <c:v>87755</c:v>
                </c:pt>
                <c:pt idx="1">
                  <c:v>100926</c:v>
                </c:pt>
                <c:pt idx="2">
                  <c:v>115142</c:v>
                </c:pt>
                <c:pt idx="3">
                  <c:v>130284</c:v>
                </c:pt>
                <c:pt idx="4">
                  <c:v>146103</c:v>
                </c:pt>
                <c:pt idx="5">
                  <c:v>162900</c:v>
                </c:pt>
              </c:numCache>
            </c:numRef>
          </c:val>
          <c:extLst xmlns:c16r2="http://schemas.microsoft.com/office/drawing/2015/06/chart">
            <c:ext xmlns:c16="http://schemas.microsoft.com/office/drawing/2014/chart" uri="{C3380CC4-5D6E-409C-BE32-E72D297353CC}">
              <c16:uniqueId val="{00000000-73AA-4F7A-94D2-A529EF5189C7}"/>
            </c:ext>
          </c:extLst>
        </c:ser>
        <c:ser>
          <c:idx val="1"/>
          <c:order val="1"/>
          <c:tx>
            <c:strRef>
              <c:f>Sheet2!$A$11</c:f>
              <c:strCache>
                <c:ptCount val="1"/>
                <c:pt idx="0">
                  <c:v>City of Pasco</c:v>
                </c:pt>
              </c:strCache>
            </c:strRef>
          </c:tx>
          <c:spPr>
            <a:solidFill>
              <a:srgbClr val="1F497D">
                <a:lumMod val="75000"/>
              </a:srgbClr>
            </a:solidFill>
          </c:spPr>
          <c:invertIfNegative val="0"/>
          <c:cat>
            <c:numRef>
              <c:f>Sheet2!$C$9:$H$9</c:f>
              <c:numCache>
                <c:formatCode>General</c:formatCode>
                <c:ptCount val="6"/>
                <c:pt idx="0">
                  <c:v>2015</c:v>
                </c:pt>
                <c:pt idx="1">
                  <c:v>2020</c:v>
                </c:pt>
                <c:pt idx="2">
                  <c:v>2025</c:v>
                </c:pt>
                <c:pt idx="3">
                  <c:v>2030</c:v>
                </c:pt>
                <c:pt idx="4">
                  <c:v>2035</c:v>
                </c:pt>
                <c:pt idx="5">
                  <c:v>2040</c:v>
                </c:pt>
              </c:numCache>
            </c:numRef>
          </c:cat>
          <c:val>
            <c:numRef>
              <c:f>Sheet2!$C$11:$H$11</c:f>
              <c:numCache>
                <c:formatCode>#,##0</c:formatCode>
                <c:ptCount val="6"/>
                <c:pt idx="0">
                  <c:v>68240</c:v>
                </c:pt>
                <c:pt idx="1">
                  <c:v>80740.800000000003</c:v>
                </c:pt>
                <c:pt idx="2">
                  <c:v>92113.600000000006</c:v>
                </c:pt>
                <c:pt idx="3">
                  <c:v>104227.20000000001</c:v>
                </c:pt>
                <c:pt idx="4">
                  <c:v>116882.40000000001</c:v>
                </c:pt>
                <c:pt idx="5">
                  <c:v>130320</c:v>
                </c:pt>
              </c:numCache>
            </c:numRef>
          </c:val>
          <c:extLst xmlns:c16r2="http://schemas.microsoft.com/office/drawing/2015/06/chart">
            <c:ext xmlns:c16="http://schemas.microsoft.com/office/drawing/2014/chart" uri="{C3380CC4-5D6E-409C-BE32-E72D297353CC}">
              <c16:uniqueId val="{00000001-73AA-4F7A-94D2-A529EF5189C7}"/>
            </c:ext>
          </c:extLst>
        </c:ser>
        <c:dLbls>
          <c:showLegendKey val="0"/>
          <c:showVal val="0"/>
          <c:showCatName val="0"/>
          <c:showSerName val="0"/>
          <c:showPercent val="0"/>
          <c:showBubbleSize val="0"/>
        </c:dLbls>
        <c:gapWidth val="150"/>
        <c:axId val="235058688"/>
        <c:axId val="235060224"/>
      </c:barChart>
      <c:catAx>
        <c:axId val="235058688"/>
        <c:scaling>
          <c:orientation val="minMax"/>
        </c:scaling>
        <c:delete val="0"/>
        <c:axPos val="b"/>
        <c:numFmt formatCode="General" sourceLinked="1"/>
        <c:majorTickMark val="out"/>
        <c:minorTickMark val="none"/>
        <c:tickLblPos val="nextTo"/>
        <c:crossAx val="235060224"/>
        <c:crosses val="autoZero"/>
        <c:auto val="1"/>
        <c:lblAlgn val="ctr"/>
        <c:lblOffset val="100"/>
        <c:noMultiLvlLbl val="0"/>
      </c:catAx>
      <c:valAx>
        <c:axId val="235060224"/>
        <c:scaling>
          <c:orientation val="minMax"/>
        </c:scaling>
        <c:delete val="0"/>
        <c:axPos val="l"/>
        <c:majorGridlines/>
        <c:numFmt formatCode="#,##0" sourceLinked="1"/>
        <c:majorTickMark val="out"/>
        <c:minorTickMark val="none"/>
        <c:tickLblPos val="nextTo"/>
        <c:crossAx val="235058688"/>
        <c:crosses val="autoZero"/>
        <c:crossBetween val="between"/>
      </c:valAx>
      <c:dTable>
        <c:showHorzBorder val="1"/>
        <c:showVertBorder val="1"/>
        <c:showOutline val="1"/>
        <c:showKeys val="1"/>
      </c:dTable>
    </c:plotArea>
    <c:plotVisOnly val="1"/>
    <c:dispBlanksAs val="gap"/>
    <c:showDLblsOverMax val="0"/>
  </c:chart>
  <c:spPr>
    <a:solidFill>
      <a:sysClr val="window" lastClr="FFFFFF"/>
    </a:solidFill>
    <a:ln w="12700">
      <a:noFill/>
    </a:ln>
  </c:spPr>
  <c:txPr>
    <a:bodyPr/>
    <a:lstStyle/>
    <a:p>
      <a:pPr>
        <a:defRPr b="0">
          <a:latin typeface="Calibri" pitchFamily="34" charset="0"/>
          <a:cs typeface="Arial" pitchFamily="34" charset="0"/>
        </a:defRPr>
      </a:pPr>
      <a:endParaRPr lang="en-US"/>
    </a:p>
  </c:txPr>
  <c:externalData r:id="rId2">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stacked"/>
        <c:varyColors val="0"/>
        <c:ser>
          <c:idx val="0"/>
          <c:order val="0"/>
          <c:tx>
            <c:v>Fires</c:v>
          </c:tx>
          <c:spPr>
            <a:solidFill>
              <a:srgbClr val="C00000"/>
            </a:solidFill>
          </c:spPr>
          <c:invertIfNegative val="0"/>
          <c:cat>
            <c:numRef>
              <c:f>Sheet2!$C$9:$H$9</c:f>
              <c:numCache>
                <c:formatCode>General</c:formatCode>
                <c:ptCount val="6"/>
                <c:pt idx="0">
                  <c:v>2015</c:v>
                </c:pt>
                <c:pt idx="1">
                  <c:v>2020</c:v>
                </c:pt>
                <c:pt idx="2">
                  <c:v>2025</c:v>
                </c:pt>
                <c:pt idx="3">
                  <c:v>2030</c:v>
                </c:pt>
                <c:pt idx="4">
                  <c:v>2035</c:v>
                </c:pt>
                <c:pt idx="5">
                  <c:v>2040</c:v>
                </c:pt>
              </c:numCache>
            </c:numRef>
          </c:cat>
          <c:val>
            <c:numRef>
              <c:f>Sheet2!$C$16:$H$16</c:f>
              <c:numCache>
                <c:formatCode>#,##0</c:formatCode>
                <c:ptCount val="6"/>
                <c:pt idx="0">
                  <c:v>282</c:v>
                </c:pt>
                <c:pt idx="1">
                  <c:v>327.78100284975534</c:v>
                </c:pt>
                <c:pt idx="2">
                  <c:v>373.95081772909384</c:v>
                </c:pt>
                <c:pt idx="3">
                  <c:v>423.12803613813611</c:v>
                </c:pt>
                <c:pt idx="4">
                  <c:v>474.50397181457504</c:v>
                </c:pt>
                <c:pt idx="5">
                  <c:v>529.05619329236401</c:v>
                </c:pt>
              </c:numCache>
            </c:numRef>
          </c:val>
          <c:extLst xmlns:c16r2="http://schemas.microsoft.com/office/drawing/2015/06/chart">
            <c:ext xmlns:c16="http://schemas.microsoft.com/office/drawing/2014/chart" uri="{C3380CC4-5D6E-409C-BE32-E72D297353CC}">
              <c16:uniqueId val="{00000000-818A-4F75-9BC9-C914FDBAA9B0}"/>
            </c:ext>
          </c:extLst>
        </c:ser>
        <c:ser>
          <c:idx val="1"/>
          <c:order val="1"/>
          <c:tx>
            <c:v>Other</c:v>
          </c:tx>
          <c:spPr>
            <a:solidFill>
              <a:srgbClr val="9BBB59"/>
            </a:solidFill>
          </c:spPr>
          <c:invertIfNegative val="0"/>
          <c:cat>
            <c:numRef>
              <c:f>Sheet2!$C$9:$H$9</c:f>
              <c:numCache>
                <c:formatCode>General</c:formatCode>
                <c:ptCount val="6"/>
                <c:pt idx="0">
                  <c:v>2015</c:v>
                </c:pt>
                <c:pt idx="1">
                  <c:v>2020</c:v>
                </c:pt>
                <c:pt idx="2">
                  <c:v>2025</c:v>
                </c:pt>
                <c:pt idx="3">
                  <c:v>2030</c:v>
                </c:pt>
                <c:pt idx="4">
                  <c:v>2035</c:v>
                </c:pt>
                <c:pt idx="5">
                  <c:v>2040</c:v>
                </c:pt>
              </c:numCache>
            </c:numRef>
          </c:cat>
          <c:val>
            <c:numRef>
              <c:f>Sheet2!$C$17:$H$17</c:f>
              <c:numCache>
                <c:formatCode>#,##0</c:formatCode>
                <c:ptCount val="6"/>
                <c:pt idx="0">
                  <c:v>810</c:v>
                </c:pt>
                <c:pt idx="1">
                  <c:v>948.90447916917901</c:v>
                </c:pt>
                <c:pt idx="2">
                  <c:v>1082.5630614558945</c:v>
                </c:pt>
                <c:pt idx="3">
                  <c:v>1224.9278794768179</c:v>
                </c:pt>
                <c:pt idx="4">
                  <c:v>1373.6578396057957</c:v>
                </c:pt>
                <c:pt idx="5">
                  <c:v>1531.5829385555678</c:v>
                </c:pt>
              </c:numCache>
            </c:numRef>
          </c:val>
          <c:extLst xmlns:c16r2="http://schemas.microsoft.com/office/drawing/2015/06/chart">
            <c:ext xmlns:c16="http://schemas.microsoft.com/office/drawing/2014/chart" uri="{C3380CC4-5D6E-409C-BE32-E72D297353CC}">
              <c16:uniqueId val="{00000001-818A-4F75-9BC9-C914FDBAA9B0}"/>
            </c:ext>
          </c:extLst>
        </c:ser>
        <c:ser>
          <c:idx val="2"/>
          <c:order val="2"/>
          <c:tx>
            <c:v>EMS</c:v>
          </c:tx>
          <c:spPr>
            <a:solidFill>
              <a:srgbClr val="0070C0"/>
            </a:solidFill>
          </c:spPr>
          <c:invertIfNegative val="0"/>
          <c:cat>
            <c:numRef>
              <c:f>Sheet2!$C$9:$H$9</c:f>
              <c:numCache>
                <c:formatCode>General</c:formatCode>
                <c:ptCount val="6"/>
                <c:pt idx="0">
                  <c:v>2015</c:v>
                </c:pt>
                <c:pt idx="1">
                  <c:v>2020</c:v>
                </c:pt>
                <c:pt idx="2">
                  <c:v>2025</c:v>
                </c:pt>
                <c:pt idx="3">
                  <c:v>2030</c:v>
                </c:pt>
                <c:pt idx="4">
                  <c:v>2035</c:v>
                </c:pt>
                <c:pt idx="5">
                  <c:v>2040</c:v>
                </c:pt>
              </c:numCache>
            </c:numRef>
          </c:cat>
          <c:val>
            <c:numRef>
              <c:f>Sheet2!$C$18:$H$18</c:f>
              <c:numCache>
                <c:formatCode>#,##0</c:formatCode>
                <c:ptCount val="6"/>
                <c:pt idx="0">
                  <c:v>4011</c:v>
                </c:pt>
                <c:pt idx="1">
                  <c:v>4761.1266867970089</c:v>
                </c:pt>
                <c:pt idx="2">
                  <c:v>5431.7584068642491</c:v>
                </c:pt>
                <c:pt idx="3">
                  <c:v>6146.0736506218573</c:v>
                </c:pt>
                <c:pt idx="4">
                  <c:v>6892.3259845936964</c:v>
                </c:pt>
                <c:pt idx="5">
                  <c:v>7684.7149127007178</c:v>
                </c:pt>
              </c:numCache>
            </c:numRef>
          </c:val>
          <c:extLst xmlns:c16r2="http://schemas.microsoft.com/office/drawing/2015/06/chart">
            <c:ext xmlns:c16="http://schemas.microsoft.com/office/drawing/2014/chart" uri="{C3380CC4-5D6E-409C-BE32-E72D297353CC}">
              <c16:uniqueId val="{00000002-818A-4F75-9BC9-C914FDBAA9B0}"/>
            </c:ext>
          </c:extLst>
        </c:ser>
        <c:dLbls>
          <c:showLegendKey val="0"/>
          <c:showVal val="0"/>
          <c:showCatName val="0"/>
          <c:showSerName val="0"/>
          <c:showPercent val="0"/>
          <c:showBubbleSize val="0"/>
        </c:dLbls>
        <c:gapWidth val="150"/>
        <c:overlap val="100"/>
        <c:axId val="235111168"/>
        <c:axId val="235113088"/>
      </c:barChart>
      <c:lineChart>
        <c:grouping val="standard"/>
        <c:varyColors val="0"/>
        <c:ser>
          <c:idx val="3"/>
          <c:order val="3"/>
          <c:tx>
            <c:v>Total</c:v>
          </c:tx>
          <c:spPr>
            <a:ln w="38100">
              <a:solidFill>
                <a:sysClr val="window" lastClr="FFFFFF">
                  <a:lumMod val="50000"/>
                </a:sysClr>
              </a:solidFill>
            </a:ln>
          </c:spPr>
          <c:marker>
            <c:symbol val="circle"/>
            <c:size val="8"/>
            <c:spPr>
              <a:solidFill>
                <a:sysClr val="window" lastClr="FFFFFF">
                  <a:lumMod val="50000"/>
                </a:sysClr>
              </a:solidFill>
              <a:ln>
                <a:noFill/>
              </a:ln>
            </c:spPr>
          </c:marker>
          <c:val>
            <c:numRef>
              <c:f>Sheet2!$C$12:$H$12</c:f>
              <c:numCache>
                <c:formatCode>#,##0</c:formatCode>
                <c:ptCount val="6"/>
                <c:pt idx="0">
                  <c:v>5103</c:v>
                </c:pt>
                <c:pt idx="1">
                  <c:v>6037.8121688159436</c:v>
                </c:pt>
                <c:pt idx="2">
                  <c:v>6888.2722860492377</c:v>
                </c:pt>
                <c:pt idx="3">
                  <c:v>7794.129566236812</c:v>
                </c:pt>
                <c:pt idx="4">
                  <c:v>8740.4877960140675</c:v>
                </c:pt>
                <c:pt idx="5">
                  <c:v>9745.3540445486506</c:v>
                </c:pt>
              </c:numCache>
            </c:numRef>
          </c:val>
          <c:smooth val="0"/>
          <c:extLst xmlns:c16r2="http://schemas.microsoft.com/office/drawing/2015/06/chart">
            <c:ext xmlns:c16="http://schemas.microsoft.com/office/drawing/2014/chart" uri="{C3380CC4-5D6E-409C-BE32-E72D297353CC}">
              <c16:uniqueId val="{00000003-818A-4F75-9BC9-C914FDBAA9B0}"/>
            </c:ext>
          </c:extLst>
        </c:ser>
        <c:dLbls>
          <c:showLegendKey val="0"/>
          <c:showVal val="0"/>
          <c:showCatName val="0"/>
          <c:showSerName val="0"/>
          <c:showPercent val="0"/>
          <c:showBubbleSize val="0"/>
        </c:dLbls>
        <c:marker val="1"/>
        <c:smooth val="0"/>
        <c:axId val="235120512"/>
        <c:axId val="235118976"/>
      </c:lineChart>
      <c:catAx>
        <c:axId val="235111168"/>
        <c:scaling>
          <c:orientation val="minMax"/>
        </c:scaling>
        <c:delete val="0"/>
        <c:axPos val="b"/>
        <c:numFmt formatCode="General" sourceLinked="1"/>
        <c:majorTickMark val="out"/>
        <c:minorTickMark val="none"/>
        <c:tickLblPos val="nextTo"/>
        <c:crossAx val="235113088"/>
        <c:crosses val="autoZero"/>
        <c:auto val="1"/>
        <c:lblAlgn val="ctr"/>
        <c:lblOffset val="100"/>
        <c:noMultiLvlLbl val="0"/>
      </c:catAx>
      <c:valAx>
        <c:axId val="235113088"/>
        <c:scaling>
          <c:orientation val="minMax"/>
        </c:scaling>
        <c:delete val="0"/>
        <c:axPos val="l"/>
        <c:majorGridlines/>
        <c:minorGridlines/>
        <c:numFmt formatCode="#,##0" sourceLinked="1"/>
        <c:majorTickMark val="out"/>
        <c:minorTickMark val="none"/>
        <c:tickLblPos val="nextTo"/>
        <c:crossAx val="235111168"/>
        <c:crosses val="autoZero"/>
        <c:crossBetween val="between"/>
        <c:minorUnit val="1000"/>
      </c:valAx>
      <c:valAx>
        <c:axId val="235118976"/>
        <c:scaling>
          <c:orientation val="minMax"/>
        </c:scaling>
        <c:delete val="0"/>
        <c:axPos val="r"/>
        <c:numFmt formatCode="#,##0" sourceLinked="1"/>
        <c:majorTickMark val="out"/>
        <c:minorTickMark val="none"/>
        <c:tickLblPos val="nextTo"/>
        <c:crossAx val="235120512"/>
        <c:crosses val="max"/>
        <c:crossBetween val="between"/>
      </c:valAx>
      <c:catAx>
        <c:axId val="235120512"/>
        <c:scaling>
          <c:orientation val="minMax"/>
        </c:scaling>
        <c:delete val="1"/>
        <c:axPos val="b"/>
        <c:majorTickMark val="out"/>
        <c:minorTickMark val="none"/>
        <c:tickLblPos val="nextTo"/>
        <c:crossAx val="235118976"/>
        <c:crosses val="autoZero"/>
        <c:auto val="1"/>
        <c:lblAlgn val="ctr"/>
        <c:lblOffset val="100"/>
        <c:noMultiLvlLbl val="0"/>
      </c:catAx>
      <c:dTable>
        <c:showHorzBorder val="1"/>
        <c:showVertBorder val="1"/>
        <c:showOutline val="1"/>
        <c:showKeys val="1"/>
      </c:dTable>
    </c:plotArea>
    <c:plotVisOnly val="1"/>
    <c:dispBlanksAs val="gap"/>
    <c:showDLblsOverMax val="0"/>
  </c:chart>
  <c:spPr>
    <a:solidFill>
      <a:sysClr val="window" lastClr="FFFFFF"/>
    </a:solidFill>
    <a:ln w="12700">
      <a:noFill/>
    </a:ln>
  </c:spPr>
  <c:txPr>
    <a:bodyPr/>
    <a:lstStyle/>
    <a:p>
      <a:pPr>
        <a:defRPr b="0">
          <a:latin typeface="Calibri" pitchFamily="34" charset="0"/>
          <a:cs typeface="Arial" pitchFamily="34" charset="0"/>
        </a:defRPr>
      </a:pPr>
      <a:endParaRPr lang="en-US"/>
    </a:p>
  </c:txPr>
  <c:externalData r:id="rId2">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Sheet1!$B$81</c:f>
              <c:strCache>
                <c:ptCount val="1"/>
                <c:pt idx="0">
                  <c:v>City of Pasco</c:v>
                </c:pt>
              </c:strCache>
            </c:strRef>
          </c:tx>
          <c:spPr>
            <a:solidFill>
              <a:srgbClr val="1F497D"/>
            </a:solidFill>
          </c:spPr>
          <c:invertIfNegative val="0"/>
          <c:cat>
            <c:strRef>
              <c:f>Sheet1!$A$82:$A$87</c:f>
              <c:strCache>
                <c:ptCount val="6"/>
                <c:pt idx="0">
                  <c:v>Under 5 years</c:v>
                </c:pt>
                <c:pt idx="1">
                  <c:v>5 to 14 years</c:v>
                </c:pt>
                <c:pt idx="2">
                  <c:v>15 to 24</c:v>
                </c:pt>
                <c:pt idx="3">
                  <c:v>25 to 49</c:v>
                </c:pt>
                <c:pt idx="4">
                  <c:v>50 to 64</c:v>
                </c:pt>
                <c:pt idx="5">
                  <c:v>65 or Over</c:v>
                </c:pt>
              </c:strCache>
            </c:strRef>
          </c:cat>
          <c:val>
            <c:numRef>
              <c:f>Sheet1!$B$82:$B$87</c:f>
              <c:numCache>
                <c:formatCode>0.0%</c:formatCode>
                <c:ptCount val="6"/>
                <c:pt idx="0">
                  <c:v>0.109</c:v>
                </c:pt>
                <c:pt idx="1">
                  <c:v>0.19</c:v>
                </c:pt>
                <c:pt idx="2">
                  <c:v>0.14699999999999999</c:v>
                </c:pt>
                <c:pt idx="3">
                  <c:v>0.35199999999999998</c:v>
                </c:pt>
                <c:pt idx="4">
                  <c:v>0.13200000000000001</c:v>
                </c:pt>
                <c:pt idx="5">
                  <c:v>6.9000000000000006E-2</c:v>
                </c:pt>
              </c:numCache>
            </c:numRef>
          </c:val>
          <c:extLst xmlns:c16r2="http://schemas.microsoft.com/office/drawing/2015/06/chart">
            <c:ext xmlns:c16="http://schemas.microsoft.com/office/drawing/2014/chart" uri="{C3380CC4-5D6E-409C-BE32-E72D297353CC}">
              <c16:uniqueId val="{00000000-5BC9-452F-B87F-A39478E1D945}"/>
            </c:ext>
          </c:extLst>
        </c:ser>
        <c:ser>
          <c:idx val="1"/>
          <c:order val="1"/>
          <c:tx>
            <c:strRef>
              <c:f>Sheet1!$C$81</c:f>
              <c:strCache>
                <c:ptCount val="1"/>
                <c:pt idx="0">
                  <c:v>State of Washington</c:v>
                </c:pt>
              </c:strCache>
            </c:strRef>
          </c:tx>
          <c:spPr>
            <a:solidFill>
              <a:srgbClr val="1F497D">
                <a:lumMod val="40000"/>
                <a:lumOff val="60000"/>
              </a:srgbClr>
            </a:solidFill>
          </c:spPr>
          <c:invertIfNegative val="0"/>
          <c:cat>
            <c:strRef>
              <c:f>Sheet1!$A$82:$A$87</c:f>
              <c:strCache>
                <c:ptCount val="6"/>
                <c:pt idx="0">
                  <c:v>Under 5 years</c:v>
                </c:pt>
                <c:pt idx="1">
                  <c:v>5 to 14 years</c:v>
                </c:pt>
                <c:pt idx="2">
                  <c:v>15 to 24</c:v>
                </c:pt>
                <c:pt idx="3">
                  <c:v>25 to 49</c:v>
                </c:pt>
                <c:pt idx="4">
                  <c:v>50 to 64</c:v>
                </c:pt>
                <c:pt idx="5">
                  <c:v>65 or Over</c:v>
                </c:pt>
              </c:strCache>
            </c:strRef>
          </c:cat>
          <c:val>
            <c:numRef>
              <c:f>Sheet1!$C$82:$C$87</c:f>
              <c:numCache>
                <c:formatCode>0.0%</c:formatCode>
                <c:ptCount val="6"/>
                <c:pt idx="0">
                  <c:v>6.4000000000000001E-2</c:v>
                </c:pt>
                <c:pt idx="1">
                  <c:v>0.127</c:v>
                </c:pt>
                <c:pt idx="2">
                  <c:v>0.13500000000000001</c:v>
                </c:pt>
                <c:pt idx="3">
                  <c:v>0.34200000000000003</c:v>
                </c:pt>
                <c:pt idx="4">
                  <c:v>0.2</c:v>
                </c:pt>
                <c:pt idx="5">
                  <c:v>0.13300000000000001</c:v>
                </c:pt>
              </c:numCache>
            </c:numRef>
          </c:val>
          <c:extLst xmlns:c16r2="http://schemas.microsoft.com/office/drawing/2015/06/chart">
            <c:ext xmlns:c16="http://schemas.microsoft.com/office/drawing/2014/chart" uri="{C3380CC4-5D6E-409C-BE32-E72D297353CC}">
              <c16:uniqueId val="{00000001-5BC9-452F-B87F-A39478E1D945}"/>
            </c:ext>
          </c:extLst>
        </c:ser>
        <c:dLbls>
          <c:showLegendKey val="0"/>
          <c:showVal val="0"/>
          <c:showCatName val="0"/>
          <c:showSerName val="0"/>
          <c:showPercent val="0"/>
          <c:showBubbleSize val="0"/>
        </c:dLbls>
        <c:gapWidth val="150"/>
        <c:axId val="235360640"/>
        <c:axId val="235362176"/>
      </c:barChart>
      <c:catAx>
        <c:axId val="235360640"/>
        <c:scaling>
          <c:orientation val="minMax"/>
        </c:scaling>
        <c:delete val="0"/>
        <c:axPos val="b"/>
        <c:numFmt formatCode="General" sourceLinked="0"/>
        <c:majorTickMark val="out"/>
        <c:minorTickMark val="none"/>
        <c:tickLblPos val="nextTo"/>
        <c:crossAx val="235362176"/>
        <c:crosses val="autoZero"/>
        <c:auto val="1"/>
        <c:lblAlgn val="ctr"/>
        <c:lblOffset val="100"/>
        <c:noMultiLvlLbl val="0"/>
      </c:catAx>
      <c:valAx>
        <c:axId val="235362176"/>
        <c:scaling>
          <c:orientation val="minMax"/>
        </c:scaling>
        <c:delete val="0"/>
        <c:axPos val="l"/>
        <c:majorGridlines/>
        <c:minorGridlines>
          <c:spPr>
            <a:ln>
              <a:noFill/>
            </a:ln>
          </c:spPr>
        </c:minorGridlines>
        <c:numFmt formatCode="0%" sourceLinked="0"/>
        <c:majorTickMark val="out"/>
        <c:minorTickMark val="none"/>
        <c:tickLblPos val="nextTo"/>
        <c:crossAx val="235360640"/>
        <c:crosses val="autoZero"/>
        <c:crossBetween val="between"/>
        <c:minorUnit val="2.5000000000000005E-2"/>
      </c:valAx>
    </c:plotArea>
    <c:legend>
      <c:legendPos val="b"/>
      <c:overlay val="0"/>
    </c:legend>
    <c:plotVisOnly val="1"/>
    <c:dispBlanksAs val="gap"/>
    <c:showDLblsOverMax val="0"/>
  </c:chart>
  <c:spPr>
    <a:solidFill>
      <a:sysClr val="window" lastClr="FFFFFF"/>
    </a:solidFill>
    <a:ln w="12700">
      <a:noFill/>
    </a:ln>
  </c:spPr>
  <c:txPr>
    <a:bodyPr/>
    <a:lstStyle/>
    <a:p>
      <a:pPr>
        <a:defRPr b="0">
          <a:latin typeface="Calibri" pitchFamily="34" charset="0"/>
          <a:cs typeface="Arial" pitchFamily="34" charset="0"/>
        </a:defRPr>
      </a:pPr>
      <a:endParaRPr lang="en-US"/>
    </a:p>
  </c:txPr>
  <c:externalData r:id="rId2">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6858776246719159"/>
          <c:y val="8.1747657525477885E-2"/>
          <c:w val="0.78366371391076117"/>
          <c:h val="0.74229908378017162"/>
        </c:manualLayout>
      </c:layout>
      <c:barChart>
        <c:barDir val="col"/>
        <c:grouping val="clustered"/>
        <c:varyColors val="0"/>
        <c:ser>
          <c:idx val="2"/>
          <c:order val="2"/>
          <c:tx>
            <c:strRef>
              <c:f>'Forecast - Fire Budget'!$B$22</c:f>
              <c:strCache>
                <c:ptCount val="1"/>
                <c:pt idx="0">
                  <c:v>Operating Surplus(Deficit)</c:v>
                </c:pt>
              </c:strCache>
            </c:strRef>
          </c:tx>
          <c:spPr>
            <a:ln>
              <a:solidFill>
                <a:schemeClr val="tx1"/>
              </a:solidFill>
            </a:ln>
          </c:spPr>
          <c:invertIfNegative val="0"/>
          <c:dLbls>
            <c:numFmt formatCode="&quot;$&quot;#,##0" sourceLinked="0"/>
            <c:spPr>
              <a:solidFill>
                <a:schemeClr val="bg1"/>
              </a:solidFill>
            </c:spPr>
            <c:txPr>
              <a:bodyPr/>
              <a:lstStyle/>
              <a:p>
                <a:pPr>
                  <a:defRPr sz="800"/>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'Forecast - Fire Budget'!$H$2:$N$2</c:f>
              <c:numCache>
                <c:formatCode>General</c:formatCode>
                <c:ptCount val="7"/>
                <c:pt idx="0">
                  <c:v>2016</c:v>
                </c:pt>
                <c:pt idx="1">
                  <c:v>2017</c:v>
                </c:pt>
                <c:pt idx="2">
                  <c:v>2018</c:v>
                </c:pt>
                <c:pt idx="3">
                  <c:v>2019</c:v>
                </c:pt>
                <c:pt idx="4">
                  <c:v>2020</c:v>
                </c:pt>
                <c:pt idx="5">
                  <c:v>2021</c:v>
                </c:pt>
                <c:pt idx="6">
                  <c:v>2022</c:v>
                </c:pt>
              </c:numCache>
            </c:numRef>
          </c:cat>
          <c:val>
            <c:numRef>
              <c:f>'Forecast - Fire Budget'!$H$22:$N$22</c:f>
              <c:numCache>
                <c:formatCode>"$"#,##0</c:formatCode>
                <c:ptCount val="7"/>
                <c:pt idx="0">
                  <c:v>-4873747</c:v>
                </c:pt>
                <c:pt idx="1">
                  <c:v>-5087874.1561999992</c:v>
                </c:pt>
                <c:pt idx="2">
                  <c:v>-5437537.8265565597</c:v>
                </c:pt>
                <c:pt idx="3">
                  <c:v>-5830164.0430193767</c:v>
                </c:pt>
                <c:pt idx="4">
                  <c:v>-6272709.0209211744</c:v>
                </c:pt>
                <c:pt idx="5">
                  <c:v>-6773390.8917915048</c:v>
                </c:pt>
                <c:pt idx="6">
                  <c:v>-7341930.7909065243</c:v>
                </c:pt>
              </c:numCache>
            </c:numRef>
          </c:val>
          <c:extLst xmlns:c16r2="http://schemas.microsoft.com/office/drawing/2015/06/chart">
            <c:ext xmlns:c16="http://schemas.microsoft.com/office/drawing/2014/chart" uri="{C3380CC4-5D6E-409C-BE32-E72D297353CC}">
              <c16:uniqueId val="{00000000-28C8-428A-8F1F-AB75536A1E02}"/>
            </c:ext>
          </c:extLst>
        </c:ser>
        <c:dLbls>
          <c:showLegendKey val="0"/>
          <c:showVal val="0"/>
          <c:showCatName val="0"/>
          <c:showSerName val="0"/>
          <c:showPercent val="0"/>
          <c:showBubbleSize val="0"/>
        </c:dLbls>
        <c:gapWidth val="150"/>
        <c:axId val="235517824"/>
        <c:axId val="235519360"/>
      </c:barChart>
      <c:lineChart>
        <c:grouping val="standard"/>
        <c:varyColors val="0"/>
        <c:ser>
          <c:idx val="0"/>
          <c:order val="0"/>
          <c:tx>
            <c:strRef>
              <c:f>'Forecast - Fire Budget'!$B$20</c:f>
              <c:strCache>
                <c:ptCount val="1"/>
                <c:pt idx="0">
                  <c:v>Total Fire Revenues</c:v>
                </c:pt>
              </c:strCache>
            </c:strRef>
          </c:tx>
          <c:spPr>
            <a:ln w="25400">
              <a:prstDash val="sysDash"/>
            </a:ln>
          </c:spPr>
          <c:dLbls>
            <c:numFmt formatCode="&quot;$&quot;#,##0" sourceLinked="0"/>
            <c:spPr>
              <a:solidFill>
                <a:schemeClr val="bg1"/>
              </a:solidFill>
            </c:spPr>
            <c:txPr>
              <a:bodyPr/>
              <a:lstStyle/>
              <a:p>
                <a:pPr>
                  <a:defRPr sz="800"/>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'Forecast - Fire Budget'!$H$2:$N$2</c:f>
              <c:numCache>
                <c:formatCode>General</c:formatCode>
                <c:ptCount val="7"/>
                <c:pt idx="0">
                  <c:v>2016</c:v>
                </c:pt>
                <c:pt idx="1">
                  <c:v>2017</c:v>
                </c:pt>
                <c:pt idx="2">
                  <c:v>2018</c:v>
                </c:pt>
                <c:pt idx="3">
                  <c:v>2019</c:v>
                </c:pt>
                <c:pt idx="4">
                  <c:v>2020</c:v>
                </c:pt>
                <c:pt idx="5">
                  <c:v>2021</c:v>
                </c:pt>
                <c:pt idx="6">
                  <c:v>2022</c:v>
                </c:pt>
              </c:numCache>
            </c:numRef>
          </c:cat>
          <c:val>
            <c:numRef>
              <c:f>'Forecast - Fire Budget'!$H$20:$N$20</c:f>
              <c:numCache>
                <c:formatCode>"$"#,##0</c:formatCode>
                <c:ptCount val="7"/>
                <c:pt idx="0">
                  <c:v>729000</c:v>
                </c:pt>
                <c:pt idx="1">
                  <c:v>769785.13619999995</c:v>
                </c:pt>
                <c:pt idx="2">
                  <c:v>797521.13892399997</c:v>
                </c:pt>
                <c:pt idx="3">
                  <c:v>826268.45280247997</c:v>
                </c:pt>
                <c:pt idx="4">
                  <c:v>856064.19792922947</c:v>
                </c:pt>
                <c:pt idx="5">
                  <c:v>886946.86187312996</c:v>
                </c:pt>
                <c:pt idx="6">
                  <c:v>918956.35015536495</c:v>
                </c:pt>
              </c:numCache>
            </c:numRef>
          </c:val>
          <c:smooth val="0"/>
          <c:extLst xmlns:c16r2="http://schemas.microsoft.com/office/drawing/2015/06/chart">
            <c:ext xmlns:c16="http://schemas.microsoft.com/office/drawing/2014/chart" uri="{C3380CC4-5D6E-409C-BE32-E72D297353CC}">
              <c16:uniqueId val="{00000001-28C8-428A-8F1F-AB75536A1E02}"/>
            </c:ext>
          </c:extLst>
        </c:ser>
        <c:ser>
          <c:idx val="1"/>
          <c:order val="1"/>
          <c:tx>
            <c:strRef>
              <c:f>'Forecast - Fire Budget'!$B$21</c:f>
              <c:strCache>
                <c:ptCount val="1"/>
                <c:pt idx="0">
                  <c:v>Total Fire Expenses</c:v>
                </c:pt>
              </c:strCache>
            </c:strRef>
          </c:tx>
          <c:spPr>
            <a:ln w="25400">
              <a:prstDash val="sysDash"/>
            </a:ln>
          </c:spPr>
          <c:dLbls>
            <c:numFmt formatCode="&quot;$&quot;#,##0" sourceLinked="0"/>
            <c:spPr>
              <a:solidFill>
                <a:schemeClr val="bg1"/>
              </a:solidFill>
            </c:spPr>
            <c:txPr>
              <a:bodyPr/>
              <a:lstStyle/>
              <a:p>
                <a:pPr>
                  <a:defRPr sz="800"/>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'Forecast - Fire Budget'!$H$2:$N$2</c:f>
              <c:numCache>
                <c:formatCode>General</c:formatCode>
                <c:ptCount val="7"/>
                <c:pt idx="0">
                  <c:v>2016</c:v>
                </c:pt>
                <c:pt idx="1">
                  <c:v>2017</c:v>
                </c:pt>
                <c:pt idx="2">
                  <c:v>2018</c:v>
                </c:pt>
                <c:pt idx="3">
                  <c:v>2019</c:v>
                </c:pt>
                <c:pt idx="4">
                  <c:v>2020</c:v>
                </c:pt>
                <c:pt idx="5">
                  <c:v>2021</c:v>
                </c:pt>
                <c:pt idx="6">
                  <c:v>2022</c:v>
                </c:pt>
              </c:numCache>
            </c:numRef>
          </c:cat>
          <c:val>
            <c:numRef>
              <c:f>'Forecast - Fire Budget'!$H$21:$N$21</c:f>
              <c:numCache>
                <c:formatCode>"$"#,##0</c:formatCode>
                <c:ptCount val="7"/>
                <c:pt idx="0">
                  <c:v>5602747</c:v>
                </c:pt>
                <c:pt idx="1">
                  <c:v>5857659.2923999988</c:v>
                </c:pt>
                <c:pt idx="2">
                  <c:v>6235058.9654805595</c:v>
                </c:pt>
                <c:pt idx="3">
                  <c:v>6656432.4958218569</c:v>
                </c:pt>
                <c:pt idx="4">
                  <c:v>7128773.218850404</c:v>
                </c:pt>
                <c:pt idx="5">
                  <c:v>7660337.7536646351</c:v>
                </c:pt>
                <c:pt idx="6">
                  <c:v>8260887.141061889</c:v>
                </c:pt>
              </c:numCache>
            </c:numRef>
          </c:val>
          <c:smooth val="0"/>
          <c:extLst xmlns:c16r2="http://schemas.microsoft.com/office/drawing/2015/06/chart">
            <c:ext xmlns:c16="http://schemas.microsoft.com/office/drawing/2014/chart" uri="{C3380CC4-5D6E-409C-BE32-E72D297353CC}">
              <c16:uniqueId val="{00000002-28C8-428A-8F1F-AB75536A1E02}"/>
            </c:ext>
          </c:extLst>
        </c:ser>
        <c:dLbls>
          <c:showLegendKey val="0"/>
          <c:showVal val="0"/>
          <c:showCatName val="0"/>
          <c:showSerName val="0"/>
          <c:showPercent val="0"/>
          <c:showBubbleSize val="0"/>
        </c:dLbls>
        <c:marker val="1"/>
        <c:smooth val="0"/>
        <c:axId val="235517824"/>
        <c:axId val="235519360"/>
      </c:lineChart>
      <c:catAx>
        <c:axId val="235517824"/>
        <c:scaling>
          <c:orientation val="minMax"/>
        </c:scaling>
        <c:delete val="0"/>
        <c:axPos val="b"/>
        <c:numFmt formatCode="General" sourceLinked="1"/>
        <c:majorTickMark val="out"/>
        <c:minorTickMark val="none"/>
        <c:tickLblPos val="low"/>
        <c:crossAx val="235519360"/>
        <c:crosses val="autoZero"/>
        <c:auto val="1"/>
        <c:lblAlgn val="ctr"/>
        <c:lblOffset val="100"/>
        <c:noMultiLvlLbl val="0"/>
      </c:catAx>
      <c:valAx>
        <c:axId val="235519360"/>
        <c:scaling>
          <c:orientation val="minMax"/>
        </c:scaling>
        <c:delete val="0"/>
        <c:axPos val="l"/>
        <c:majorGridlines/>
        <c:numFmt formatCode="&quot;$&quot;#,##0" sourceLinked="0"/>
        <c:majorTickMark val="out"/>
        <c:minorTickMark val="none"/>
        <c:tickLblPos val="nextTo"/>
        <c:crossAx val="235517824"/>
        <c:crosses val="autoZero"/>
        <c:crossBetween val="between"/>
      </c:valAx>
      <c:spPr>
        <a:ln>
          <a:solidFill>
            <a:schemeClr val="tx1"/>
          </a:solidFill>
        </a:ln>
      </c:spPr>
    </c:plotArea>
    <c:legend>
      <c:legendPos val="r"/>
      <c:layout>
        <c:manualLayout>
          <c:xMode val="edge"/>
          <c:yMode val="edge"/>
          <c:x val="4.9943047837058885E-2"/>
          <c:y val="0.89595551468040013"/>
          <c:w val="0.93192364089339974"/>
          <c:h val="7.7252005235074528E-2"/>
        </c:manualLayout>
      </c:layout>
      <c:overlay val="0"/>
    </c:legend>
    <c:plotVisOnly val="1"/>
    <c:dispBlanksAs val="gap"/>
    <c:showDLblsOverMax val="0"/>
  </c:chart>
  <c:txPr>
    <a:bodyPr/>
    <a:lstStyle/>
    <a:p>
      <a:pPr>
        <a:defRPr b="1">
          <a:latin typeface="+mj-lt"/>
        </a:defRPr>
      </a:pPr>
      <a:endParaRPr lang="en-US"/>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9.5042570898149922E-2"/>
          <c:y val="9.996317473298777E-2"/>
          <c:w val="0.83601324224715812"/>
          <c:h val="0.639526692826763"/>
        </c:manualLayout>
      </c:layout>
      <c:lineChart>
        <c:grouping val="standard"/>
        <c:varyColors val="0"/>
        <c:ser>
          <c:idx val="0"/>
          <c:order val="0"/>
          <c:tx>
            <c:strRef>
              <c:f>Employment!$H$9</c:f>
              <c:strCache>
                <c:ptCount val="1"/>
                <c:pt idx="0">
                  <c:v>Tri-Cities Unemployment Rate</c:v>
                </c:pt>
              </c:strCache>
            </c:strRef>
          </c:tx>
          <c:cat>
            <c:numRef>
              <c:f>Employment!$I$5:$R$5</c:f>
              <c:numCache>
                <c:formatCode>General</c:formatCode>
                <c:ptCount val="10"/>
                <c:pt idx="0">
                  <c:v>2006</c:v>
                </c:pt>
                <c:pt idx="1">
                  <c:v>2007</c:v>
                </c:pt>
                <c:pt idx="2">
                  <c:v>2008</c:v>
                </c:pt>
                <c:pt idx="3">
                  <c:v>2009</c:v>
                </c:pt>
                <c:pt idx="4">
                  <c:v>2010</c:v>
                </c:pt>
                <c:pt idx="5">
                  <c:v>2011</c:v>
                </c:pt>
                <c:pt idx="6">
                  <c:v>2012</c:v>
                </c:pt>
                <c:pt idx="7">
                  <c:v>2013</c:v>
                </c:pt>
                <c:pt idx="8">
                  <c:v>2014</c:v>
                </c:pt>
                <c:pt idx="9">
                  <c:v>2015</c:v>
                </c:pt>
              </c:numCache>
            </c:numRef>
          </c:cat>
          <c:val>
            <c:numRef>
              <c:f>Employment!$I$9:$R$9</c:f>
              <c:numCache>
                <c:formatCode>General</c:formatCode>
                <c:ptCount val="10"/>
                <c:pt idx="0">
                  <c:v>6.6</c:v>
                </c:pt>
                <c:pt idx="1">
                  <c:v>5.9</c:v>
                </c:pt>
                <c:pt idx="2">
                  <c:v>5.7</c:v>
                </c:pt>
                <c:pt idx="3">
                  <c:v>7.6</c:v>
                </c:pt>
                <c:pt idx="4">
                  <c:v>8.1</c:v>
                </c:pt>
                <c:pt idx="5">
                  <c:v>8.5</c:v>
                </c:pt>
                <c:pt idx="6">
                  <c:v>9.4</c:v>
                </c:pt>
                <c:pt idx="7">
                  <c:v>9.1</c:v>
                </c:pt>
                <c:pt idx="8">
                  <c:v>7.7</c:v>
                </c:pt>
                <c:pt idx="9">
                  <c:v>6.8</c:v>
                </c:pt>
              </c:numCache>
            </c:numRef>
          </c:val>
          <c:smooth val="0"/>
          <c:extLst xmlns:c16r2="http://schemas.microsoft.com/office/drawing/2015/06/chart">
            <c:ext xmlns:c16="http://schemas.microsoft.com/office/drawing/2014/chart" uri="{C3380CC4-5D6E-409C-BE32-E72D297353CC}">
              <c16:uniqueId val="{00000000-4A7E-415C-86D9-283F42517FDB}"/>
            </c:ext>
          </c:extLst>
        </c:ser>
        <c:ser>
          <c:idx val="1"/>
          <c:order val="1"/>
          <c:tx>
            <c:strRef>
              <c:f>Employment!$H$10</c:f>
              <c:strCache>
                <c:ptCount val="1"/>
                <c:pt idx="0">
                  <c:v>State Unemployment Rate</c:v>
                </c:pt>
              </c:strCache>
            </c:strRef>
          </c:tx>
          <c:cat>
            <c:numRef>
              <c:f>Employment!$I$5:$R$5</c:f>
              <c:numCache>
                <c:formatCode>General</c:formatCode>
                <c:ptCount val="10"/>
                <c:pt idx="0">
                  <c:v>2006</c:v>
                </c:pt>
                <c:pt idx="1">
                  <c:v>2007</c:v>
                </c:pt>
                <c:pt idx="2">
                  <c:v>2008</c:v>
                </c:pt>
                <c:pt idx="3">
                  <c:v>2009</c:v>
                </c:pt>
                <c:pt idx="4">
                  <c:v>2010</c:v>
                </c:pt>
                <c:pt idx="5">
                  <c:v>2011</c:v>
                </c:pt>
                <c:pt idx="6">
                  <c:v>2012</c:v>
                </c:pt>
                <c:pt idx="7">
                  <c:v>2013</c:v>
                </c:pt>
                <c:pt idx="8">
                  <c:v>2014</c:v>
                </c:pt>
                <c:pt idx="9">
                  <c:v>2015</c:v>
                </c:pt>
              </c:numCache>
            </c:numRef>
          </c:cat>
          <c:val>
            <c:numRef>
              <c:f>Employment!$I$10:$R$10</c:f>
              <c:numCache>
                <c:formatCode>General</c:formatCode>
                <c:ptCount val="10"/>
                <c:pt idx="0">
                  <c:v>4.9000000000000004</c:v>
                </c:pt>
                <c:pt idx="1">
                  <c:v>4.5</c:v>
                </c:pt>
                <c:pt idx="2">
                  <c:v>5.5</c:v>
                </c:pt>
                <c:pt idx="3">
                  <c:v>9.3000000000000007</c:v>
                </c:pt>
                <c:pt idx="4">
                  <c:v>9.9</c:v>
                </c:pt>
                <c:pt idx="5">
                  <c:v>9.1999999999999993</c:v>
                </c:pt>
                <c:pt idx="6">
                  <c:v>8.1999999999999993</c:v>
                </c:pt>
                <c:pt idx="7">
                  <c:v>7</c:v>
                </c:pt>
                <c:pt idx="8">
                  <c:v>6.2</c:v>
                </c:pt>
                <c:pt idx="9">
                  <c:v>5.6</c:v>
                </c:pt>
              </c:numCache>
            </c:numRef>
          </c:val>
          <c:smooth val="0"/>
          <c:extLst xmlns:c16r2="http://schemas.microsoft.com/office/drawing/2015/06/chart">
            <c:ext xmlns:c16="http://schemas.microsoft.com/office/drawing/2014/chart" uri="{C3380CC4-5D6E-409C-BE32-E72D297353CC}">
              <c16:uniqueId val="{00000001-4A7E-415C-86D9-283F42517FDB}"/>
            </c:ext>
          </c:extLst>
        </c:ser>
        <c:dLbls>
          <c:showLegendKey val="0"/>
          <c:showVal val="0"/>
          <c:showCatName val="0"/>
          <c:showSerName val="0"/>
          <c:showPercent val="0"/>
          <c:showBubbleSize val="0"/>
        </c:dLbls>
        <c:marker val="1"/>
        <c:smooth val="0"/>
        <c:axId val="223926912"/>
        <c:axId val="223936896"/>
      </c:lineChart>
      <c:catAx>
        <c:axId val="223926912"/>
        <c:scaling>
          <c:orientation val="minMax"/>
        </c:scaling>
        <c:delete val="0"/>
        <c:axPos val="b"/>
        <c:numFmt formatCode="General" sourceLinked="1"/>
        <c:majorTickMark val="out"/>
        <c:minorTickMark val="none"/>
        <c:tickLblPos val="nextTo"/>
        <c:txPr>
          <a:bodyPr rot="-1800000"/>
          <a:lstStyle/>
          <a:p>
            <a:pPr>
              <a:defRPr sz="1000" b="0">
                <a:latin typeface="Calibri" panose="020F0502020204030204" pitchFamily="34" charset="0"/>
              </a:defRPr>
            </a:pPr>
            <a:endParaRPr lang="en-US"/>
          </a:p>
        </c:txPr>
        <c:crossAx val="223936896"/>
        <c:crosses val="autoZero"/>
        <c:auto val="1"/>
        <c:lblAlgn val="ctr"/>
        <c:lblOffset val="100"/>
        <c:noMultiLvlLbl val="0"/>
      </c:catAx>
      <c:valAx>
        <c:axId val="223936896"/>
        <c:scaling>
          <c:orientation val="minMax"/>
        </c:scaling>
        <c:delete val="0"/>
        <c:axPos val="l"/>
        <c:majorGridlines/>
        <c:numFmt formatCode="General" sourceLinked="1"/>
        <c:majorTickMark val="out"/>
        <c:minorTickMark val="none"/>
        <c:tickLblPos val="nextTo"/>
        <c:txPr>
          <a:bodyPr/>
          <a:lstStyle/>
          <a:p>
            <a:pPr>
              <a:defRPr sz="1000" b="0">
                <a:latin typeface="Calibri" panose="020F0502020204030204" pitchFamily="34" charset="0"/>
              </a:defRPr>
            </a:pPr>
            <a:endParaRPr lang="en-US"/>
          </a:p>
        </c:txPr>
        <c:crossAx val="223926912"/>
        <c:crosses val="autoZero"/>
        <c:crossBetween val="between"/>
      </c:valAx>
      <c:spPr>
        <a:ln>
          <a:solidFill>
            <a:schemeClr val="tx1"/>
          </a:solidFill>
        </a:ln>
      </c:spPr>
    </c:plotArea>
    <c:legend>
      <c:legendPos val="r"/>
      <c:layout>
        <c:manualLayout>
          <c:xMode val="edge"/>
          <c:yMode val="edge"/>
          <c:x val="5.5329913029164041E-2"/>
          <c:y val="0.86852769794452278"/>
          <c:w val="0.91911840288256652"/>
          <c:h val="9.6508337379853204E-2"/>
        </c:manualLayout>
      </c:layout>
      <c:overlay val="0"/>
      <c:txPr>
        <a:bodyPr/>
        <a:lstStyle/>
        <a:p>
          <a:pPr>
            <a:defRPr sz="1000" b="1">
              <a:latin typeface="Calibri" panose="020F0502020204030204" pitchFamily="34" charset="0"/>
            </a:defRPr>
          </a:pPr>
          <a:endParaRPr lang="en-US"/>
        </a:p>
      </c:txPr>
    </c:legend>
    <c:plotVisOnly val="1"/>
    <c:dispBlanksAs val="gap"/>
    <c:showDLblsOverMax val="0"/>
  </c:chart>
  <c:externalData r:id="rId2">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8443307086614172"/>
          <c:y val="0.11861246928546412"/>
          <c:w val="0.62031026214315799"/>
          <c:h val="0.76193074020855733"/>
        </c:manualLayout>
      </c:layout>
      <c:barChart>
        <c:barDir val="col"/>
        <c:grouping val="clustered"/>
        <c:varyColors val="0"/>
        <c:ser>
          <c:idx val="0"/>
          <c:order val="0"/>
          <c:tx>
            <c:strRef>
              <c:f>'Forecast - Fire Budget'!$B$109</c:f>
              <c:strCache>
                <c:ptCount val="1"/>
                <c:pt idx="0">
                  <c:v>Addition of Third Firefighter</c:v>
                </c:pt>
              </c:strCache>
            </c:strRef>
          </c:tx>
          <c:spPr>
            <a:ln>
              <a:solidFill>
                <a:schemeClr val="tx1"/>
              </a:solidFill>
            </a:ln>
          </c:spPr>
          <c:invertIfNegative val="0"/>
          <c:dLbls>
            <c:dLbl>
              <c:idx val="0"/>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DAD1-43A2-B782-B1950E438FFF}"/>
                </c:ext>
              </c:extLst>
            </c:dLbl>
            <c:dLbl>
              <c:idx val="1"/>
              <c:layout>
                <c:manualLayout>
                  <c:x val="-4.11522633744856E-3"/>
                  <c:y val="0.1344822225013265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DAD1-43A2-B782-B1950E438FFF}"/>
                </c:ext>
              </c:extLst>
            </c:dLbl>
            <c:dLbl>
              <c:idx val="2"/>
              <c:layout>
                <c:manualLayout>
                  <c:x val="-1.0288227860406339E-2"/>
                  <c:y val="0.1017952061809182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DAD1-43A2-B782-B1950E438FFF}"/>
                </c:ext>
              </c:extLst>
            </c:dLbl>
            <c:dLbl>
              <c:idx val="3"/>
              <c:layout>
                <c:manualLayout>
                  <c:x val="-4.11522633744856E-3"/>
                  <c:y val="0.10099127516295787"/>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DAD1-43A2-B782-B1950E438FFF}"/>
                </c:ext>
              </c:extLst>
            </c:dLbl>
            <c:dLbl>
              <c:idx val="4"/>
              <c:layout>
                <c:manualLayout>
                  <c:x val="-4.11522633744856E-3"/>
                  <c:y val="8.6648326932685024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DAD1-43A2-B782-B1950E438FFF}"/>
                </c:ext>
              </c:extLst>
            </c:dLbl>
            <c:dLbl>
              <c:idx val="5"/>
              <c:layout>
                <c:manualLayout>
                  <c:x val="-2.05761316872428E-3"/>
                  <c:y val="8.6920545832090731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DAD1-43A2-B782-B1950E438FFF}"/>
                </c:ext>
              </c:extLst>
            </c:dLbl>
            <c:dLbl>
              <c:idx val="6"/>
              <c:layout>
                <c:manualLayout>
                  <c:x val="-2.05761316872428E-3"/>
                  <c:y val="7.3751679928116501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DAD1-43A2-B782-B1950E438FFF}"/>
                </c:ext>
              </c:extLst>
            </c:dLbl>
            <c:spPr>
              <a:solidFill>
                <a:schemeClr val="bg1"/>
              </a:solidFill>
              <a:ln>
                <a:solidFill>
                  <a:schemeClr val="accent1"/>
                </a:solidFill>
              </a:ln>
            </c:spPr>
            <c:txPr>
              <a:bodyPr/>
              <a:lstStyle/>
              <a:p>
                <a:pPr>
                  <a:defRPr sz="800" b="1"/>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'Forecast - Fire Budget'!$H$84:$N$84</c:f>
              <c:numCache>
                <c:formatCode>General</c:formatCode>
                <c:ptCount val="7"/>
                <c:pt idx="0">
                  <c:v>2016</c:v>
                </c:pt>
                <c:pt idx="1">
                  <c:v>2017</c:v>
                </c:pt>
                <c:pt idx="2">
                  <c:v>2018</c:v>
                </c:pt>
                <c:pt idx="3">
                  <c:v>2019</c:v>
                </c:pt>
                <c:pt idx="4">
                  <c:v>2020</c:v>
                </c:pt>
                <c:pt idx="5">
                  <c:v>2021</c:v>
                </c:pt>
                <c:pt idx="6">
                  <c:v>2022</c:v>
                </c:pt>
              </c:numCache>
            </c:numRef>
          </c:cat>
          <c:val>
            <c:numRef>
              <c:f>'Forecast - Fire Budget'!$C$109:$N$109</c:f>
              <c:numCache>
                <c:formatCode>"$"#,##0</c:formatCode>
                <c:ptCount val="7"/>
                <c:pt idx="0">
                  <c:v>0</c:v>
                </c:pt>
                <c:pt idx="1">
                  <c:v>1086116.324031</c:v>
                </c:pt>
                <c:pt idx="2">
                  <c:v>1085255.4892981593</c:v>
                </c:pt>
                <c:pt idx="3">
                  <c:v>1133076.6060147472</c:v>
                </c:pt>
                <c:pt idx="4">
                  <c:v>1183895.6232758742</c:v>
                </c:pt>
                <c:pt idx="5">
                  <c:v>1237946.8932158481</c:v>
                </c:pt>
                <c:pt idx="6">
                  <c:v>1295484.7878147643</c:v>
                </c:pt>
              </c:numCache>
            </c:numRef>
          </c:val>
          <c:extLst xmlns:c16r2="http://schemas.microsoft.com/office/drawing/2015/06/chart">
            <c:ext xmlns:c16="http://schemas.microsoft.com/office/drawing/2014/chart" uri="{C3380CC4-5D6E-409C-BE32-E72D297353CC}">
              <c16:uniqueId val="{00000007-DAD1-43A2-B782-B1950E438FFF}"/>
            </c:ext>
          </c:extLst>
        </c:ser>
        <c:ser>
          <c:idx val="1"/>
          <c:order val="1"/>
          <c:tx>
            <c:strRef>
              <c:f>'Forecast - Fire Budget'!$B$110</c:f>
              <c:strCache>
                <c:ptCount val="1"/>
                <c:pt idx="0">
                  <c:v>Addition of Full Engine Company</c:v>
                </c:pt>
              </c:strCache>
            </c:strRef>
          </c:tx>
          <c:spPr>
            <a:ln>
              <a:solidFill>
                <a:schemeClr val="tx1"/>
              </a:solidFill>
            </a:ln>
          </c:spPr>
          <c:invertIfNegative val="0"/>
          <c:dLbls>
            <c:dLbl>
              <c:idx val="0"/>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DAD1-43A2-B782-B1950E438FFF}"/>
                </c:ext>
              </c:extLst>
            </c:dLbl>
            <c:dLbl>
              <c:idx val="1"/>
              <c:layout>
                <c:manualLayout>
                  <c:x val="-2.4691358024691395E-2"/>
                  <c:y val="0"/>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DAD1-43A2-B782-B1950E438FFF}"/>
                </c:ext>
              </c:extLst>
            </c:dLbl>
            <c:dLbl>
              <c:idx val="2"/>
              <c:layout>
                <c:manualLayout>
                  <c:x val="-1.646090534979424E-2"/>
                  <c:y val="0"/>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DAD1-43A2-B782-B1950E438FFF}"/>
                </c:ext>
              </c:extLst>
            </c:dLbl>
            <c:dLbl>
              <c:idx val="3"/>
              <c:layout>
                <c:manualLayout>
                  <c:x val="-1.0288065843621399E-2"/>
                  <c:y val="0"/>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DAD1-43A2-B782-B1950E438FFF}"/>
                </c:ext>
              </c:extLst>
            </c:dLbl>
            <c:dLbl>
              <c:idx val="4"/>
              <c:layout>
                <c:manualLayout>
                  <c:x val="-1.0288065843621399E-2"/>
                  <c:y val="6.4411485328637825E-17"/>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DAD1-43A2-B782-B1950E438FFF}"/>
                </c:ext>
              </c:extLst>
            </c:dLbl>
            <c:dLbl>
              <c:idx val="5"/>
              <c:layout>
                <c:manualLayout>
                  <c:x val="-6.1728395061728392E-3"/>
                  <c:y val="-3.5133943317606328E-3"/>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DAD1-43A2-B782-B1950E438FFF}"/>
                </c:ext>
              </c:extLst>
            </c:dLbl>
            <c:dLbl>
              <c:idx val="6"/>
              <c:layout>
                <c:manualLayout>
                  <c:x val="-2.05761316872428E-3"/>
                  <c:y val="-7.0267886635213307E-3"/>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E-DAD1-43A2-B782-B1950E438FFF}"/>
                </c:ext>
              </c:extLst>
            </c:dLbl>
            <c:spPr>
              <a:solidFill>
                <a:schemeClr val="bg1"/>
              </a:solidFill>
              <a:ln>
                <a:solidFill>
                  <a:schemeClr val="accent2"/>
                </a:solidFill>
              </a:ln>
            </c:spPr>
            <c:txPr>
              <a:bodyPr/>
              <a:lstStyle/>
              <a:p>
                <a:pPr>
                  <a:defRPr sz="800" b="1"/>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'Forecast - Fire Budget'!$H$84:$N$84</c:f>
              <c:numCache>
                <c:formatCode>General</c:formatCode>
                <c:ptCount val="7"/>
                <c:pt idx="0">
                  <c:v>2016</c:v>
                </c:pt>
                <c:pt idx="1">
                  <c:v>2017</c:v>
                </c:pt>
                <c:pt idx="2">
                  <c:v>2018</c:v>
                </c:pt>
                <c:pt idx="3">
                  <c:v>2019</c:v>
                </c:pt>
                <c:pt idx="4">
                  <c:v>2020</c:v>
                </c:pt>
                <c:pt idx="5">
                  <c:v>2021</c:v>
                </c:pt>
                <c:pt idx="6">
                  <c:v>2022</c:v>
                </c:pt>
              </c:numCache>
            </c:numRef>
          </c:cat>
          <c:val>
            <c:numRef>
              <c:f>'Forecast - Fire Budget'!$C$110:$N$110</c:f>
              <c:numCache>
                <c:formatCode>"$"#,##0</c:formatCode>
                <c:ptCount val="7"/>
                <c:pt idx="0">
                  <c:v>0</c:v>
                </c:pt>
                <c:pt idx="1">
                  <c:v>1502925.6425400004</c:v>
                </c:pt>
                <c:pt idx="2">
                  <c:v>1533874.7283345722</c:v>
                </c:pt>
                <c:pt idx="3">
                  <c:v>1616200.4668979598</c:v>
                </c:pt>
                <c:pt idx="4">
                  <c:v>1704455.1170972232</c:v>
                </c:pt>
                <c:pt idx="5">
                  <c:v>1799130.2816272713</c:v>
                </c:pt>
                <c:pt idx="6">
                  <c:v>1900760.3852054905</c:v>
                </c:pt>
              </c:numCache>
            </c:numRef>
          </c:val>
          <c:extLst xmlns:c16r2="http://schemas.microsoft.com/office/drawing/2015/06/chart">
            <c:ext xmlns:c16="http://schemas.microsoft.com/office/drawing/2014/chart" uri="{C3380CC4-5D6E-409C-BE32-E72D297353CC}">
              <c16:uniqueId val="{0000000F-DAD1-43A2-B782-B1950E438FFF}"/>
            </c:ext>
          </c:extLst>
        </c:ser>
        <c:dLbls>
          <c:showLegendKey val="0"/>
          <c:showVal val="0"/>
          <c:showCatName val="0"/>
          <c:showSerName val="0"/>
          <c:showPercent val="0"/>
          <c:showBubbleSize val="0"/>
        </c:dLbls>
        <c:gapWidth val="100"/>
        <c:axId val="235757568"/>
        <c:axId val="235747200"/>
      </c:barChart>
      <c:lineChart>
        <c:grouping val="standard"/>
        <c:varyColors val="0"/>
        <c:ser>
          <c:idx val="2"/>
          <c:order val="2"/>
          <c:tx>
            <c:strRef>
              <c:f>'Forecast - Fire Budget'!$B$104</c:f>
              <c:strCache>
                <c:ptCount val="1"/>
                <c:pt idx="0">
                  <c:v>Total Fire Expenses (Status Quo)</c:v>
                </c:pt>
              </c:strCache>
            </c:strRef>
          </c:tx>
          <c:spPr>
            <a:ln w="25400">
              <a:solidFill>
                <a:schemeClr val="accent6"/>
              </a:solidFill>
              <a:prstDash val="sysDash"/>
            </a:ln>
          </c:spPr>
          <c:marker>
            <c:symbol val="triangle"/>
            <c:size val="8"/>
            <c:spPr>
              <a:solidFill>
                <a:schemeClr val="accent6"/>
              </a:solidFill>
              <a:ln>
                <a:solidFill>
                  <a:schemeClr val="tx1"/>
                </a:solidFill>
              </a:ln>
            </c:spPr>
          </c:marker>
          <c:dLbls>
            <c:dLbl>
              <c:idx val="6"/>
              <c:spPr>
                <a:solidFill>
                  <a:schemeClr val="bg1"/>
                </a:solidFill>
              </c:spPr>
              <c:txPr>
                <a:bodyPr/>
                <a:lstStyle/>
                <a:p>
                  <a:pPr>
                    <a:defRPr sz="800" b="1"/>
                  </a:pPr>
                  <a:endParaRPr lang="en-US"/>
                </a:p>
              </c:txPr>
              <c:dLblPos val="t"/>
              <c:showLegendKey val="0"/>
              <c:showVal val="1"/>
              <c:showCatName val="0"/>
              <c:showSerName val="0"/>
              <c:showPercent val="0"/>
              <c:showBubbleSize val="0"/>
            </c:dLbl>
            <c:spPr>
              <a:noFill/>
              <a:ln>
                <a:noFill/>
              </a:ln>
              <a:effectLst/>
            </c:spPr>
            <c:txPr>
              <a:bodyPr/>
              <a:lstStyle/>
              <a:p>
                <a:pPr>
                  <a:defRPr sz="800" b="1"/>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'Forecast - Fire Budget'!$H$84:$N$84</c:f>
              <c:numCache>
                <c:formatCode>General</c:formatCode>
                <c:ptCount val="7"/>
                <c:pt idx="0">
                  <c:v>2016</c:v>
                </c:pt>
                <c:pt idx="1">
                  <c:v>2017</c:v>
                </c:pt>
                <c:pt idx="2">
                  <c:v>2018</c:v>
                </c:pt>
                <c:pt idx="3">
                  <c:v>2019</c:v>
                </c:pt>
                <c:pt idx="4">
                  <c:v>2020</c:v>
                </c:pt>
                <c:pt idx="5">
                  <c:v>2021</c:v>
                </c:pt>
                <c:pt idx="6">
                  <c:v>2022</c:v>
                </c:pt>
              </c:numCache>
            </c:numRef>
          </c:cat>
          <c:val>
            <c:numRef>
              <c:f>'Forecast - Fire Budget'!$H$104:$N$104</c:f>
              <c:numCache>
                <c:formatCode>"$"#,##0</c:formatCode>
                <c:ptCount val="7"/>
                <c:pt idx="0">
                  <c:v>5602747</c:v>
                </c:pt>
                <c:pt idx="1">
                  <c:v>5857659.2923999988</c:v>
                </c:pt>
                <c:pt idx="2">
                  <c:v>6235058.9654805595</c:v>
                </c:pt>
                <c:pt idx="3">
                  <c:v>6656432.4958218569</c:v>
                </c:pt>
                <c:pt idx="4">
                  <c:v>7128773.218850404</c:v>
                </c:pt>
                <c:pt idx="5">
                  <c:v>7660337.7536646351</c:v>
                </c:pt>
                <c:pt idx="6">
                  <c:v>8260887.141061889</c:v>
                </c:pt>
              </c:numCache>
            </c:numRef>
          </c:val>
          <c:smooth val="0"/>
          <c:extLst xmlns:c16r2="http://schemas.microsoft.com/office/drawing/2015/06/chart">
            <c:ext xmlns:c16="http://schemas.microsoft.com/office/drawing/2014/chart" uri="{C3380CC4-5D6E-409C-BE32-E72D297353CC}">
              <c16:uniqueId val="{00000011-DAD1-43A2-B782-B1950E438FFF}"/>
            </c:ext>
          </c:extLst>
        </c:ser>
        <c:dLbls>
          <c:showLegendKey val="0"/>
          <c:showVal val="0"/>
          <c:showCatName val="0"/>
          <c:showSerName val="0"/>
          <c:showPercent val="0"/>
          <c:showBubbleSize val="0"/>
        </c:dLbls>
        <c:marker val="1"/>
        <c:smooth val="0"/>
        <c:axId val="235710720"/>
        <c:axId val="235745280"/>
      </c:lineChart>
      <c:catAx>
        <c:axId val="235710720"/>
        <c:scaling>
          <c:orientation val="minMax"/>
        </c:scaling>
        <c:delete val="0"/>
        <c:axPos val="b"/>
        <c:numFmt formatCode="General" sourceLinked="1"/>
        <c:majorTickMark val="out"/>
        <c:minorTickMark val="none"/>
        <c:tickLblPos val="nextTo"/>
        <c:crossAx val="235745280"/>
        <c:crosses val="autoZero"/>
        <c:auto val="1"/>
        <c:lblAlgn val="ctr"/>
        <c:lblOffset val="100"/>
        <c:noMultiLvlLbl val="0"/>
      </c:catAx>
      <c:valAx>
        <c:axId val="235745280"/>
        <c:scaling>
          <c:orientation val="minMax"/>
        </c:scaling>
        <c:delete val="0"/>
        <c:axPos val="l"/>
        <c:majorGridlines/>
        <c:title>
          <c:tx>
            <c:rich>
              <a:bodyPr rot="-5400000" vert="horz"/>
              <a:lstStyle/>
              <a:p>
                <a:pPr>
                  <a:defRPr/>
                </a:pPr>
                <a:r>
                  <a:rPr lang="en-US"/>
                  <a:t>Status Quo Total Expenses</a:t>
                </a:r>
              </a:p>
            </c:rich>
          </c:tx>
          <c:overlay val="0"/>
        </c:title>
        <c:numFmt formatCode="&quot;$&quot;#,##0" sourceLinked="1"/>
        <c:majorTickMark val="out"/>
        <c:minorTickMark val="none"/>
        <c:tickLblPos val="nextTo"/>
        <c:crossAx val="235710720"/>
        <c:crosses val="autoZero"/>
        <c:crossBetween val="between"/>
        <c:majorUnit val="2000000"/>
      </c:valAx>
      <c:valAx>
        <c:axId val="235747200"/>
        <c:scaling>
          <c:orientation val="minMax"/>
          <c:max val="5000000"/>
        </c:scaling>
        <c:delete val="0"/>
        <c:axPos val="r"/>
        <c:title>
          <c:tx>
            <c:rich>
              <a:bodyPr rot="-5400000" vert="horz"/>
              <a:lstStyle/>
              <a:p>
                <a:pPr>
                  <a:defRPr/>
                </a:pPr>
                <a:r>
                  <a:rPr lang="en-US"/>
                  <a:t>Cost Differential from Status Quo</a:t>
                </a:r>
              </a:p>
            </c:rich>
          </c:tx>
          <c:layout>
            <c:manualLayout>
              <c:xMode val="edge"/>
              <c:yMode val="edge"/>
              <c:x val="0.93950844107449527"/>
              <c:y val="0.21465898773299752"/>
            </c:manualLayout>
          </c:layout>
          <c:overlay val="0"/>
        </c:title>
        <c:numFmt formatCode="&quot;$&quot;#,##0" sourceLinked="1"/>
        <c:majorTickMark val="out"/>
        <c:minorTickMark val="none"/>
        <c:tickLblPos val="nextTo"/>
        <c:crossAx val="235757568"/>
        <c:crosses val="max"/>
        <c:crossBetween val="between"/>
        <c:majorUnit val="500000"/>
      </c:valAx>
      <c:catAx>
        <c:axId val="235757568"/>
        <c:scaling>
          <c:orientation val="minMax"/>
        </c:scaling>
        <c:delete val="1"/>
        <c:axPos val="b"/>
        <c:numFmt formatCode="General" sourceLinked="1"/>
        <c:majorTickMark val="out"/>
        <c:minorTickMark val="none"/>
        <c:tickLblPos val="nextTo"/>
        <c:crossAx val="235747200"/>
        <c:crosses val="autoZero"/>
        <c:auto val="1"/>
        <c:lblAlgn val="ctr"/>
        <c:lblOffset val="100"/>
        <c:noMultiLvlLbl val="0"/>
      </c:catAx>
      <c:spPr>
        <a:solidFill>
          <a:schemeClr val="bg1"/>
        </a:solidFill>
      </c:spPr>
    </c:plotArea>
    <c:legend>
      <c:legendPos val="r"/>
      <c:layout>
        <c:manualLayout>
          <c:xMode val="edge"/>
          <c:yMode val="edge"/>
          <c:x val="0.20757412267910955"/>
          <c:y val="6.2144476307826449E-2"/>
          <c:w val="0.40199377855545837"/>
          <c:h val="0.15376328796167246"/>
        </c:manualLayout>
      </c:layout>
      <c:overlay val="0"/>
      <c:spPr>
        <a:solidFill>
          <a:schemeClr val="bg1"/>
        </a:solidFill>
        <a:ln>
          <a:solidFill>
            <a:schemeClr val="tx1"/>
          </a:solidFill>
        </a:ln>
      </c:spPr>
    </c:legend>
    <c:plotVisOnly val="1"/>
    <c:dispBlanksAs val="gap"/>
    <c:showDLblsOverMax val="0"/>
  </c:chart>
  <c:txPr>
    <a:bodyPr/>
    <a:lstStyle/>
    <a:p>
      <a:pPr>
        <a:defRPr>
          <a:latin typeface="+mj-lt"/>
        </a:defRPr>
      </a:pPr>
      <a:endParaRPr lang="en-US"/>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4374949218304234"/>
          <c:y val="7.0651934918047624E-2"/>
          <c:w val="0.79569024306744263"/>
          <c:h val="0.77838394787293119"/>
        </c:manualLayout>
      </c:layout>
      <c:lineChart>
        <c:grouping val="standard"/>
        <c:varyColors val="0"/>
        <c:ser>
          <c:idx val="0"/>
          <c:order val="0"/>
          <c:tx>
            <c:strRef>
              <c:f>'Per Capita Income'!$B$2</c:f>
              <c:strCache>
                <c:ptCount val="1"/>
                <c:pt idx="0">
                  <c:v>United States</c:v>
                </c:pt>
              </c:strCache>
            </c:strRef>
          </c:tx>
          <c:cat>
            <c:numRef>
              <c:f>'Per Capita Income'!$H$1:$Q$1</c:f>
              <c:numCache>
                <c:formatCode>General</c:formatCode>
                <c:ptCount val="10"/>
                <c:pt idx="0">
                  <c:v>2005</c:v>
                </c:pt>
                <c:pt idx="1">
                  <c:v>2006</c:v>
                </c:pt>
                <c:pt idx="2">
                  <c:v>2007</c:v>
                </c:pt>
                <c:pt idx="3">
                  <c:v>2008</c:v>
                </c:pt>
                <c:pt idx="4">
                  <c:v>2009</c:v>
                </c:pt>
                <c:pt idx="5">
                  <c:v>2010</c:v>
                </c:pt>
                <c:pt idx="6">
                  <c:v>2011</c:v>
                </c:pt>
                <c:pt idx="7">
                  <c:v>2012</c:v>
                </c:pt>
                <c:pt idx="8">
                  <c:v>2013</c:v>
                </c:pt>
                <c:pt idx="9">
                  <c:v>2014</c:v>
                </c:pt>
              </c:numCache>
            </c:numRef>
          </c:cat>
          <c:val>
            <c:numRef>
              <c:f>'Per Capita Income'!$H$2:$Q$2</c:f>
              <c:numCache>
                <c:formatCode>General</c:formatCode>
                <c:ptCount val="10"/>
                <c:pt idx="0">
                  <c:v>42307</c:v>
                </c:pt>
                <c:pt idx="1">
                  <c:v>43776</c:v>
                </c:pt>
                <c:pt idx="2">
                  <c:v>44584</c:v>
                </c:pt>
                <c:pt idx="3">
                  <c:v>44426</c:v>
                </c:pt>
                <c:pt idx="4">
                  <c:v>42830</c:v>
                </c:pt>
                <c:pt idx="5">
                  <c:v>42952</c:v>
                </c:pt>
                <c:pt idx="6">
                  <c:v>44208</c:v>
                </c:pt>
                <c:pt idx="7">
                  <c:v>45326</c:v>
                </c:pt>
                <c:pt idx="8">
                  <c:v>45362</c:v>
                </c:pt>
                <c:pt idx="9">
                  <c:v>46129</c:v>
                </c:pt>
              </c:numCache>
            </c:numRef>
          </c:val>
          <c:smooth val="0"/>
          <c:extLst xmlns:c16r2="http://schemas.microsoft.com/office/drawing/2015/06/chart">
            <c:ext xmlns:c16="http://schemas.microsoft.com/office/drawing/2014/chart" uri="{C3380CC4-5D6E-409C-BE32-E72D297353CC}">
              <c16:uniqueId val="{00000000-0410-4150-A5C2-8BC770033777}"/>
            </c:ext>
          </c:extLst>
        </c:ser>
        <c:ser>
          <c:idx val="1"/>
          <c:order val="1"/>
          <c:tx>
            <c:strRef>
              <c:f>'Per Capita Income'!$B$3</c:f>
              <c:strCache>
                <c:ptCount val="1"/>
                <c:pt idx="0">
                  <c:v>Washington</c:v>
                </c:pt>
              </c:strCache>
            </c:strRef>
          </c:tx>
          <c:cat>
            <c:numRef>
              <c:f>'Per Capita Income'!$H$1:$Q$1</c:f>
              <c:numCache>
                <c:formatCode>General</c:formatCode>
                <c:ptCount val="10"/>
                <c:pt idx="0">
                  <c:v>2005</c:v>
                </c:pt>
                <c:pt idx="1">
                  <c:v>2006</c:v>
                </c:pt>
                <c:pt idx="2">
                  <c:v>2007</c:v>
                </c:pt>
                <c:pt idx="3">
                  <c:v>2008</c:v>
                </c:pt>
                <c:pt idx="4">
                  <c:v>2009</c:v>
                </c:pt>
                <c:pt idx="5">
                  <c:v>2010</c:v>
                </c:pt>
                <c:pt idx="6">
                  <c:v>2011</c:v>
                </c:pt>
                <c:pt idx="7">
                  <c:v>2012</c:v>
                </c:pt>
                <c:pt idx="8">
                  <c:v>2013</c:v>
                </c:pt>
                <c:pt idx="9">
                  <c:v>2014</c:v>
                </c:pt>
              </c:numCache>
            </c:numRef>
          </c:cat>
          <c:val>
            <c:numRef>
              <c:f>'Per Capita Income'!$H$3:$Q$3</c:f>
              <c:numCache>
                <c:formatCode>General</c:formatCode>
                <c:ptCount val="10"/>
                <c:pt idx="0">
                  <c:v>44370</c:v>
                </c:pt>
                <c:pt idx="1">
                  <c:v>46072</c:v>
                </c:pt>
                <c:pt idx="2">
                  <c:v>47973</c:v>
                </c:pt>
                <c:pt idx="3">
                  <c:v>47981</c:v>
                </c:pt>
                <c:pt idx="4">
                  <c:v>45830</c:v>
                </c:pt>
                <c:pt idx="5">
                  <c:v>45523</c:v>
                </c:pt>
                <c:pt idx="6">
                  <c:v>46540</c:v>
                </c:pt>
                <c:pt idx="7">
                  <c:v>48254</c:v>
                </c:pt>
                <c:pt idx="8">
                  <c:v>48353</c:v>
                </c:pt>
                <c:pt idx="9">
                  <c:v>49583</c:v>
                </c:pt>
              </c:numCache>
            </c:numRef>
          </c:val>
          <c:smooth val="0"/>
          <c:extLst xmlns:c16r2="http://schemas.microsoft.com/office/drawing/2015/06/chart">
            <c:ext xmlns:c16="http://schemas.microsoft.com/office/drawing/2014/chart" uri="{C3380CC4-5D6E-409C-BE32-E72D297353CC}">
              <c16:uniqueId val="{00000001-0410-4150-A5C2-8BC770033777}"/>
            </c:ext>
          </c:extLst>
        </c:ser>
        <c:dLbls>
          <c:showLegendKey val="0"/>
          <c:showVal val="0"/>
          <c:showCatName val="0"/>
          <c:showSerName val="0"/>
          <c:showPercent val="0"/>
          <c:showBubbleSize val="0"/>
        </c:dLbls>
        <c:marker val="1"/>
        <c:smooth val="0"/>
        <c:axId val="223950336"/>
        <c:axId val="223951872"/>
      </c:lineChart>
      <c:catAx>
        <c:axId val="223950336"/>
        <c:scaling>
          <c:orientation val="minMax"/>
        </c:scaling>
        <c:delete val="0"/>
        <c:axPos val="b"/>
        <c:numFmt formatCode="General" sourceLinked="1"/>
        <c:majorTickMark val="out"/>
        <c:minorTickMark val="none"/>
        <c:tickLblPos val="nextTo"/>
        <c:txPr>
          <a:bodyPr rot="-1800000"/>
          <a:lstStyle/>
          <a:p>
            <a:pPr>
              <a:defRPr sz="1000" b="0">
                <a:latin typeface="Calibri" panose="020F0502020204030204" pitchFamily="34" charset="0"/>
              </a:defRPr>
            </a:pPr>
            <a:endParaRPr lang="en-US"/>
          </a:p>
        </c:txPr>
        <c:crossAx val="223951872"/>
        <c:crosses val="autoZero"/>
        <c:auto val="1"/>
        <c:lblAlgn val="ctr"/>
        <c:lblOffset val="100"/>
        <c:noMultiLvlLbl val="0"/>
      </c:catAx>
      <c:valAx>
        <c:axId val="223951872"/>
        <c:scaling>
          <c:orientation val="minMax"/>
          <c:max val="55000"/>
          <c:min val="35000"/>
        </c:scaling>
        <c:delete val="0"/>
        <c:axPos val="l"/>
        <c:majorGridlines/>
        <c:numFmt formatCode="&quot;$&quot;#,##0" sourceLinked="0"/>
        <c:majorTickMark val="out"/>
        <c:minorTickMark val="none"/>
        <c:tickLblPos val="nextTo"/>
        <c:txPr>
          <a:bodyPr/>
          <a:lstStyle/>
          <a:p>
            <a:pPr>
              <a:defRPr sz="1000" b="0">
                <a:latin typeface="Calibri" panose="020F0502020204030204" pitchFamily="34" charset="0"/>
              </a:defRPr>
            </a:pPr>
            <a:endParaRPr lang="en-US"/>
          </a:p>
        </c:txPr>
        <c:crossAx val="223950336"/>
        <c:crosses val="autoZero"/>
        <c:crossBetween val="between"/>
      </c:valAx>
      <c:spPr>
        <a:ln>
          <a:solidFill>
            <a:schemeClr val="tx1"/>
          </a:solidFill>
        </a:ln>
      </c:spPr>
    </c:plotArea>
    <c:legend>
      <c:legendPos val="r"/>
      <c:layout>
        <c:manualLayout>
          <c:xMode val="edge"/>
          <c:yMode val="edge"/>
          <c:x val="0.45434157252082619"/>
          <c:y val="0.10608944181645619"/>
          <c:w val="0.27567441393769443"/>
          <c:h val="0.16986984135515482"/>
        </c:manualLayout>
      </c:layout>
      <c:overlay val="0"/>
      <c:spPr>
        <a:solidFill>
          <a:schemeClr val="bg1"/>
        </a:solidFill>
        <a:ln>
          <a:solidFill>
            <a:schemeClr val="tx1"/>
          </a:solidFill>
        </a:ln>
      </c:spPr>
      <c:txPr>
        <a:bodyPr/>
        <a:lstStyle/>
        <a:p>
          <a:pPr>
            <a:defRPr sz="1000" b="1">
              <a:latin typeface="Calibri" panose="020F0502020204030204" pitchFamily="34" charset="0"/>
            </a:defRPr>
          </a:pPr>
          <a:endParaRPr lang="en-US"/>
        </a:p>
      </c:txPr>
    </c:legend>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4895665156916088"/>
          <c:y val="8.9642087050946881E-2"/>
          <c:w val="0.77957891475374996"/>
          <c:h val="0.76511700983362296"/>
        </c:manualLayout>
      </c:layout>
      <c:lineChart>
        <c:grouping val="standard"/>
        <c:varyColors val="0"/>
        <c:ser>
          <c:idx val="0"/>
          <c:order val="0"/>
          <c:tx>
            <c:strRef>
              <c:f>'Per Capita Income'!$G$10</c:f>
              <c:strCache>
                <c:ptCount val="1"/>
                <c:pt idx="0">
                  <c:v>Franklin County</c:v>
                </c:pt>
              </c:strCache>
            </c:strRef>
          </c:tx>
          <c:cat>
            <c:numRef>
              <c:f>'Per Capita Income'!$H$9:$Q$9</c:f>
              <c:numCache>
                <c:formatCode>General</c:formatCode>
                <c:ptCount val="10"/>
                <c:pt idx="0">
                  <c:v>2005</c:v>
                </c:pt>
                <c:pt idx="1">
                  <c:v>2006</c:v>
                </c:pt>
                <c:pt idx="2">
                  <c:v>2007</c:v>
                </c:pt>
                <c:pt idx="3">
                  <c:v>2008</c:v>
                </c:pt>
                <c:pt idx="4">
                  <c:v>2009</c:v>
                </c:pt>
                <c:pt idx="5">
                  <c:v>2010</c:v>
                </c:pt>
                <c:pt idx="6">
                  <c:v>2011</c:v>
                </c:pt>
                <c:pt idx="7">
                  <c:v>2012</c:v>
                </c:pt>
                <c:pt idx="8">
                  <c:v>2013</c:v>
                </c:pt>
                <c:pt idx="9">
                  <c:v>2014</c:v>
                </c:pt>
              </c:numCache>
            </c:numRef>
          </c:cat>
          <c:val>
            <c:numRef>
              <c:f>'Per Capita Income'!$H$10:$Q$10</c:f>
              <c:numCache>
                <c:formatCode>General</c:formatCode>
                <c:ptCount val="10"/>
                <c:pt idx="0">
                  <c:v>42256</c:v>
                </c:pt>
                <c:pt idx="1">
                  <c:v>43187</c:v>
                </c:pt>
                <c:pt idx="2">
                  <c:v>49337</c:v>
                </c:pt>
                <c:pt idx="3">
                  <c:v>44797</c:v>
                </c:pt>
                <c:pt idx="4">
                  <c:v>43754</c:v>
                </c:pt>
                <c:pt idx="5">
                  <c:v>53355</c:v>
                </c:pt>
                <c:pt idx="6">
                  <c:v>53644</c:v>
                </c:pt>
                <c:pt idx="7">
                  <c:v>56221</c:v>
                </c:pt>
                <c:pt idx="8">
                  <c:v>57196</c:v>
                </c:pt>
                <c:pt idx="9">
                  <c:v>58188</c:v>
                </c:pt>
              </c:numCache>
            </c:numRef>
          </c:val>
          <c:smooth val="0"/>
          <c:extLst xmlns:c16r2="http://schemas.microsoft.com/office/drawing/2015/06/chart">
            <c:ext xmlns:c16="http://schemas.microsoft.com/office/drawing/2014/chart" uri="{C3380CC4-5D6E-409C-BE32-E72D297353CC}">
              <c16:uniqueId val="{00000000-D92B-4596-AF94-E42B95D50F55}"/>
            </c:ext>
          </c:extLst>
        </c:ser>
        <c:ser>
          <c:idx val="1"/>
          <c:order val="1"/>
          <c:tx>
            <c:strRef>
              <c:f>'Per Capita Income'!$G$11</c:f>
              <c:strCache>
                <c:ptCount val="1"/>
                <c:pt idx="0">
                  <c:v>Washington</c:v>
                </c:pt>
              </c:strCache>
            </c:strRef>
          </c:tx>
          <c:cat>
            <c:numRef>
              <c:f>'Per Capita Income'!$H$9:$Q$9</c:f>
              <c:numCache>
                <c:formatCode>General</c:formatCode>
                <c:ptCount val="10"/>
                <c:pt idx="0">
                  <c:v>2005</c:v>
                </c:pt>
                <c:pt idx="1">
                  <c:v>2006</c:v>
                </c:pt>
                <c:pt idx="2">
                  <c:v>2007</c:v>
                </c:pt>
                <c:pt idx="3">
                  <c:v>2008</c:v>
                </c:pt>
                <c:pt idx="4">
                  <c:v>2009</c:v>
                </c:pt>
                <c:pt idx="5">
                  <c:v>2010</c:v>
                </c:pt>
                <c:pt idx="6">
                  <c:v>2011</c:v>
                </c:pt>
                <c:pt idx="7">
                  <c:v>2012</c:v>
                </c:pt>
                <c:pt idx="8">
                  <c:v>2013</c:v>
                </c:pt>
                <c:pt idx="9">
                  <c:v>2014</c:v>
                </c:pt>
              </c:numCache>
            </c:numRef>
          </c:cat>
          <c:val>
            <c:numRef>
              <c:f>'Per Capita Income'!$H$11:$Q$11</c:f>
              <c:numCache>
                <c:formatCode>General</c:formatCode>
                <c:ptCount val="10"/>
                <c:pt idx="0">
                  <c:v>50004</c:v>
                </c:pt>
                <c:pt idx="1">
                  <c:v>53522</c:v>
                </c:pt>
                <c:pt idx="2">
                  <c:v>56141</c:v>
                </c:pt>
                <c:pt idx="3">
                  <c:v>57858</c:v>
                </c:pt>
                <c:pt idx="4">
                  <c:v>55458</c:v>
                </c:pt>
                <c:pt idx="5">
                  <c:v>54888</c:v>
                </c:pt>
                <c:pt idx="6">
                  <c:v>55500</c:v>
                </c:pt>
                <c:pt idx="7">
                  <c:v>56444</c:v>
                </c:pt>
                <c:pt idx="8">
                  <c:v>57554</c:v>
                </c:pt>
                <c:pt idx="9">
                  <c:v>58686</c:v>
                </c:pt>
              </c:numCache>
            </c:numRef>
          </c:val>
          <c:smooth val="0"/>
          <c:extLst xmlns:c16r2="http://schemas.microsoft.com/office/drawing/2015/06/chart">
            <c:ext xmlns:c16="http://schemas.microsoft.com/office/drawing/2014/chart" uri="{C3380CC4-5D6E-409C-BE32-E72D297353CC}">
              <c16:uniqueId val="{00000001-D92B-4596-AF94-E42B95D50F55}"/>
            </c:ext>
          </c:extLst>
        </c:ser>
        <c:dLbls>
          <c:showLegendKey val="0"/>
          <c:showVal val="0"/>
          <c:showCatName val="0"/>
          <c:showSerName val="0"/>
          <c:showPercent val="0"/>
          <c:showBubbleSize val="0"/>
        </c:dLbls>
        <c:marker val="1"/>
        <c:smooth val="0"/>
        <c:axId val="223969664"/>
        <c:axId val="223971200"/>
      </c:lineChart>
      <c:catAx>
        <c:axId val="223969664"/>
        <c:scaling>
          <c:orientation val="minMax"/>
        </c:scaling>
        <c:delete val="0"/>
        <c:axPos val="b"/>
        <c:numFmt formatCode="General" sourceLinked="1"/>
        <c:majorTickMark val="out"/>
        <c:minorTickMark val="none"/>
        <c:tickLblPos val="nextTo"/>
        <c:txPr>
          <a:bodyPr rot="-1800000"/>
          <a:lstStyle/>
          <a:p>
            <a:pPr>
              <a:defRPr sz="1000" b="0">
                <a:latin typeface="Calibri" panose="020F0502020204030204" pitchFamily="34" charset="0"/>
              </a:defRPr>
            </a:pPr>
            <a:endParaRPr lang="en-US"/>
          </a:p>
        </c:txPr>
        <c:crossAx val="223971200"/>
        <c:crosses val="autoZero"/>
        <c:auto val="1"/>
        <c:lblAlgn val="ctr"/>
        <c:lblOffset val="100"/>
        <c:noMultiLvlLbl val="0"/>
      </c:catAx>
      <c:valAx>
        <c:axId val="223971200"/>
        <c:scaling>
          <c:orientation val="minMax"/>
          <c:max val="70000"/>
          <c:min val="30000"/>
        </c:scaling>
        <c:delete val="0"/>
        <c:axPos val="l"/>
        <c:majorGridlines/>
        <c:numFmt formatCode="&quot;$&quot;#,##0" sourceLinked="0"/>
        <c:majorTickMark val="out"/>
        <c:minorTickMark val="none"/>
        <c:tickLblPos val="nextTo"/>
        <c:txPr>
          <a:bodyPr/>
          <a:lstStyle/>
          <a:p>
            <a:pPr>
              <a:defRPr sz="1000" b="0">
                <a:latin typeface="Calibri" panose="020F0502020204030204" pitchFamily="34" charset="0"/>
              </a:defRPr>
            </a:pPr>
            <a:endParaRPr lang="en-US"/>
          </a:p>
        </c:txPr>
        <c:crossAx val="223969664"/>
        <c:crosses val="autoZero"/>
        <c:crossBetween val="between"/>
      </c:valAx>
      <c:spPr>
        <a:ln>
          <a:solidFill>
            <a:schemeClr val="tx1"/>
          </a:solidFill>
        </a:ln>
      </c:spPr>
    </c:plotArea>
    <c:legend>
      <c:legendPos val="r"/>
      <c:layout>
        <c:manualLayout>
          <c:xMode val="edge"/>
          <c:yMode val="edge"/>
          <c:x val="0.53626498442080706"/>
          <c:y val="0.59096263452505327"/>
          <c:w val="0.30516328733762083"/>
          <c:h val="0.14819865963356521"/>
        </c:manualLayout>
      </c:layout>
      <c:overlay val="0"/>
      <c:spPr>
        <a:solidFill>
          <a:schemeClr val="bg1"/>
        </a:solidFill>
        <a:ln>
          <a:solidFill>
            <a:schemeClr val="tx1"/>
          </a:solidFill>
        </a:ln>
      </c:spPr>
      <c:txPr>
        <a:bodyPr/>
        <a:lstStyle/>
        <a:p>
          <a:pPr>
            <a:defRPr sz="1000" b="1">
              <a:latin typeface="Calibri" panose="020F0502020204030204" pitchFamily="34" charset="0"/>
            </a:defRPr>
          </a:pPr>
          <a:endParaRPr lang="en-US"/>
        </a:p>
      </c:txPr>
    </c:legend>
    <c:plotVisOnly val="1"/>
    <c:dispBlanksAs val="gap"/>
    <c:showDLblsOverMax val="0"/>
  </c:chart>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6228526228741955"/>
          <c:y val="0.13344800544556046"/>
          <c:w val="0.75947527107056823"/>
          <c:h val="0.68297790656461266"/>
        </c:manualLayout>
      </c:layout>
      <c:lineChart>
        <c:grouping val="standard"/>
        <c:varyColors val="0"/>
        <c:ser>
          <c:idx val="0"/>
          <c:order val="0"/>
          <c:tx>
            <c:strRef>
              <c:f>Housing!$B$3</c:f>
              <c:strCache>
                <c:ptCount val="1"/>
                <c:pt idx="0">
                  <c:v>Washington</c:v>
                </c:pt>
              </c:strCache>
            </c:strRef>
          </c:tx>
          <c:cat>
            <c:numRef>
              <c:f>Housing!$C$2:$Q$2</c:f>
              <c:numCache>
                <c:formatCode>General</c:formatCode>
                <c:ptCount val="15"/>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numCache>
            </c:numRef>
          </c:cat>
          <c:val>
            <c:numRef>
              <c:f>Housing!$C$3:$Q$3</c:f>
              <c:numCache>
                <c:formatCode>General</c:formatCode>
                <c:ptCount val="15"/>
                <c:pt idx="0">
                  <c:v>176300</c:v>
                </c:pt>
                <c:pt idx="1">
                  <c:v>179900</c:v>
                </c:pt>
                <c:pt idx="2">
                  <c:v>188500</c:v>
                </c:pt>
                <c:pt idx="3">
                  <c:v>203800</c:v>
                </c:pt>
                <c:pt idx="4">
                  <c:v>225000</c:v>
                </c:pt>
                <c:pt idx="5">
                  <c:v>260900</c:v>
                </c:pt>
                <c:pt idx="6">
                  <c:v>293800</c:v>
                </c:pt>
                <c:pt idx="7">
                  <c:v>309600</c:v>
                </c:pt>
                <c:pt idx="8">
                  <c:v>284400</c:v>
                </c:pt>
                <c:pt idx="9">
                  <c:v>250400</c:v>
                </c:pt>
                <c:pt idx="10">
                  <c:v>246300</c:v>
                </c:pt>
                <c:pt idx="11">
                  <c:v>224180</c:v>
                </c:pt>
                <c:pt idx="12">
                  <c:v>234200</c:v>
                </c:pt>
                <c:pt idx="13">
                  <c:v>253300</c:v>
                </c:pt>
                <c:pt idx="14">
                  <c:v>268400</c:v>
                </c:pt>
              </c:numCache>
            </c:numRef>
          </c:val>
          <c:smooth val="0"/>
          <c:extLst xmlns:c16r2="http://schemas.microsoft.com/office/drawing/2015/06/chart">
            <c:ext xmlns:c16="http://schemas.microsoft.com/office/drawing/2014/chart" uri="{C3380CC4-5D6E-409C-BE32-E72D297353CC}">
              <c16:uniqueId val="{00000000-6733-46E0-8AE0-395DAB11F8D8}"/>
            </c:ext>
          </c:extLst>
        </c:ser>
        <c:dLbls>
          <c:showLegendKey val="0"/>
          <c:showVal val="0"/>
          <c:showCatName val="0"/>
          <c:showSerName val="0"/>
          <c:showPercent val="0"/>
          <c:showBubbleSize val="0"/>
        </c:dLbls>
        <c:marker val="1"/>
        <c:smooth val="0"/>
        <c:axId val="224003968"/>
        <c:axId val="224005504"/>
      </c:lineChart>
      <c:catAx>
        <c:axId val="224003968"/>
        <c:scaling>
          <c:orientation val="minMax"/>
        </c:scaling>
        <c:delete val="0"/>
        <c:axPos val="b"/>
        <c:numFmt formatCode="General" sourceLinked="1"/>
        <c:majorTickMark val="out"/>
        <c:minorTickMark val="none"/>
        <c:tickLblPos val="nextTo"/>
        <c:txPr>
          <a:bodyPr rot="-2700000"/>
          <a:lstStyle/>
          <a:p>
            <a:pPr>
              <a:defRPr sz="1000" b="0">
                <a:latin typeface="Calibri" panose="020F0502020204030204" pitchFamily="34" charset="0"/>
              </a:defRPr>
            </a:pPr>
            <a:endParaRPr lang="en-US"/>
          </a:p>
        </c:txPr>
        <c:crossAx val="224005504"/>
        <c:crosses val="autoZero"/>
        <c:auto val="1"/>
        <c:lblAlgn val="ctr"/>
        <c:lblOffset val="100"/>
        <c:noMultiLvlLbl val="0"/>
      </c:catAx>
      <c:valAx>
        <c:axId val="224005504"/>
        <c:scaling>
          <c:orientation val="minMax"/>
        </c:scaling>
        <c:delete val="0"/>
        <c:axPos val="l"/>
        <c:majorGridlines/>
        <c:numFmt formatCode="&quot;$&quot;#,##0" sourceLinked="0"/>
        <c:majorTickMark val="out"/>
        <c:minorTickMark val="none"/>
        <c:tickLblPos val="nextTo"/>
        <c:txPr>
          <a:bodyPr/>
          <a:lstStyle/>
          <a:p>
            <a:pPr>
              <a:defRPr sz="1000" b="0">
                <a:latin typeface="Calibri" panose="020F0502020204030204" pitchFamily="34" charset="0"/>
              </a:defRPr>
            </a:pPr>
            <a:endParaRPr lang="en-US"/>
          </a:p>
        </c:txPr>
        <c:crossAx val="224003968"/>
        <c:crosses val="autoZero"/>
        <c:crossBetween val="between"/>
      </c:valAx>
      <c:spPr>
        <a:ln>
          <a:solidFill>
            <a:schemeClr val="tx1"/>
          </a:solidFill>
        </a:ln>
      </c:spPr>
    </c:plotArea>
    <c:plotVisOnly val="1"/>
    <c:dispBlanksAs val="gap"/>
    <c:showDLblsOverMax val="0"/>
  </c:chart>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0904888622024501"/>
          <c:y val="0.1009885504119009"/>
          <c:w val="0.66720561143028712"/>
          <c:h val="0.6688590799114279"/>
        </c:manualLayout>
      </c:layout>
      <c:lineChart>
        <c:grouping val="standard"/>
        <c:varyColors val="0"/>
        <c:ser>
          <c:idx val="1"/>
          <c:order val="1"/>
          <c:tx>
            <c:strRef>
              <c:f>Housing!$A$21</c:f>
              <c:strCache>
                <c:ptCount val="1"/>
                <c:pt idx="0">
                  <c:v>SFR Value</c:v>
                </c:pt>
              </c:strCache>
            </c:strRef>
          </c:tx>
          <c:cat>
            <c:numRef>
              <c:f>Housing!$B$19:$K$19</c:f>
              <c:numCache>
                <c:formatCode>General</c:formatCode>
                <c:ptCount val="10"/>
                <c:pt idx="0">
                  <c:v>2005</c:v>
                </c:pt>
                <c:pt idx="1">
                  <c:v>2006</c:v>
                </c:pt>
                <c:pt idx="2">
                  <c:v>2007</c:v>
                </c:pt>
                <c:pt idx="3">
                  <c:v>2008</c:v>
                </c:pt>
                <c:pt idx="4">
                  <c:v>2009</c:v>
                </c:pt>
                <c:pt idx="5">
                  <c:v>2010</c:v>
                </c:pt>
                <c:pt idx="6">
                  <c:v>2011</c:v>
                </c:pt>
                <c:pt idx="7">
                  <c:v>2012</c:v>
                </c:pt>
                <c:pt idx="8">
                  <c:v>2013</c:v>
                </c:pt>
                <c:pt idx="9">
                  <c:v>2014</c:v>
                </c:pt>
              </c:numCache>
            </c:numRef>
          </c:cat>
          <c:val>
            <c:numRef>
              <c:f>Housing!$B$21:$K$21</c:f>
              <c:numCache>
                <c:formatCode>General</c:formatCode>
                <c:ptCount val="10"/>
                <c:pt idx="0">
                  <c:v>165638000</c:v>
                </c:pt>
                <c:pt idx="1">
                  <c:v>133250000</c:v>
                </c:pt>
                <c:pt idx="2">
                  <c:v>106192000</c:v>
                </c:pt>
                <c:pt idx="3">
                  <c:v>77891000</c:v>
                </c:pt>
                <c:pt idx="4">
                  <c:v>96228000</c:v>
                </c:pt>
                <c:pt idx="5">
                  <c:v>111392000</c:v>
                </c:pt>
                <c:pt idx="6">
                  <c:v>105577000</c:v>
                </c:pt>
                <c:pt idx="7">
                  <c:v>72768000</c:v>
                </c:pt>
                <c:pt idx="8">
                  <c:v>50396000</c:v>
                </c:pt>
                <c:pt idx="9">
                  <c:v>53923000</c:v>
                </c:pt>
              </c:numCache>
            </c:numRef>
          </c:val>
          <c:smooth val="0"/>
          <c:extLst xmlns:c16r2="http://schemas.microsoft.com/office/drawing/2015/06/chart">
            <c:ext xmlns:c16="http://schemas.microsoft.com/office/drawing/2014/chart" uri="{C3380CC4-5D6E-409C-BE32-E72D297353CC}">
              <c16:uniqueId val="{00000000-CC26-4B4A-BAB0-17A02EF8A888}"/>
            </c:ext>
          </c:extLst>
        </c:ser>
        <c:dLbls>
          <c:showLegendKey val="0"/>
          <c:showVal val="0"/>
          <c:showCatName val="0"/>
          <c:showSerName val="0"/>
          <c:showPercent val="0"/>
          <c:showBubbleSize val="0"/>
        </c:dLbls>
        <c:marker val="1"/>
        <c:smooth val="0"/>
        <c:axId val="224017024"/>
        <c:axId val="224018816"/>
      </c:lineChart>
      <c:lineChart>
        <c:grouping val="standard"/>
        <c:varyColors val="0"/>
        <c:ser>
          <c:idx val="0"/>
          <c:order val="0"/>
          <c:tx>
            <c:strRef>
              <c:f>Housing!$A$20</c:f>
              <c:strCache>
                <c:ptCount val="1"/>
                <c:pt idx="0">
                  <c:v>SFR Permits</c:v>
                </c:pt>
              </c:strCache>
            </c:strRef>
          </c:tx>
          <c:cat>
            <c:numRef>
              <c:f>Housing!$B$19:$K$19</c:f>
              <c:numCache>
                <c:formatCode>General</c:formatCode>
                <c:ptCount val="10"/>
                <c:pt idx="0">
                  <c:v>2005</c:v>
                </c:pt>
                <c:pt idx="1">
                  <c:v>2006</c:v>
                </c:pt>
                <c:pt idx="2">
                  <c:v>2007</c:v>
                </c:pt>
                <c:pt idx="3">
                  <c:v>2008</c:v>
                </c:pt>
                <c:pt idx="4">
                  <c:v>2009</c:v>
                </c:pt>
                <c:pt idx="5">
                  <c:v>2010</c:v>
                </c:pt>
                <c:pt idx="6">
                  <c:v>2011</c:v>
                </c:pt>
                <c:pt idx="7">
                  <c:v>2012</c:v>
                </c:pt>
                <c:pt idx="8">
                  <c:v>2013</c:v>
                </c:pt>
                <c:pt idx="9">
                  <c:v>2014</c:v>
                </c:pt>
              </c:numCache>
            </c:numRef>
          </c:cat>
          <c:val>
            <c:numRef>
              <c:f>Housing!$B$20:$K$20</c:f>
              <c:numCache>
                <c:formatCode>General</c:formatCode>
                <c:ptCount val="10"/>
                <c:pt idx="0">
                  <c:v>1027</c:v>
                </c:pt>
                <c:pt idx="1">
                  <c:v>744</c:v>
                </c:pt>
                <c:pt idx="2">
                  <c:v>524</c:v>
                </c:pt>
                <c:pt idx="3">
                  <c:v>404</c:v>
                </c:pt>
                <c:pt idx="4">
                  <c:v>476</c:v>
                </c:pt>
                <c:pt idx="5">
                  <c:v>544</c:v>
                </c:pt>
                <c:pt idx="6">
                  <c:v>492</c:v>
                </c:pt>
                <c:pt idx="7">
                  <c:v>338</c:v>
                </c:pt>
                <c:pt idx="8">
                  <c:v>220</c:v>
                </c:pt>
                <c:pt idx="9">
                  <c:v>223</c:v>
                </c:pt>
              </c:numCache>
            </c:numRef>
          </c:val>
          <c:smooth val="0"/>
          <c:extLst xmlns:c16r2="http://schemas.microsoft.com/office/drawing/2015/06/chart">
            <c:ext xmlns:c16="http://schemas.microsoft.com/office/drawing/2014/chart" uri="{C3380CC4-5D6E-409C-BE32-E72D297353CC}">
              <c16:uniqueId val="{00000001-CC26-4B4A-BAB0-17A02EF8A888}"/>
            </c:ext>
          </c:extLst>
        </c:ser>
        <c:ser>
          <c:idx val="2"/>
          <c:order val="2"/>
          <c:tx>
            <c:strRef>
              <c:f>Housing!$A$26</c:f>
              <c:strCache>
                <c:ptCount val="1"/>
                <c:pt idx="0">
                  <c:v>Commercial/Industrial Permits</c:v>
                </c:pt>
              </c:strCache>
            </c:strRef>
          </c:tx>
          <c:cat>
            <c:numRef>
              <c:f>Housing!$B$19:$K$19</c:f>
              <c:numCache>
                <c:formatCode>General</c:formatCode>
                <c:ptCount val="10"/>
                <c:pt idx="0">
                  <c:v>2005</c:v>
                </c:pt>
                <c:pt idx="1">
                  <c:v>2006</c:v>
                </c:pt>
                <c:pt idx="2">
                  <c:v>2007</c:v>
                </c:pt>
                <c:pt idx="3">
                  <c:v>2008</c:v>
                </c:pt>
                <c:pt idx="4">
                  <c:v>2009</c:v>
                </c:pt>
                <c:pt idx="5">
                  <c:v>2010</c:v>
                </c:pt>
                <c:pt idx="6">
                  <c:v>2011</c:v>
                </c:pt>
                <c:pt idx="7">
                  <c:v>2012</c:v>
                </c:pt>
                <c:pt idx="8">
                  <c:v>2013</c:v>
                </c:pt>
                <c:pt idx="9">
                  <c:v>2014</c:v>
                </c:pt>
              </c:numCache>
            </c:numRef>
          </c:cat>
          <c:val>
            <c:numRef>
              <c:f>Housing!$B$26:$K$26</c:f>
              <c:numCache>
                <c:formatCode>General</c:formatCode>
                <c:ptCount val="10"/>
                <c:pt idx="0">
                  <c:v>357</c:v>
                </c:pt>
                <c:pt idx="1">
                  <c:v>377</c:v>
                </c:pt>
                <c:pt idx="2">
                  <c:v>310</c:v>
                </c:pt>
                <c:pt idx="3">
                  <c:v>274</c:v>
                </c:pt>
                <c:pt idx="4">
                  <c:v>351</c:v>
                </c:pt>
                <c:pt idx="5">
                  <c:v>279</c:v>
                </c:pt>
                <c:pt idx="6">
                  <c:v>317</c:v>
                </c:pt>
                <c:pt idx="7">
                  <c:v>382</c:v>
                </c:pt>
                <c:pt idx="8">
                  <c:v>408</c:v>
                </c:pt>
                <c:pt idx="9">
                  <c:v>371</c:v>
                </c:pt>
              </c:numCache>
            </c:numRef>
          </c:val>
          <c:smooth val="0"/>
          <c:extLst xmlns:c16r2="http://schemas.microsoft.com/office/drawing/2015/06/chart">
            <c:ext xmlns:c16="http://schemas.microsoft.com/office/drawing/2014/chart" uri="{C3380CC4-5D6E-409C-BE32-E72D297353CC}">
              <c16:uniqueId val="{00000002-CC26-4B4A-BAB0-17A02EF8A888}"/>
            </c:ext>
          </c:extLst>
        </c:ser>
        <c:dLbls>
          <c:showLegendKey val="0"/>
          <c:showVal val="0"/>
          <c:showCatName val="0"/>
          <c:showSerName val="0"/>
          <c:showPercent val="0"/>
          <c:showBubbleSize val="0"/>
        </c:dLbls>
        <c:marker val="1"/>
        <c:smooth val="0"/>
        <c:axId val="224027008"/>
        <c:axId val="224021120"/>
      </c:lineChart>
      <c:catAx>
        <c:axId val="224017024"/>
        <c:scaling>
          <c:orientation val="minMax"/>
        </c:scaling>
        <c:delete val="0"/>
        <c:axPos val="b"/>
        <c:numFmt formatCode="General" sourceLinked="1"/>
        <c:majorTickMark val="out"/>
        <c:minorTickMark val="none"/>
        <c:tickLblPos val="nextTo"/>
        <c:txPr>
          <a:bodyPr rot="-1800000"/>
          <a:lstStyle/>
          <a:p>
            <a:pPr>
              <a:defRPr sz="1000" b="0">
                <a:latin typeface="Calibri" panose="020F0502020204030204" pitchFamily="34" charset="0"/>
              </a:defRPr>
            </a:pPr>
            <a:endParaRPr lang="en-US"/>
          </a:p>
        </c:txPr>
        <c:crossAx val="224018816"/>
        <c:crosses val="autoZero"/>
        <c:auto val="1"/>
        <c:lblAlgn val="ctr"/>
        <c:lblOffset val="100"/>
        <c:noMultiLvlLbl val="0"/>
      </c:catAx>
      <c:valAx>
        <c:axId val="224018816"/>
        <c:scaling>
          <c:orientation val="minMax"/>
        </c:scaling>
        <c:delete val="0"/>
        <c:axPos val="l"/>
        <c:majorGridlines/>
        <c:title>
          <c:tx>
            <c:rich>
              <a:bodyPr rot="-5400000" vert="horz"/>
              <a:lstStyle/>
              <a:p>
                <a:pPr>
                  <a:defRPr sz="1000"/>
                </a:pPr>
                <a:r>
                  <a:rPr lang="en-US" sz="1000"/>
                  <a:t>Total Permit Value (Thousands)</a:t>
                </a:r>
              </a:p>
            </c:rich>
          </c:tx>
          <c:layout>
            <c:manualLayout>
              <c:xMode val="edge"/>
              <c:yMode val="edge"/>
              <c:x val="3.0615592461687519E-2"/>
              <c:y val="0.17616002405740888"/>
            </c:manualLayout>
          </c:layout>
          <c:overlay val="0"/>
        </c:title>
        <c:numFmt formatCode="&quot;$&quot;#,##0" sourceLinked="0"/>
        <c:majorTickMark val="out"/>
        <c:minorTickMark val="none"/>
        <c:tickLblPos val="nextTo"/>
        <c:txPr>
          <a:bodyPr/>
          <a:lstStyle/>
          <a:p>
            <a:pPr>
              <a:defRPr sz="1000" b="0">
                <a:latin typeface="Calibri" panose="020F0502020204030204" pitchFamily="34" charset="0"/>
              </a:defRPr>
            </a:pPr>
            <a:endParaRPr lang="en-US"/>
          </a:p>
        </c:txPr>
        <c:crossAx val="224017024"/>
        <c:crosses val="autoZero"/>
        <c:crossBetween val="between"/>
        <c:dispUnits>
          <c:builtInUnit val="thousands"/>
        </c:dispUnits>
      </c:valAx>
      <c:valAx>
        <c:axId val="224021120"/>
        <c:scaling>
          <c:orientation val="minMax"/>
        </c:scaling>
        <c:delete val="0"/>
        <c:axPos val="r"/>
        <c:numFmt formatCode="#,##0" sourceLinked="0"/>
        <c:majorTickMark val="out"/>
        <c:minorTickMark val="none"/>
        <c:tickLblPos val="nextTo"/>
        <c:txPr>
          <a:bodyPr/>
          <a:lstStyle/>
          <a:p>
            <a:pPr>
              <a:defRPr sz="1000" b="0">
                <a:latin typeface="Calibri" panose="020F0502020204030204" pitchFamily="34" charset="0"/>
              </a:defRPr>
            </a:pPr>
            <a:endParaRPr lang="en-US"/>
          </a:p>
        </c:txPr>
        <c:crossAx val="224027008"/>
        <c:crosses val="max"/>
        <c:crossBetween val="between"/>
      </c:valAx>
      <c:catAx>
        <c:axId val="224027008"/>
        <c:scaling>
          <c:orientation val="minMax"/>
        </c:scaling>
        <c:delete val="1"/>
        <c:axPos val="b"/>
        <c:numFmt formatCode="General" sourceLinked="1"/>
        <c:majorTickMark val="out"/>
        <c:minorTickMark val="none"/>
        <c:tickLblPos val="nextTo"/>
        <c:crossAx val="224021120"/>
        <c:crosses val="autoZero"/>
        <c:auto val="1"/>
        <c:lblAlgn val="ctr"/>
        <c:lblOffset val="100"/>
        <c:noMultiLvlLbl val="0"/>
      </c:catAx>
    </c:plotArea>
    <c:legend>
      <c:legendPos val="r"/>
      <c:layout>
        <c:manualLayout>
          <c:xMode val="edge"/>
          <c:yMode val="edge"/>
          <c:x val="2.7035849288336359E-2"/>
          <c:y val="0.90994711598889699"/>
          <c:w val="0.94754531766718064"/>
          <c:h val="6.7751325330642528E-2"/>
        </c:manualLayout>
      </c:layout>
      <c:overlay val="0"/>
      <c:txPr>
        <a:bodyPr/>
        <a:lstStyle/>
        <a:p>
          <a:pPr>
            <a:defRPr sz="1000" b="1">
              <a:latin typeface="Calibri" panose="020F0502020204030204" pitchFamily="34" charset="0"/>
            </a:defRPr>
          </a:pPr>
          <a:endParaRPr lang="en-US"/>
        </a:p>
      </c:txPr>
    </c:legend>
    <c:plotVisOnly val="1"/>
    <c:dispBlanksAs val="gap"/>
    <c:showDLblsOverMax val="0"/>
  </c:chart>
  <c:externalData r:id="rId2">
    <c:autoUpdate val="0"/>
  </c:externalData>
</c:chartSpace>
</file>

<file path=word/drawings/drawing1.xml><?xml version="1.0" encoding="utf-8"?>
<c:userShapes xmlns:c="http://schemas.openxmlformats.org/drawingml/2006/chart">
  <cdr:relSizeAnchor xmlns:cdr="http://schemas.openxmlformats.org/drawingml/2006/chartDrawing">
    <cdr:from>
      <cdr:x>0.15928</cdr:x>
      <cdr:y>0.53324</cdr:y>
    </cdr:from>
    <cdr:to>
      <cdr:x>0.55172</cdr:x>
      <cdr:y>0.65536</cdr:y>
    </cdr:to>
    <cdr:grpSp>
      <cdr:nvGrpSpPr>
        <cdr:cNvPr id="11" name="Group 10"/>
        <cdr:cNvGrpSpPr/>
      </cdr:nvGrpSpPr>
      <cdr:grpSpPr>
        <a:xfrm xmlns:a="http://schemas.openxmlformats.org/drawingml/2006/main">
          <a:off x="830168" y="1787856"/>
          <a:ext cx="2045463" cy="409433"/>
          <a:chOff x="830168" y="1787856"/>
          <a:chExt cx="2045463" cy="409433"/>
        </a:xfrm>
      </cdr:grpSpPr>
      <cdr:sp macro="" textlink="">
        <cdr:nvSpPr>
          <cdr:cNvPr id="2" name="TextBox 1"/>
          <cdr:cNvSpPr txBox="1"/>
        </cdr:nvSpPr>
        <cdr:spPr>
          <a:xfrm xmlns:a="http://schemas.openxmlformats.org/drawingml/2006/main">
            <a:off x="1240973" y="1787856"/>
            <a:ext cx="1242920" cy="409433"/>
          </a:xfrm>
          <a:prstGeom xmlns:a="http://schemas.openxmlformats.org/drawingml/2006/main" prst="rect">
            <a:avLst/>
          </a:prstGeom>
          <a:solidFill xmlns:a="http://schemas.openxmlformats.org/drawingml/2006/main">
            <a:schemeClr val="bg1"/>
          </a:solidFill>
          <a:ln xmlns:a="http://schemas.openxmlformats.org/drawingml/2006/main" w="15875">
            <a:solidFill>
              <a:schemeClr val="tx1"/>
            </a:solidFill>
          </a:ln>
        </cdr:spPr>
        <cdr:txBody>
          <a:bodyPr xmlns:a="http://schemas.openxmlformats.org/drawingml/2006/main" vertOverflow="clip" wrap="square" rtlCol="0"/>
          <a:lstStyle xmlns:a="http://schemas.openxmlformats.org/drawingml/2006/main"/>
          <a:p xmlns:a="http://schemas.openxmlformats.org/drawingml/2006/main">
            <a:r>
              <a:rPr lang="en-US" sz="800" b="1">
                <a:latin typeface="Calibri" panose="020F0502020204030204" pitchFamily="34" charset="0"/>
              </a:rPr>
              <a:t>Pre-Recession</a:t>
            </a:r>
            <a:r>
              <a:rPr lang="en-US" sz="800" b="1"/>
              <a:t>  Nine-Year</a:t>
            </a:r>
          </a:p>
          <a:p xmlns:a="http://schemas.openxmlformats.org/drawingml/2006/main">
            <a:r>
              <a:rPr lang="en-US" sz="800" b="1"/>
              <a:t>Average CPI-U  2.73%</a:t>
            </a:r>
          </a:p>
        </cdr:txBody>
      </cdr:sp>
      <cdr:cxnSp macro="">
        <cdr:nvCxnSpPr>
          <cdr:cNvPr id="4" name="Straight Arrow Connector 3"/>
          <cdr:cNvCxnSpPr>
            <a:stCxn xmlns:a="http://schemas.openxmlformats.org/drawingml/2006/main" id="2" idx="3"/>
          </cdr:cNvCxnSpPr>
        </cdr:nvCxnSpPr>
        <cdr:spPr>
          <a:xfrm xmlns:a="http://schemas.openxmlformats.org/drawingml/2006/main">
            <a:off x="2483893" y="1992573"/>
            <a:ext cx="391738" cy="2917"/>
          </a:xfrm>
          <a:prstGeom xmlns:a="http://schemas.openxmlformats.org/drawingml/2006/main" prst="straightConnector1">
            <a:avLst/>
          </a:prstGeom>
          <a:ln xmlns:a="http://schemas.openxmlformats.org/drawingml/2006/main" w="15875">
            <a:solidFill>
              <a:schemeClr val="tx1"/>
            </a:solidFill>
            <a:tailEnd type="stealth" w="lg" len="lg"/>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cxnSp macro="">
        <cdr:nvCxnSpPr>
          <cdr:cNvPr id="5" name="Straight Arrow Connector 4"/>
          <cdr:cNvCxnSpPr>
            <a:endCxn xmlns:a="http://schemas.openxmlformats.org/drawingml/2006/main" id="2" idx="1"/>
          </cdr:cNvCxnSpPr>
        </cdr:nvCxnSpPr>
        <cdr:spPr>
          <a:xfrm xmlns:a="http://schemas.openxmlformats.org/drawingml/2006/main" flipV="1">
            <a:off x="830168" y="1992573"/>
            <a:ext cx="410805" cy="2916"/>
          </a:xfrm>
          <a:prstGeom xmlns:a="http://schemas.openxmlformats.org/drawingml/2006/main" prst="straightConnector1">
            <a:avLst/>
          </a:prstGeom>
          <a:ln xmlns:a="http://schemas.openxmlformats.org/drawingml/2006/main" w="15875">
            <a:solidFill>
              <a:schemeClr val="tx1"/>
            </a:solidFill>
            <a:headEnd type="stealth" w="lg" len="lg"/>
            <a:tailEnd type="none" w="lg" len="lg"/>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grpSp>
  </cdr:relSizeAnchor>
</c:userShapes>
</file>

<file path=word/drawings/drawing2.xml><?xml version="1.0" encoding="utf-8"?>
<c:userShapes xmlns:c="http://schemas.openxmlformats.org/drawingml/2006/chart">
  <cdr:relSizeAnchor xmlns:cdr="http://schemas.openxmlformats.org/drawingml/2006/chartDrawing">
    <cdr:from>
      <cdr:x>0.43024</cdr:x>
      <cdr:y>0.1867</cdr:y>
    </cdr:from>
    <cdr:to>
      <cdr:x>0.74167</cdr:x>
      <cdr:y>0.3819</cdr:y>
    </cdr:to>
    <cdr:sp macro="" textlink="">
      <cdr:nvSpPr>
        <cdr:cNvPr id="2" name="Rounded Rectangular Callout 1"/>
        <cdr:cNvSpPr/>
      </cdr:nvSpPr>
      <cdr:spPr>
        <a:xfrm xmlns:a="http://schemas.openxmlformats.org/drawingml/2006/main">
          <a:off x="2163777" y="597529"/>
          <a:ext cx="1566250" cy="624689"/>
        </a:xfrm>
        <a:prstGeom xmlns:a="http://schemas.openxmlformats.org/drawingml/2006/main" prst="wedgeRoundRectCallout">
          <a:avLst>
            <a:gd name="adj1" fmla="val -84855"/>
            <a:gd name="adj2" fmla="val -90448"/>
            <a:gd name="adj3" fmla="val 16667"/>
          </a:avLst>
        </a:prstGeom>
        <a:solidFill xmlns:a="http://schemas.openxmlformats.org/drawingml/2006/main">
          <a:schemeClr val="accent2"/>
        </a:solidFill>
        <a:ln xmlns:a="http://schemas.openxmlformats.org/drawingml/2006/main" w="25400">
          <a:solidFill>
            <a:schemeClr val="accent2">
              <a:lumMod val="75000"/>
            </a:schemeClr>
          </a:solidFill>
        </a:ln>
      </cdr:spPr>
      <cdr:style>
        <a:lnRef xmlns:a="http://schemas.openxmlformats.org/drawingml/2006/main" idx="1">
          <a:schemeClr val="accent1"/>
        </a:lnRef>
        <a:fillRef xmlns:a="http://schemas.openxmlformats.org/drawingml/2006/main" idx="3">
          <a:schemeClr val="accent1"/>
        </a:fillRef>
        <a:effectRef xmlns:a="http://schemas.openxmlformats.org/drawingml/2006/main" idx="2">
          <a:schemeClr val="accent1"/>
        </a:effectRef>
        <a:fontRef xmlns:a="http://schemas.openxmlformats.org/drawingml/2006/main" idx="minor">
          <a:schemeClr val="lt1"/>
        </a:fontRef>
      </cdr:style>
      <cdr:txBody>
        <a:bodyPr xmlns:a="http://schemas.openxmlformats.org/drawingml/2006/main" vertOverflow="clip" wrap="square" lIns="45720" rIns="45720" anchor="ctr" anchorCtr="0">
          <a:noAutofit/>
        </a:bodyPr>
        <a:lstStyle xmlns:a="http://schemas.openxmlformats.org/drawingml/2006/main"/>
        <a:p xmlns:a="http://schemas.openxmlformats.org/drawingml/2006/main">
          <a:pPr algn="ctr"/>
          <a:r>
            <a:rPr lang="en-US" sz="950" b="1">
              <a:latin typeface="Calibri" panose="020F0502020204030204" pitchFamily="34" charset="0"/>
            </a:rPr>
            <a:t>90th Percentile Response Time-Dispatched to First</a:t>
          </a:r>
          <a:r>
            <a:rPr lang="en-US" sz="950" b="1" baseline="0">
              <a:latin typeface="Calibri" panose="020F0502020204030204" pitchFamily="34" charset="0"/>
            </a:rPr>
            <a:t> On Scene</a:t>
          </a:r>
          <a:r>
            <a:rPr lang="en-US" sz="950" b="1">
              <a:latin typeface="Calibri" panose="020F0502020204030204" pitchFamily="34" charset="0"/>
            </a:rPr>
            <a:t>: </a:t>
          </a:r>
          <a:r>
            <a:rPr lang="en-US" sz="950" b="1" baseline="0">
              <a:latin typeface="Calibri" panose="020F0502020204030204" pitchFamily="34" charset="0"/>
            </a:rPr>
            <a:t> </a:t>
          </a:r>
          <a:r>
            <a:rPr lang="en-US" sz="950" b="1">
              <a:latin typeface="Calibri" panose="020F0502020204030204" pitchFamily="34" charset="0"/>
            </a:rPr>
            <a:t>07:15</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9ADC0ED-E2A3-4848-813E-5E652D075F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76</Pages>
  <Words>52960</Words>
  <Characters>301875</Characters>
  <Application>Microsoft Office Word</Application>
  <DocSecurity>0</DocSecurity>
  <Lines>2515</Lines>
  <Paragraphs>708</Paragraphs>
  <ScaleCrop>false</ScaleCrop>
  <HeadingPairs>
    <vt:vector size="2" baseType="variant">
      <vt:variant>
        <vt:lpstr>Title</vt:lpstr>
      </vt:variant>
      <vt:variant>
        <vt:i4>1</vt:i4>
      </vt:variant>
    </vt:vector>
  </HeadingPairs>
  <TitlesOfParts>
    <vt:vector size="1" baseType="lpstr">
      <vt:lpstr>Pasco FD Master Plan</vt:lpstr>
    </vt:vector>
  </TitlesOfParts>
  <Manager>Don Bivins</Manager>
  <Company>Emergency Services Consulting inc.</Company>
  <LinksUpToDate>false</LinksUpToDate>
  <CharactersWithSpaces>354127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Pasco FD Master Plan</dc:title>
  <dc:subject>Pasco Master Plan</dc:subject>
  <dc:creator>ESCi Team</dc:creator>
  <cp:lastModifiedBy>David Hare</cp:lastModifiedBy>
  <cp:revision>2</cp:revision>
  <cp:lastPrinted>2016-01-28T18:36:00Z</cp:lastPrinted>
  <dcterms:created xsi:type="dcterms:W3CDTF">2016-10-20T16:10:00Z</dcterms:created>
  <dcterms:modified xsi:type="dcterms:W3CDTF">2016-10-20T16:10:00Z</dcterms:modified>
</cp:coreProperties>
</file>