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73C" w:rsidRDefault="0040273C">
      <w:pPr>
        <w:rPr>
          <w:rFonts w:ascii="Bookman Old Style" w:hAnsi="Bookman Old Style"/>
          <w:color w:val="000000" w:themeColor="text1"/>
        </w:rPr>
      </w:pPr>
    </w:p>
    <w:sdt>
      <w:sdtPr>
        <w:rPr>
          <w:rFonts w:ascii="Bookman Old Style" w:hAnsi="Bookman Old Style"/>
          <w:color w:val="000000" w:themeColor="text1"/>
        </w:rPr>
        <w:id w:val="1189875573"/>
        <w:docPartObj>
          <w:docPartGallery w:val="Cover Pages"/>
          <w:docPartUnique/>
        </w:docPartObj>
      </w:sdtPr>
      <w:sdtContent>
        <w:p w:rsidR="00DC7A89" w:rsidRDefault="00DC7A89">
          <w:pPr>
            <w:rPr>
              <w:rFonts w:ascii="Bookman Old Style" w:hAnsi="Bookman Old Style"/>
              <w:color w:val="000000" w:themeColor="text1"/>
            </w:rPr>
          </w:pPr>
          <w:r w:rsidRPr="00DC7A89">
            <w:rPr>
              <w:rFonts w:ascii="Bookman Old Style" w:hAnsi="Bookman Old Style"/>
              <w:noProof/>
              <w:color w:val="000000" w:themeColor="text1"/>
            </w:rPr>
            <mc:AlternateContent>
              <mc:Choice Requires="wpg">
                <w:drawing>
                  <wp:anchor distT="0" distB="0" distL="114300" distR="114300" simplePos="0" relativeHeight="251668480" behindDoc="0" locked="0" layoutInCell="0" allowOverlap="1" wp14:anchorId="3CF80011" wp14:editId="11275635">
                    <wp:simplePos x="0" y="0"/>
                    <wp:positionH relativeFrom="page">
                      <wp:align>center</wp:align>
                    </wp:positionH>
                    <wp:positionV relativeFrom="margin">
                      <wp:align>center</wp:align>
                    </wp:positionV>
                    <wp:extent cx="7772400" cy="8228965"/>
                    <wp:effectExtent l="38100" t="0" r="38100" b="3810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72"/>
                                      <w:szCs w:val="72"/>
                                    </w:rPr>
                                    <w:alias w:val="Company"/>
                                    <w:id w:val="15866524"/>
                                    <w:dataBinding w:prefixMappings="xmlns:ns0='http://schemas.openxmlformats.org/officeDocument/2006/extended-properties'" w:xpath="/ns0:Properties[1]/ns0:Company[1]" w:storeItemID="{6668398D-A668-4E3E-A5EB-62B293D839F1}"/>
                                    <w:text/>
                                  </w:sdtPr>
                                  <w:sdtContent>
                                    <w:p w:rsidR="005D21C5" w:rsidRPr="00811B8D" w:rsidRDefault="005D21C5">
                                      <w:pPr>
                                        <w:spacing w:after="0"/>
                                        <w:rPr>
                                          <w:b/>
                                          <w:bCs/>
                                          <w:color w:val="000000" w:themeColor="text1"/>
                                          <w:sz w:val="72"/>
                                          <w:szCs w:val="72"/>
                                        </w:rPr>
                                      </w:pPr>
                                      <w:r w:rsidRPr="00811B8D">
                                        <w:rPr>
                                          <w:b/>
                                          <w:bCs/>
                                          <w:color w:val="000000" w:themeColor="text1"/>
                                          <w:sz w:val="72"/>
                                          <w:szCs w:val="72"/>
                                        </w:rPr>
                                        <w:t>City of Pasco</w:t>
                                      </w:r>
                                    </w:p>
                                  </w:sdtContent>
                                </w:sdt>
                                <w:p w:rsidR="005D21C5" w:rsidRPr="00811B8D" w:rsidRDefault="005D21C5">
                                  <w:pPr>
                                    <w:spacing w:after="0"/>
                                    <w:rPr>
                                      <w:b/>
                                      <w:bCs/>
                                      <w:color w:val="000000" w:themeColor="text1"/>
                                      <w:sz w:val="72"/>
                                      <w:szCs w:val="7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5D21C5" w:rsidRPr="00811B8D" w:rsidRDefault="005D21C5" w:rsidP="00DC7A89">
                                  <w:pPr>
                                    <w:jc w:val="center"/>
                                    <w:rPr>
                                      <w:sz w:val="72"/>
                                      <w:szCs w:val="72"/>
                                      <w14:numForm w14:val="oldStyle"/>
                                    </w:rPr>
                                  </w:pPr>
                                  <w:r w:rsidRPr="00811B8D">
                                    <w:rPr>
                                      <w:sz w:val="72"/>
                                      <w:szCs w:val="72"/>
                                      <w14:numForm w14:val="oldStyle"/>
                                    </w:rPr>
                                    <w:t>2017</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647" y="3510"/>
                                <a:ext cx="8638" cy="627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Calibri" w:eastAsia="Calibri" w:hAnsi="Calibri" w:cs="Times New Roman"/>
                                      <w:b/>
                                      <w:bCs/>
                                      <w:color w:val="4F81BD" w:themeColor="accent1"/>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5D21C5" w:rsidRPr="00811B8D" w:rsidRDefault="005D21C5" w:rsidP="00F4618B">
                                      <w:pPr>
                                        <w:spacing w:after="0"/>
                                        <w:jc w:val="center"/>
                                        <w:rPr>
                                          <w:b/>
                                          <w:bCs/>
                                          <w:color w:val="1F497D" w:themeColor="text2"/>
                                          <w:sz w:val="72"/>
                                          <w:szCs w:val="72"/>
                                        </w:rPr>
                                      </w:pPr>
                                      <w:r w:rsidRPr="00F4618B">
                                        <w:rPr>
                                          <w:rFonts w:ascii="Calibri" w:eastAsia="Calibri" w:hAnsi="Calibri" w:cs="Times New Roman"/>
                                          <w:b/>
                                          <w:bCs/>
                                          <w:color w:val="4F81BD" w:themeColor="accent1"/>
                                          <w:sz w:val="72"/>
                                          <w:szCs w:val="72"/>
                                        </w:rPr>
                                        <w:t>Community Risk Analysis</w:t>
                                      </w:r>
                                    </w:p>
                                  </w:sdtContent>
                                </w:sdt>
                                <w:p w:rsidR="005D21C5" w:rsidRDefault="005D21C5" w:rsidP="00F4618B">
                                  <w:pPr>
                                    <w:jc w:val="center"/>
                                    <w:rPr>
                                      <w:b/>
                                      <w:bCs/>
                                      <w:color w:val="4F81BD" w:themeColor="accent1"/>
                                      <w:sz w:val="72"/>
                                      <w:szCs w:val="72"/>
                                    </w:rPr>
                                  </w:pPr>
                                  <w:bookmarkStart w:id="0" w:name="_Hlk482313535"/>
                                  <w:proofErr w:type="gramStart"/>
                                  <w:r>
                                    <w:rPr>
                                      <w:b/>
                                      <w:bCs/>
                                      <w:color w:val="4F81BD" w:themeColor="accent1"/>
                                      <w:sz w:val="72"/>
                                      <w:szCs w:val="72"/>
                                    </w:rPr>
                                    <w:t>and</w:t>
                                  </w:r>
                                  <w:proofErr w:type="gramEnd"/>
                                </w:p>
                                <w:p w:rsidR="005D21C5" w:rsidRDefault="005D21C5" w:rsidP="00F4618B">
                                  <w:pPr>
                                    <w:jc w:val="center"/>
                                    <w:rPr>
                                      <w:b/>
                                      <w:bCs/>
                                      <w:color w:val="4F81BD" w:themeColor="accent1"/>
                                      <w:sz w:val="72"/>
                                      <w:szCs w:val="72"/>
                                    </w:rPr>
                                  </w:pPr>
                                  <w:r>
                                    <w:rPr>
                                      <w:b/>
                                      <w:bCs/>
                                      <w:color w:val="4F81BD" w:themeColor="accent1"/>
                                      <w:sz w:val="72"/>
                                      <w:szCs w:val="72"/>
                                    </w:rPr>
                                    <w:t>Risk Reduction Plan</w:t>
                                  </w:r>
                                </w:p>
                                <w:p w:rsidR="005D21C5" w:rsidRPr="00811B8D" w:rsidRDefault="005D21C5" w:rsidP="00F4618B">
                                  <w:pPr>
                                    <w:jc w:val="center"/>
                                    <w:rPr>
                                      <w:b/>
                                      <w:bCs/>
                                      <w:color w:val="4F81BD" w:themeColor="accent1"/>
                                      <w:sz w:val="72"/>
                                      <w:szCs w:val="72"/>
                                    </w:rPr>
                                  </w:pPr>
                                </w:p>
                                <w:bookmarkEnd w:id="0" w:displacedByCustomXml="next"/>
                                <w:sdt>
                                  <w:sdtPr>
                                    <w:rPr>
                                      <w:b/>
                                      <w:bCs/>
                                      <w:color w:val="000000" w:themeColor="text1"/>
                                      <w:sz w:val="36"/>
                                      <w:szCs w:val="7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5D21C5" w:rsidRPr="00811B8D" w:rsidRDefault="005D21C5">
                                      <w:pPr>
                                        <w:rPr>
                                          <w:b/>
                                          <w:bCs/>
                                          <w:color w:val="000000" w:themeColor="text1"/>
                                          <w:sz w:val="72"/>
                                          <w:szCs w:val="72"/>
                                        </w:rPr>
                                      </w:pPr>
                                      <w:r w:rsidRPr="00811B8D">
                                        <w:rPr>
                                          <w:b/>
                                          <w:bCs/>
                                          <w:color w:val="000000" w:themeColor="text1"/>
                                          <w:sz w:val="36"/>
                                          <w:szCs w:val="72"/>
                                        </w:rPr>
                                        <w:t>Ben Shearer</w:t>
                                      </w:r>
                                    </w:p>
                                  </w:sdtContent>
                                </w:sdt>
                                <w:p w:rsidR="005D21C5" w:rsidRPr="00811B8D" w:rsidRDefault="005D21C5">
                                  <w:pPr>
                                    <w:rPr>
                                      <w:b/>
                                      <w:bCs/>
                                      <w:color w:val="000000" w:themeColor="text1"/>
                                      <w:sz w:val="72"/>
                                      <w:szCs w:val="7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0;width:612pt;height:647.95pt;z-index:251668480;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72"/>
                                <w:szCs w:val="72"/>
                              </w:rPr>
                              <w:alias w:val="Company"/>
                              <w:id w:val="15866524"/>
                              <w:dataBinding w:prefixMappings="xmlns:ns0='http://schemas.openxmlformats.org/officeDocument/2006/extended-properties'" w:xpath="/ns0:Properties[1]/ns0:Company[1]" w:storeItemID="{6668398D-A668-4E3E-A5EB-62B293D839F1}"/>
                              <w:text/>
                            </w:sdtPr>
                            <w:sdtContent>
                              <w:p w:rsidR="005D21C5" w:rsidRPr="00811B8D" w:rsidRDefault="005D21C5">
                                <w:pPr>
                                  <w:spacing w:after="0"/>
                                  <w:rPr>
                                    <w:b/>
                                    <w:bCs/>
                                    <w:color w:val="000000" w:themeColor="text1"/>
                                    <w:sz w:val="72"/>
                                    <w:szCs w:val="72"/>
                                  </w:rPr>
                                </w:pPr>
                                <w:r w:rsidRPr="00811B8D">
                                  <w:rPr>
                                    <w:b/>
                                    <w:bCs/>
                                    <w:color w:val="000000" w:themeColor="text1"/>
                                    <w:sz w:val="72"/>
                                    <w:szCs w:val="72"/>
                                  </w:rPr>
                                  <w:t>City of Pasco</w:t>
                                </w:r>
                              </w:p>
                            </w:sdtContent>
                          </w:sdt>
                          <w:p w:rsidR="005D21C5" w:rsidRPr="00811B8D" w:rsidRDefault="005D21C5">
                            <w:pPr>
                              <w:spacing w:after="0"/>
                              <w:rPr>
                                <w:b/>
                                <w:bCs/>
                                <w:color w:val="000000" w:themeColor="text1"/>
                                <w:sz w:val="72"/>
                                <w:szCs w:val="7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5D21C5" w:rsidRPr="00811B8D" w:rsidRDefault="005D21C5" w:rsidP="00DC7A89">
                            <w:pPr>
                              <w:jc w:val="center"/>
                              <w:rPr>
                                <w:sz w:val="72"/>
                                <w:szCs w:val="72"/>
                                <w14:numForm w14:val="oldStyle"/>
                              </w:rPr>
                            </w:pPr>
                            <w:r w:rsidRPr="00811B8D">
                              <w:rPr>
                                <w:sz w:val="72"/>
                                <w:szCs w:val="72"/>
                                <w14:numForm w14:val="oldStyle"/>
                              </w:rPr>
                              <w:t>2017</w:t>
                            </w:r>
                          </w:p>
                        </w:txbxContent>
                      </v:textbox>
                    </v:rect>
                    <v:rect id="Rectangle 17" o:spid="_x0000_s1040" style="position:absolute;left:1647;top:3510;width:8638;height:6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Calibri" w:eastAsia="Calibri" w:hAnsi="Calibri" w:cs="Times New Roman"/>
                                <w:b/>
                                <w:bCs/>
                                <w:color w:val="4F81BD" w:themeColor="accent1"/>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5D21C5" w:rsidRPr="00811B8D" w:rsidRDefault="005D21C5" w:rsidP="00F4618B">
                                <w:pPr>
                                  <w:spacing w:after="0"/>
                                  <w:jc w:val="center"/>
                                  <w:rPr>
                                    <w:b/>
                                    <w:bCs/>
                                    <w:color w:val="1F497D" w:themeColor="text2"/>
                                    <w:sz w:val="72"/>
                                    <w:szCs w:val="72"/>
                                  </w:rPr>
                                </w:pPr>
                                <w:r w:rsidRPr="00F4618B">
                                  <w:rPr>
                                    <w:rFonts w:ascii="Calibri" w:eastAsia="Calibri" w:hAnsi="Calibri" w:cs="Times New Roman"/>
                                    <w:b/>
                                    <w:bCs/>
                                    <w:color w:val="4F81BD" w:themeColor="accent1"/>
                                    <w:sz w:val="72"/>
                                    <w:szCs w:val="72"/>
                                  </w:rPr>
                                  <w:t>Community Risk Analysis</w:t>
                                </w:r>
                              </w:p>
                            </w:sdtContent>
                          </w:sdt>
                          <w:p w:rsidR="005D21C5" w:rsidRDefault="005D21C5" w:rsidP="00F4618B">
                            <w:pPr>
                              <w:jc w:val="center"/>
                              <w:rPr>
                                <w:b/>
                                <w:bCs/>
                                <w:color w:val="4F81BD" w:themeColor="accent1"/>
                                <w:sz w:val="72"/>
                                <w:szCs w:val="72"/>
                              </w:rPr>
                            </w:pPr>
                            <w:bookmarkStart w:id="1" w:name="_Hlk482313535"/>
                            <w:proofErr w:type="gramStart"/>
                            <w:r>
                              <w:rPr>
                                <w:b/>
                                <w:bCs/>
                                <w:color w:val="4F81BD" w:themeColor="accent1"/>
                                <w:sz w:val="72"/>
                                <w:szCs w:val="72"/>
                              </w:rPr>
                              <w:t>and</w:t>
                            </w:r>
                            <w:proofErr w:type="gramEnd"/>
                          </w:p>
                          <w:p w:rsidR="005D21C5" w:rsidRDefault="005D21C5" w:rsidP="00F4618B">
                            <w:pPr>
                              <w:jc w:val="center"/>
                              <w:rPr>
                                <w:b/>
                                <w:bCs/>
                                <w:color w:val="4F81BD" w:themeColor="accent1"/>
                                <w:sz w:val="72"/>
                                <w:szCs w:val="72"/>
                              </w:rPr>
                            </w:pPr>
                            <w:r>
                              <w:rPr>
                                <w:b/>
                                <w:bCs/>
                                <w:color w:val="4F81BD" w:themeColor="accent1"/>
                                <w:sz w:val="72"/>
                                <w:szCs w:val="72"/>
                              </w:rPr>
                              <w:t>Risk Reduction Plan</w:t>
                            </w:r>
                          </w:p>
                          <w:p w:rsidR="005D21C5" w:rsidRPr="00811B8D" w:rsidRDefault="005D21C5" w:rsidP="00F4618B">
                            <w:pPr>
                              <w:jc w:val="center"/>
                              <w:rPr>
                                <w:b/>
                                <w:bCs/>
                                <w:color w:val="4F81BD" w:themeColor="accent1"/>
                                <w:sz w:val="72"/>
                                <w:szCs w:val="72"/>
                              </w:rPr>
                            </w:pPr>
                          </w:p>
                          <w:bookmarkEnd w:id="1" w:displacedByCustomXml="next"/>
                          <w:sdt>
                            <w:sdtPr>
                              <w:rPr>
                                <w:b/>
                                <w:bCs/>
                                <w:color w:val="000000" w:themeColor="text1"/>
                                <w:sz w:val="36"/>
                                <w:szCs w:val="7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5D21C5" w:rsidRPr="00811B8D" w:rsidRDefault="005D21C5">
                                <w:pPr>
                                  <w:rPr>
                                    <w:b/>
                                    <w:bCs/>
                                    <w:color w:val="000000" w:themeColor="text1"/>
                                    <w:sz w:val="72"/>
                                    <w:szCs w:val="72"/>
                                  </w:rPr>
                                </w:pPr>
                                <w:r w:rsidRPr="00811B8D">
                                  <w:rPr>
                                    <w:b/>
                                    <w:bCs/>
                                    <w:color w:val="000000" w:themeColor="text1"/>
                                    <w:sz w:val="36"/>
                                    <w:szCs w:val="72"/>
                                  </w:rPr>
                                  <w:t>Ben Shearer</w:t>
                                </w:r>
                              </w:p>
                            </w:sdtContent>
                          </w:sdt>
                          <w:p w:rsidR="005D21C5" w:rsidRPr="00811B8D" w:rsidRDefault="005D21C5">
                            <w:pPr>
                              <w:rPr>
                                <w:b/>
                                <w:bCs/>
                                <w:color w:val="000000" w:themeColor="text1"/>
                                <w:sz w:val="72"/>
                                <w:szCs w:val="72"/>
                              </w:rPr>
                            </w:pPr>
                          </w:p>
                        </w:txbxContent>
                      </v:textbox>
                    </v:rect>
                    <w10:wrap anchorx="page" anchory="margin"/>
                  </v:group>
                </w:pict>
              </mc:Fallback>
            </mc:AlternateContent>
          </w:r>
          <w:r>
            <w:rPr>
              <w:rFonts w:ascii="Bookman Old Style" w:hAnsi="Bookman Old Style"/>
              <w:color w:val="000000" w:themeColor="text1"/>
            </w:rPr>
            <w:br w:type="page"/>
          </w:r>
        </w:p>
      </w:sdtContent>
    </w:sdt>
    <w:p w:rsidR="00A46441" w:rsidRDefault="00A46441" w:rsidP="006119B5">
      <w:pPr>
        <w:spacing w:line="240" w:lineRule="auto"/>
        <w:jc w:val="both"/>
        <w:rPr>
          <w:rFonts w:ascii="Bookman Old Style" w:hAnsi="Bookman Old Style"/>
        </w:rPr>
      </w:pPr>
    </w:p>
    <w:p w:rsidR="00A46441" w:rsidRPr="00A46441" w:rsidRDefault="00A46441" w:rsidP="006119B5">
      <w:pPr>
        <w:spacing w:line="240" w:lineRule="auto"/>
        <w:jc w:val="both"/>
        <w:rPr>
          <w:rFonts w:ascii="Bookman Old Style" w:hAnsi="Bookman Old Style"/>
          <w:b/>
          <w:i/>
        </w:rPr>
      </w:pPr>
      <w:r w:rsidRPr="00A46441">
        <w:rPr>
          <w:rFonts w:ascii="Bookman Old Style" w:hAnsi="Bookman Old Style"/>
          <w:b/>
          <w:i/>
        </w:rPr>
        <w:t>Introduction</w:t>
      </w:r>
    </w:p>
    <w:p w:rsidR="006119B5" w:rsidRDefault="001C09DF" w:rsidP="006119B5">
      <w:pPr>
        <w:spacing w:line="240" w:lineRule="auto"/>
        <w:jc w:val="both"/>
        <w:rPr>
          <w:rFonts w:ascii="Bookman Old Style" w:hAnsi="Bookman Old Style"/>
        </w:rPr>
      </w:pPr>
      <w:r>
        <w:rPr>
          <w:rFonts w:ascii="Bookman Old Style" w:hAnsi="Bookman Old Style"/>
        </w:rPr>
        <w:t>The City of Pasco Fire Department, like</w:t>
      </w:r>
      <w:r w:rsidR="006119B5" w:rsidRPr="00BA2BA5">
        <w:rPr>
          <w:rFonts w:ascii="Bookman Old Style" w:hAnsi="Bookman Old Style"/>
        </w:rPr>
        <w:t xml:space="preserve"> many other fire departments across the nation are being challenged by budget crises, rising call volumes, personnel and equipment shortages, security issues and the overall public expectation to do more with less. Expectations placed on the fire service, including Emergency Medical Services (EMS), response to natural disasters, hazardous materials incidents, technical rescue and acts of terrorism, have steadily increased.</w:t>
      </w:r>
    </w:p>
    <w:p w:rsidR="006119B5" w:rsidRPr="00BA2BA5" w:rsidRDefault="006119B5" w:rsidP="006119B5">
      <w:pPr>
        <w:spacing w:line="240" w:lineRule="auto"/>
        <w:contextualSpacing/>
        <w:jc w:val="both"/>
        <w:rPr>
          <w:rFonts w:ascii="Bookman Old Style" w:hAnsi="Bookman Old Style"/>
        </w:rPr>
      </w:pPr>
      <w:r w:rsidRPr="00BA2BA5">
        <w:rPr>
          <w:rFonts w:ascii="Bookman Old Style" w:hAnsi="Bookman Old Style"/>
        </w:rPr>
        <w:t>Traditionally, the focus of risk assessment was the identification of fire hazards and planning an appropriate response force to mitigate the emergency.  Today, the risk assessment goes well beyond the fire problem and includes medical and other emergencies.  Community risk assessment begins with the identification of the hazards present within the community and the understanding that the risk of f</w:t>
      </w:r>
      <w:r w:rsidR="004907B3">
        <w:rPr>
          <w:rFonts w:ascii="Bookman Old Style" w:hAnsi="Bookman Old Style"/>
        </w:rPr>
        <w:t>ire, medical, or other emergencies</w:t>
      </w:r>
      <w:r w:rsidRPr="00BA2BA5">
        <w:rPr>
          <w:rFonts w:ascii="Bookman Old Style" w:hAnsi="Bookman Old Style"/>
        </w:rPr>
        <w:t xml:space="preserve"> cannot be held to zero. Community risk level is typically established through an overall profile of the community based on the unique mixtures of demographics, socioeconomic factors, occupancy risk, fire management zones, etc. and the overall level of services currently provided.</w:t>
      </w:r>
      <w:r w:rsidR="001C09DF">
        <w:rPr>
          <w:rFonts w:ascii="Bookman Old Style" w:hAnsi="Bookman Old Style"/>
        </w:rPr>
        <w:t xml:space="preserve"> The assessment of c</w:t>
      </w:r>
      <w:r w:rsidRPr="00BA2BA5">
        <w:rPr>
          <w:rFonts w:ascii="Bookman Old Style" w:hAnsi="Bookman Old Style"/>
        </w:rPr>
        <w:t>ommunity hazards and associated risks are usually divided into three categories:</w:t>
      </w:r>
    </w:p>
    <w:p w:rsidR="006119B5" w:rsidRPr="00BA2BA5" w:rsidRDefault="006119B5" w:rsidP="006119B5">
      <w:pPr>
        <w:pStyle w:val="NoSpacing"/>
        <w:numPr>
          <w:ilvl w:val="0"/>
          <w:numId w:val="1"/>
        </w:numPr>
        <w:spacing w:after="200"/>
        <w:contextualSpacing/>
        <w:jc w:val="both"/>
        <w:rPr>
          <w:rFonts w:ascii="Bookman Old Style" w:hAnsi="Bookman Old Style"/>
        </w:rPr>
      </w:pPr>
      <w:r w:rsidRPr="00BA2BA5">
        <w:rPr>
          <w:rFonts w:ascii="Bookman Old Style" w:hAnsi="Bookman Old Style"/>
        </w:rPr>
        <w:t>Life</w:t>
      </w:r>
    </w:p>
    <w:p w:rsidR="006119B5" w:rsidRPr="00BA2BA5" w:rsidRDefault="006119B5" w:rsidP="006119B5">
      <w:pPr>
        <w:pStyle w:val="NoSpacing"/>
        <w:numPr>
          <w:ilvl w:val="0"/>
          <w:numId w:val="1"/>
        </w:numPr>
        <w:spacing w:after="200"/>
        <w:contextualSpacing/>
        <w:jc w:val="both"/>
        <w:rPr>
          <w:rFonts w:ascii="Bookman Old Style" w:hAnsi="Bookman Old Style"/>
        </w:rPr>
      </w:pPr>
      <w:r w:rsidRPr="00BA2BA5">
        <w:rPr>
          <w:rFonts w:ascii="Bookman Old Style" w:hAnsi="Bookman Old Style"/>
        </w:rPr>
        <w:t>Property</w:t>
      </w:r>
    </w:p>
    <w:p w:rsidR="006119B5" w:rsidRPr="00BA2BA5" w:rsidRDefault="006119B5" w:rsidP="006119B5">
      <w:pPr>
        <w:pStyle w:val="NoSpacing"/>
        <w:numPr>
          <w:ilvl w:val="0"/>
          <w:numId w:val="1"/>
        </w:numPr>
        <w:spacing w:after="200"/>
        <w:contextualSpacing/>
        <w:jc w:val="both"/>
        <w:rPr>
          <w:rFonts w:ascii="Bookman Old Style" w:hAnsi="Bookman Old Style"/>
        </w:rPr>
      </w:pPr>
      <w:r w:rsidRPr="00BA2BA5">
        <w:rPr>
          <w:rFonts w:ascii="Bookman Old Style" w:hAnsi="Bookman Old Style"/>
        </w:rPr>
        <w:t>Critical infrastructure</w:t>
      </w:r>
    </w:p>
    <w:p w:rsidR="00F4618B" w:rsidRDefault="006119B5" w:rsidP="006119B5">
      <w:pPr>
        <w:rPr>
          <w:rFonts w:ascii="Bookman Old Style" w:hAnsi="Bookman Old Style"/>
        </w:rPr>
      </w:pPr>
      <w:r w:rsidRPr="00BA2BA5">
        <w:rPr>
          <w:rFonts w:ascii="Bookman Old Style" w:hAnsi="Bookman Old Style"/>
        </w:rPr>
        <w:t xml:space="preserve">The objective of this document is to clearly define an overall risk profile for the City of Pasco and </w:t>
      </w:r>
      <w:r w:rsidR="004907B3">
        <w:rPr>
          <w:rFonts w:ascii="Bookman Old Style" w:hAnsi="Bookman Old Style"/>
        </w:rPr>
        <w:t xml:space="preserve">to </w:t>
      </w:r>
      <w:r w:rsidRPr="00BA2BA5">
        <w:rPr>
          <w:rFonts w:ascii="Bookman Old Style" w:hAnsi="Bookman Old Style"/>
        </w:rPr>
        <w:t xml:space="preserve">identify a </w:t>
      </w:r>
      <w:r w:rsidR="0076186D">
        <w:rPr>
          <w:rFonts w:ascii="Bookman Old Style" w:hAnsi="Bookman Old Style"/>
        </w:rPr>
        <w:t>plan</w:t>
      </w:r>
      <w:r w:rsidR="004907B3">
        <w:rPr>
          <w:rFonts w:ascii="Bookman Old Style" w:hAnsi="Bookman Old Style"/>
        </w:rPr>
        <w:t xml:space="preserve"> of action</w:t>
      </w:r>
      <w:r w:rsidR="0076186D">
        <w:rPr>
          <w:rFonts w:ascii="Bookman Old Style" w:hAnsi="Bookman Old Style"/>
        </w:rPr>
        <w:t xml:space="preserve"> that will reduce the overall risk to the community to an</w:t>
      </w:r>
      <w:r w:rsidRPr="00BA2BA5">
        <w:rPr>
          <w:rFonts w:ascii="Bookman Old Style" w:hAnsi="Bookman Old Style"/>
        </w:rPr>
        <w:t xml:space="preserve"> acceptabl</w:t>
      </w:r>
      <w:r w:rsidR="004907B3">
        <w:rPr>
          <w:rFonts w:ascii="Bookman Old Style" w:hAnsi="Bookman Old Style"/>
        </w:rPr>
        <w:t>e level</w:t>
      </w:r>
      <w:r w:rsidRPr="00BA2BA5">
        <w:rPr>
          <w:rFonts w:ascii="Bookman Old Style" w:hAnsi="Bookman Old Style"/>
        </w:rPr>
        <w:t xml:space="preserve"> while factoring the maximum savings of life and property that is fiscally and morally responsible.</w:t>
      </w:r>
      <w:r w:rsidR="00B652FB">
        <w:rPr>
          <w:rFonts w:ascii="Bookman Old Style" w:hAnsi="Bookman Old Style"/>
        </w:rPr>
        <w:t xml:space="preserve"> In a nut shell</w:t>
      </w:r>
      <w:r w:rsidR="00F4618B">
        <w:rPr>
          <w:rFonts w:ascii="Bookman Old Style" w:hAnsi="Bookman Old Style"/>
        </w:rPr>
        <w:t>,</w:t>
      </w:r>
      <w:r w:rsidR="00B652FB">
        <w:rPr>
          <w:rFonts w:ascii="Bookman Old Style" w:hAnsi="Bookman Old Style"/>
        </w:rPr>
        <w:t xml:space="preserve"> the goal is </w:t>
      </w:r>
      <w:r w:rsidR="00F4618B">
        <w:rPr>
          <w:rFonts w:ascii="Bookman Old Style" w:hAnsi="Bookman Old Style"/>
        </w:rPr>
        <w:t xml:space="preserve">to </w:t>
      </w:r>
      <w:r w:rsidR="00B652FB">
        <w:rPr>
          <w:rFonts w:ascii="Bookman Old Style" w:hAnsi="Bookman Old Style"/>
        </w:rPr>
        <w:t>create a safer</w:t>
      </w:r>
      <w:r w:rsidR="00F4618B">
        <w:rPr>
          <w:rFonts w:ascii="Bookman Old Style" w:hAnsi="Bookman Old Style"/>
        </w:rPr>
        <w:t xml:space="preserve"> community for anyone who lives in, works in, or travels through our community.</w:t>
      </w:r>
    </w:p>
    <w:p w:rsidR="0076186D" w:rsidRDefault="0076186D" w:rsidP="006119B5">
      <w:pPr>
        <w:rPr>
          <w:rFonts w:ascii="Bookman Old Style" w:hAnsi="Bookman Old Style"/>
        </w:rPr>
      </w:pPr>
      <w:r>
        <w:rPr>
          <w:rFonts w:ascii="Bookman Old Style" w:hAnsi="Bookman Old Style"/>
        </w:rPr>
        <w:t xml:space="preserve">The </w:t>
      </w:r>
      <w:r w:rsidR="006133F1">
        <w:rPr>
          <w:rFonts w:ascii="Bookman Old Style" w:hAnsi="Bookman Old Style"/>
        </w:rPr>
        <w:t>Community Risk Analysis</w:t>
      </w:r>
      <w:r>
        <w:rPr>
          <w:rFonts w:ascii="Bookman Old Style" w:hAnsi="Bookman Old Style"/>
        </w:rPr>
        <w:t xml:space="preserve"> process is defined as a process to identify and prioritize local risks, followed by the integrated and strategic investment of resources to reduce their occurrence and impact.</w:t>
      </w:r>
    </w:p>
    <w:p w:rsidR="0076186D" w:rsidRDefault="000B32F8" w:rsidP="0076186D">
      <w:pPr>
        <w:jc w:val="center"/>
        <w:rPr>
          <w:rFonts w:ascii="Bookman Old Style" w:hAnsi="Bookman Old Style"/>
        </w:rPr>
      </w:pPr>
      <w:r>
        <w:rPr>
          <w:rFonts w:ascii="Bookman Old Style" w:hAnsi="Bookman Old Style"/>
          <w:noProof/>
        </w:rPr>
        <w:drawing>
          <wp:inline distT="0" distB="0" distL="0" distR="0" wp14:anchorId="2D22F46A" wp14:editId="31075316">
            <wp:extent cx="2942931" cy="201213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517" cy="2012531"/>
                    </a:xfrm>
                    <a:prstGeom prst="rect">
                      <a:avLst/>
                    </a:prstGeom>
                    <a:noFill/>
                  </pic:spPr>
                </pic:pic>
              </a:graphicData>
            </a:graphic>
          </wp:inline>
        </w:drawing>
      </w:r>
    </w:p>
    <w:p w:rsidR="000B32F8" w:rsidRDefault="000B32F8" w:rsidP="0076186D">
      <w:pPr>
        <w:jc w:val="center"/>
        <w:rPr>
          <w:rFonts w:ascii="Bookman Old Style" w:hAnsi="Bookman Old Style"/>
        </w:rPr>
      </w:pPr>
    </w:p>
    <w:p w:rsidR="000B32F8" w:rsidRDefault="004907B3" w:rsidP="000B32F8">
      <w:pPr>
        <w:rPr>
          <w:rFonts w:ascii="Bookman Old Style" w:hAnsi="Bookman Old Style"/>
        </w:rPr>
      </w:pPr>
      <w:r>
        <w:rPr>
          <w:rFonts w:ascii="Bookman Old Style" w:hAnsi="Bookman Old Style"/>
        </w:rPr>
        <w:lastRenderedPageBreak/>
        <w:t>Community Risk R</w:t>
      </w:r>
      <w:r w:rsidR="000B32F8">
        <w:rPr>
          <w:rFonts w:ascii="Bookman Old Style" w:hAnsi="Bookman Old Style"/>
        </w:rPr>
        <w:t>eduction</w:t>
      </w:r>
      <w:r>
        <w:rPr>
          <w:rFonts w:ascii="Bookman Old Style" w:hAnsi="Bookman Old Style"/>
        </w:rPr>
        <w:t xml:space="preserve"> (CRR)</w:t>
      </w:r>
      <w:r w:rsidR="000B32F8">
        <w:rPr>
          <w:rFonts w:ascii="Bookman Old Style" w:hAnsi="Bookman Old Style"/>
        </w:rPr>
        <w:t xml:space="preserve"> is not a new concept for the fire service.  Fire departments have been actively involved in fire prevention for many years through public education, building </w:t>
      </w:r>
      <w:r w:rsidR="008B042F">
        <w:rPr>
          <w:rFonts w:ascii="Bookman Old Style" w:hAnsi="Bookman Old Style"/>
        </w:rPr>
        <w:t>Surveys</w:t>
      </w:r>
      <w:r w:rsidR="000B32F8">
        <w:rPr>
          <w:rFonts w:ascii="Bookman Old Style" w:hAnsi="Bookman Old Style"/>
        </w:rPr>
        <w:t xml:space="preserve"> and other activities.  Although there is no specific blueprint for developing CRR plans, there are some common and essential steps.</w:t>
      </w:r>
    </w:p>
    <w:p w:rsidR="000B32F8" w:rsidRDefault="000B32F8" w:rsidP="000B32F8">
      <w:pPr>
        <w:rPr>
          <w:rFonts w:ascii="Bookman Old Style" w:hAnsi="Bookman Old Style"/>
        </w:rPr>
      </w:pPr>
      <w:r>
        <w:rPr>
          <w:rFonts w:ascii="Bookman Old Style" w:hAnsi="Bookman Old Style"/>
        </w:rPr>
        <w:t>Risk assessment is basically the identification of potential and likely risks within a particular community, and the process of prioritizing those risks.  It is the critical initial step in emergency preparedness, which enables organizations to eventually mitigate (if possible), plan, prepare and deploy appropriate resources to attain a desired outcome.</w:t>
      </w:r>
    </w:p>
    <w:p w:rsidR="00A46441" w:rsidRPr="00A46441" w:rsidRDefault="00A46441" w:rsidP="00A46441">
      <w:pPr>
        <w:rPr>
          <w:rFonts w:ascii="Bookman Old Style" w:hAnsi="Bookman Old Style"/>
          <w:b/>
          <w:i/>
        </w:rPr>
      </w:pPr>
      <w:r>
        <w:rPr>
          <w:rFonts w:ascii="Bookman Old Style" w:hAnsi="Bookman Old Style"/>
          <w:b/>
          <w:i/>
        </w:rPr>
        <w:t xml:space="preserve">1A </w:t>
      </w:r>
      <w:r w:rsidR="001C09DF">
        <w:rPr>
          <w:rFonts w:ascii="Bookman Old Style" w:hAnsi="Bookman Old Style"/>
          <w:b/>
          <w:i/>
        </w:rPr>
        <w:t>–</w:t>
      </w:r>
      <w:r>
        <w:rPr>
          <w:rFonts w:ascii="Bookman Old Style" w:hAnsi="Bookman Old Style"/>
          <w:b/>
          <w:i/>
        </w:rPr>
        <w:t xml:space="preserve"> </w:t>
      </w:r>
      <w:r w:rsidR="001C09DF">
        <w:rPr>
          <w:rFonts w:ascii="Bookman Old Style" w:hAnsi="Bookman Old Style"/>
          <w:b/>
          <w:i/>
        </w:rPr>
        <w:t xml:space="preserve">Community </w:t>
      </w:r>
      <w:r w:rsidRPr="00A46441">
        <w:rPr>
          <w:rFonts w:ascii="Bookman Old Style" w:hAnsi="Bookman Old Style"/>
          <w:b/>
          <w:i/>
        </w:rPr>
        <w:t>Risk Assessment</w:t>
      </w:r>
    </w:p>
    <w:p w:rsidR="00A46441" w:rsidRPr="00A46441" w:rsidRDefault="00A46441" w:rsidP="00A46441">
      <w:pPr>
        <w:rPr>
          <w:rFonts w:ascii="Bookman Old Style" w:hAnsi="Bookman Old Style"/>
        </w:rPr>
      </w:pPr>
      <w:r w:rsidRPr="00A46441">
        <w:rPr>
          <w:rFonts w:ascii="Bookman Old Style" w:hAnsi="Bookman Old Style"/>
        </w:rPr>
        <w:t>In order to properly quantify the risks and hazards of the City of Pasco, the overall risk profile of Franklin County must also be considered.</w:t>
      </w:r>
    </w:p>
    <w:p w:rsidR="00A46441" w:rsidRPr="00A46441" w:rsidRDefault="00A46441" w:rsidP="00A46441">
      <w:pPr>
        <w:rPr>
          <w:rFonts w:ascii="Bookman Old Style" w:hAnsi="Bookman Old Style"/>
        </w:rPr>
      </w:pPr>
      <w:r w:rsidRPr="00A46441">
        <w:rPr>
          <w:rFonts w:ascii="Bookman Old Style" w:hAnsi="Bookman Old Style"/>
        </w:rPr>
        <w:t xml:space="preserve">The City of Pasco is the county seat for Franklin County in </w:t>
      </w:r>
      <w:r w:rsidR="001C09DF">
        <w:rPr>
          <w:rFonts w:ascii="Bookman Old Style" w:hAnsi="Bookman Old Style"/>
        </w:rPr>
        <w:t xml:space="preserve">southeastern </w:t>
      </w:r>
      <w:r w:rsidRPr="00A46441">
        <w:rPr>
          <w:rFonts w:ascii="Bookman Old Style" w:hAnsi="Bookman Old Style"/>
        </w:rPr>
        <w:t>Washington State.  The County is generally characterized by a rising upland, with an elevation ranging from approximately 300 feet above sea level at its southern end to approximately 1000 feet in the northeast corner.  The County is arid and averages less than ten inches of rainfall per year.  The County is intersected by a major drainage (</w:t>
      </w:r>
      <w:proofErr w:type="spellStart"/>
      <w:r w:rsidRPr="00A46441">
        <w:rPr>
          <w:rFonts w:ascii="Bookman Old Style" w:hAnsi="Bookman Old Style"/>
        </w:rPr>
        <w:t>Esquatzel</w:t>
      </w:r>
      <w:proofErr w:type="spellEnd"/>
      <w:r w:rsidRPr="00A46441">
        <w:rPr>
          <w:rFonts w:ascii="Bookman Old Style" w:hAnsi="Bookman Old Style"/>
        </w:rPr>
        <w:t xml:space="preserve"> Coulee) as well as a number of lesser canyons and drainages.  The underlying stratigraphy is characterized by numerous volcanic flows of basalt alternating with sands and other </w:t>
      </w:r>
      <w:proofErr w:type="spellStart"/>
      <w:r w:rsidRPr="00A46441">
        <w:rPr>
          <w:rFonts w:ascii="Bookman Old Style" w:hAnsi="Bookman Old Style"/>
        </w:rPr>
        <w:t>loessial</w:t>
      </w:r>
      <w:proofErr w:type="spellEnd"/>
      <w:r w:rsidRPr="00A46441">
        <w:rPr>
          <w:rFonts w:ascii="Bookman Old Style" w:hAnsi="Bookman Old Style"/>
        </w:rPr>
        <w:t xml:space="preserve"> materials which accumulated between various p</w:t>
      </w:r>
      <w:r>
        <w:rPr>
          <w:rFonts w:ascii="Bookman Old Style" w:hAnsi="Bookman Old Style"/>
        </w:rPr>
        <w:t xml:space="preserve">eriods of </w:t>
      </w:r>
      <w:r w:rsidR="001C09DF">
        <w:rPr>
          <w:rFonts w:ascii="Bookman Old Style" w:hAnsi="Bookman Old Style"/>
        </w:rPr>
        <w:t xml:space="preserve">historic </w:t>
      </w:r>
      <w:r>
        <w:rPr>
          <w:rFonts w:ascii="Bookman Old Style" w:hAnsi="Bookman Old Style"/>
        </w:rPr>
        <w:t>volcanic activity.</w:t>
      </w:r>
    </w:p>
    <w:p w:rsidR="00A46441" w:rsidRPr="00A46441" w:rsidRDefault="00A46441" w:rsidP="00A46441">
      <w:pPr>
        <w:rPr>
          <w:rFonts w:ascii="Bookman Old Style" w:hAnsi="Bookman Old Style"/>
        </w:rPr>
      </w:pPr>
      <w:r w:rsidRPr="00A46441">
        <w:rPr>
          <w:rFonts w:ascii="Bookman Old Style" w:hAnsi="Bookman Old Style"/>
        </w:rPr>
        <w:t>The area receives an average of about 10 days of snowfall and 8 days of rainfall annually. The median monthly temperatures range from a low of 30.6 degrees Fahrenheit in January to a July high of 75.7 degrees Fahrenheit (although the region</w:t>
      </w:r>
      <w:r w:rsidR="004907B3">
        <w:rPr>
          <w:rFonts w:ascii="Bookman Old Style" w:hAnsi="Bookman Old Style"/>
        </w:rPr>
        <w:t xml:space="preserve"> usually</w:t>
      </w:r>
      <w:r w:rsidRPr="00A46441">
        <w:rPr>
          <w:rFonts w:ascii="Bookman Old Style" w:hAnsi="Bookman Old Style"/>
        </w:rPr>
        <w:t xml:space="preserve"> experiences periods of excessive heat &gt;100 degrees Fahrenheit and extreme cold &lt; 10 degrees Fahrenheit</w:t>
      </w:r>
      <w:r w:rsidR="004907B3">
        <w:rPr>
          <w:rFonts w:ascii="Bookman Old Style" w:hAnsi="Bookman Old Style"/>
        </w:rPr>
        <w:t xml:space="preserve"> at times during the year</w:t>
      </w:r>
      <w:r w:rsidRPr="00A46441">
        <w:rPr>
          <w:rFonts w:ascii="Bookman Old Style" w:hAnsi="Bookman Old Style"/>
        </w:rPr>
        <w:t>).  High wind velocities, with peak gusts as high as 70 mph or higher can be expect</w:t>
      </w:r>
      <w:r>
        <w:rPr>
          <w:rFonts w:ascii="Bookman Old Style" w:hAnsi="Bookman Old Style"/>
        </w:rPr>
        <w:t>ed at any time during the year</w:t>
      </w:r>
      <w:r w:rsidR="004907B3">
        <w:rPr>
          <w:rFonts w:ascii="Bookman Old Style" w:hAnsi="Bookman Old Style"/>
        </w:rPr>
        <w:t xml:space="preserve"> with associated frontal incursions</w:t>
      </w:r>
      <w:r>
        <w:rPr>
          <w:rFonts w:ascii="Bookman Old Style" w:hAnsi="Bookman Old Style"/>
        </w:rPr>
        <w:t>.</w:t>
      </w:r>
    </w:p>
    <w:p w:rsidR="00A46441" w:rsidRPr="00A46441" w:rsidRDefault="00A46441" w:rsidP="00A46441">
      <w:pPr>
        <w:rPr>
          <w:rFonts w:ascii="Bookman Old Style" w:hAnsi="Bookman Old Style"/>
        </w:rPr>
      </w:pPr>
      <w:r w:rsidRPr="00A46441">
        <w:rPr>
          <w:rFonts w:ascii="Bookman Old Style" w:hAnsi="Bookman Old Style"/>
        </w:rPr>
        <w:t xml:space="preserve">Franklin County and the City of Pasco are accessible by several modes of transportation.  Major highways, railroads, marine ports, and an airport are located within the City of Pasco boundaries.  Interstate 182 runs through and connects the City with major markets to the east and west.  US 395 </w:t>
      </w:r>
      <w:proofErr w:type="gramStart"/>
      <w:r w:rsidRPr="00A46441">
        <w:rPr>
          <w:rFonts w:ascii="Bookman Old Style" w:hAnsi="Bookman Old Style"/>
        </w:rPr>
        <w:t>is</w:t>
      </w:r>
      <w:proofErr w:type="gramEnd"/>
      <w:r w:rsidRPr="00A46441">
        <w:rPr>
          <w:rFonts w:ascii="Bookman Old Style" w:hAnsi="Bookman Old Style"/>
        </w:rPr>
        <w:t xml:space="preserve"> the primary north-south highway and runs through the eastern portion of the City and connects with Interstate 182.  The Burlington Northern-</w:t>
      </w:r>
      <w:proofErr w:type="spellStart"/>
      <w:r w:rsidRPr="00A46441">
        <w:rPr>
          <w:rFonts w:ascii="Bookman Old Style" w:hAnsi="Bookman Old Style"/>
        </w:rPr>
        <w:t>Sante</w:t>
      </w:r>
      <w:proofErr w:type="spellEnd"/>
      <w:r w:rsidRPr="00A46441">
        <w:rPr>
          <w:rFonts w:ascii="Bookman Old Style" w:hAnsi="Bookman Old Style"/>
        </w:rPr>
        <w:t xml:space="preserve"> Fe Railroad operates a major switching yard within the City limits along the main east-west rail line that connects the Tri-Cities to Spokane and Portland, Ore. The Port of Pasco operates waterfront facilities that service barge traffic on the Columbia and Snake Rivers. The Port of Pasco Tri-Cities Airport (FAA Index B) is located on the</w:t>
      </w:r>
      <w:r>
        <w:rPr>
          <w:rFonts w:ascii="Bookman Old Style" w:hAnsi="Bookman Old Style"/>
        </w:rPr>
        <w:t xml:space="preserve"> northern boundary of the City.</w:t>
      </w:r>
    </w:p>
    <w:p w:rsidR="00A46441" w:rsidRPr="00A46441" w:rsidRDefault="00A46441" w:rsidP="00A46441">
      <w:pPr>
        <w:rPr>
          <w:rFonts w:ascii="Bookman Old Style" w:hAnsi="Bookman Old Style"/>
        </w:rPr>
      </w:pPr>
      <w:r w:rsidRPr="00A46441">
        <w:rPr>
          <w:rFonts w:ascii="Bookman Old Style" w:hAnsi="Bookman Old Style"/>
        </w:rPr>
        <w:lastRenderedPageBreak/>
        <w:t>The Pasco Airport (PSC) has three runways.  Two runways are utilized by commercial aviation with the third runway used primarily by general aviation.  PSC has experienced significant growth (34% - 2008 to 2011) in passenger enplanements.  PSC is the fourth largest airport in the state and has 150 acres of commercial a</w:t>
      </w:r>
      <w:r>
        <w:rPr>
          <w:rFonts w:ascii="Bookman Old Style" w:hAnsi="Bookman Old Style"/>
        </w:rPr>
        <w:t>nd industrial property on site.</w:t>
      </w:r>
    </w:p>
    <w:p w:rsidR="00A46441" w:rsidRPr="00A46441" w:rsidRDefault="00A46441" w:rsidP="00A46441">
      <w:pPr>
        <w:rPr>
          <w:rFonts w:ascii="Bookman Old Style" w:hAnsi="Bookman Old Style"/>
        </w:rPr>
      </w:pPr>
      <w:r w:rsidRPr="00A46441">
        <w:rPr>
          <w:rFonts w:ascii="Bookman Old Style" w:hAnsi="Bookman Old Style"/>
        </w:rPr>
        <w:t>The City of Pasco planning department reported that as of 2016, there were 22,282</w:t>
      </w:r>
      <w:r w:rsidR="004907B3">
        <w:rPr>
          <w:rFonts w:ascii="Bookman Old Style" w:hAnsi="Bookman Old Style"/>
        </w:rPr>
        <w:t xml:space="preserve"> single family</w:t>
      </w:r>
      <w:r w:rsidRPr="00A46441">
        <w:rPr>
          <w:rFonts w:ascii="Bookman Old Style" w:hAnsi="Bookman Old Style"/>
        </w:rPr>
        <w:t xml:space="preserve"> residential units</w:t>
      </w:r>
      <w:r w:rsidR="004907B3">
        <w:rPr>
          <w:rFonts w:ascii="Bookman Old Style" w:hAnsi="Bookman Old Style"/>
        </w:rPr>
        <w:t xml:space="preserve"> and 430 multi-family occupancies</w:t>
      </w:r>
      <w:r w:rsidRPr="00A46441">
        <w:rPr>
          <w:rFonts w:ascii="Bookman Old Style" w:hAnsi="Bookman Old Style"/>
        </w:rPr>
        <w:t xml:space="preserve"> in the city and that 35% of the urban growth ar</w:t>
      </w:r>
      <w:r>
        <w:rPr>
          <w:rFonts w:ascii="Bookman Old Style" w:hAnsi="Bookman Old Style"/>
        </w:rPr>
        <w:t>ea is designated as Industrial.</w:t>
      </w:r>
    </w:p>
    <w:p w:rsidR="00A46441" w:rsidRPr="00A46441" w:rsidRDefault="00A46441" w:rsidP="00A46441">
      <w:pPr>
        <w:rPr>
          <w:rFonts w:ascii="Bookman Old Style" w:hAnsi="Bookman Old Style"/>
        </w:rPr>
      </w:pPr>
      <w:r w:rsidRPr="00A46441">
        <w:rPr>
          <w:rFonts w:ascii="Bookman Old Style" w:hAnsi="Bookman Old Style"/>
        </w:rPr>
        <w:t xml:space="preserve">Franklin County Emergency Management completed an extensive county-wide hazard assessment study in 2011.  This study quantified and ranked the primary hazard concerns for the City of Pasco.  The hazard concerns are </w:t>
      </w:r>
      <w:r>
        <w:rPr>
          <w:rFonts w:ascii="Bookman Old Style" w:hAnsi="Bookman Old Style"/>
        </w:rPr>
        <w:t>listed in priority order below:</w:t>
      </w:r>
    </w:p>
    <w:p w:rsidR="00A46441" w:rsidRPr="00A46441" w:rsidRDefault="00A46441" w:rsidP="00A46441">
      <w:pPr>
        <w:pStyle w:val="NoSpacing"/>
        <w:rPr>
          <w:rFonts w:ascii="Bookman Old Style" w:hAnsi="Bookman Old Style"/>
        </w:rPr>
      </w:pPr>
      <w:r w:rsidRPr="00A46441">
        <w:rPr>
          <w:rFonts w:ascii="Bookman Old Style" w:hAnsi="Bookman Old Style"/>
        </w:rPr>
        <w:t>1.</w:t>
      </w:r>
      <w:r w:rsidRPr="00A46441">
        <w:rPr>
          <w:rFonts w:ascii="Bookman Old Style" w:hAnsi="Bookman Old Style"/>
        </w:rPr>
        <w:tab/>
        <w:t>Severe Storm</w:t>
      </w:r>
    </w:p>
    <w:p w:rsidR="00A46441" w:rsidRPr="00A46441" w:rsidRDefault="00A46441" w:rsidP="00A46441">
      <w:pPr>
        <w:pStyle w:val="NoSpacing"/>
        <w:rPr>
          <w:rFonts w:ascii="Bookman Old Style" w:hAnsi="Bookman Old Style"/>
        </w:rPr>
      </w:pPr>
      <w:r w:rsidRPr="00A46441">
        <w:rPr>
          <w:rFonts w:ascii="Bookman Old Style" w:hAnsi="Bookman Old Style"/>
        </w:rPr>
        <w:t>2.</w:t>
      </w:r>
      <w:r w:rsidRPr="00A46441">
        <w:rPr>
          <w:rFonts w:ascii="Bookman Old Style" w:hAnsi="Bookman Old Style"/>
        </w:rPr>
        <w:tab/>
        <w:t>Flood</w:t>
      </w:r>
    </w:p>
    <w:p w:rsidR="00A46441" w:rsidRDefault="00A46441" w:rsidP="009739F8">
      <w:pPr>
        <w:pStyle w:val="NoSpacing"/>
        <w:rPr>
          <w:rFonts w:ascii="Bookman Old Style" w:hAnsi="Bookman Old Style"/>
        </w:rPr>
      </w:pPr>
      <w:r w:rsidRPr="00A46441">
        <w:rPr>
          <w:rFonts w:ascii="Bookman Old Style" w:hAnsi="Bookman Old Style"/>
        </w:rPr>
        <w:t>3.</w:t>
      </w:r>
      <w:r w:rsidRPr="00A46441">
        <w:rPr>
          <w:rFonts w:ascii="Bookman Old Style" w:hAnsi="Bookman Old Style"/>
        </w:rPr>
        <w:tab/>
        <w:t>Fire</w:t>
      </w:r>
    </w:p>
    <w:p w:rsidR="009739F8" w:rsidRPr="00A46441" w:rsidRDefault="009739F8" w:rsidP="009739F8">
      <w:pPr>
        <w:pStyle w:val="NoSpacing"/>
        <w:rPr>
          <w:rFonts w:ascii="Bookman Old Style" w:hAnsi="Bookman Old Style"/>
        </w:rPr>
      </w:pPr>
    </w:p>
    <w:p w:rsidR="00A46441" w:rsidRPr="00A46441" w:rsidRDefault="00A46441" w:rsidP="00A46441">
      <w:pPr>
        <w:rPr>
          <w:rFonts w:ascii="Bookman Old Style" w:hAnsi="Bookman Old Style"/>
        </w:rPr>
      </w:pPr>
      <w:r w:rsidRPr="004907B3">
        <w:rPr>
          <w:rFonts w:ascii="Bookman Old Style" w:hAnsi="Bookman Old Style"/>
          <w:b/>
        </w:rPr>
        <w:t>Severe Storm</w:t>
      </w:r>
      <w:r w:rsidRPr="00A46441">
        <w:rPr>
          <w:rFonts w:ascii="Bookman Old Style" w:hAnsi="Bookman Old Style"/>
        </w:rPr>
        <w:t xml:space="preserve"> – The effects upon the City of Pasco resulting from a severe storm such as a thunderstorm, tornado, windstorm, ice storm, or snowstorm are likely to be similar in nature. Downed trees and power lines, interruption of transportation routes, and damage to homes, businesses, and governmental buildings are all possible and will affect emergency response forces.  The hazard assessment ranks severe storms as a high probability with associated moder</w:t>
      </w:r>
      <w:r>
        <w:rPr>
          <w:rFonts w:ascii="Bookman Old Style" w:hAnsi="Bookman Old Style"/>
        </w:rPr>
        <w:t>ate risk to lives and property.</w:t>
      </w:r>
    </w:p>
    <w:p w:rsidR="00A46441" w:rsidRPr="00A46441" w:rsidRDefault="009A06B0" w:rsidP="00A46441">
      <w:pPr>
        <w:rPr>
          <w:rFonts w:ascii="Bookman Old Style" w:hAnsi="Bookman Old Style"/>
        </w:rPr>
      </w:pPr>
      <w:r w:rsidRPr="004907B3">
        <w:rPr>
          <w:rFonts w:ascii="Bookman Old Style" w:hAnsi="Bookman Old Style"/>
          <w:b/>
          <w:noProof/>
        </w:rPr>
        <w:drawing>
          <wp:anchor distT="0" distB="0" distL="114300" distR="114300" simplePos="0" relativeHeight="251661312" behindDoc="0" locked="0" layoutInCell="1" allowOverlap="1" wp14:anchorId="010B3EE6" wp14:editId="2778B11B">
            <wp:simplePos x="0" y="0"/>
            <wp:positionH relativeFrom="margin">
              <wp:posOffset>4600575</wp:posOffset>
            </wp:positionH>
            <wp:positionV relativeFrom="margin">
              <wp:posOffset>5183505</wp:posOffset>
            </wp:positionV>
            <wp:extent cx="1254760" cy="1743075"/>
            <wp:effectExtent l="0" t="0" r="254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760" cy="1743075"/>
                    </a:xfrm>
                    <a:prstGeom prst="rect">
                      <a:avLst/>
                    </a:prstGeom>
                    <a:noFill/>
                  </pic:spPr>
                </pic:pic>
              </a:graphicData>
            </a:graphic>
            <wp14:sizeRelV relativeFrom="margin">
              <wp14:pctHeight>0</wp14:pctHeight>
            </wp14:sizeRelV>
          </wp:anchor>
        </w:drawing>
      </w:r>
      <w:r w:rsidR="00A46441" w:rsidRPr="004907B3">
        <w:rPr>
          <w:rFonts w:ascii="Bookman Old Style" w:hAnsi="Bookman Old Style"/>
          <w:b/>
        </w:rPr>
        <w:t>Flood</w:t>
      </w:r>
      <w:r w:rsidR="00A46441" w:rsidRPr="00A46441">
        <w:rPr>
          <w:rFonts w:ascii="Bookman Old Style" w:hAnsi="Bookman Old Style"/>
        </w:rPr>
        <w:t xml:space="preserve"> – The City of Pasco is located west of the confluence of the Snake and Columbia rivers and is part of the Yakima Delta.  The threat of flooding in the City of Pasco is greatest in the months of December through February although flooding events may occur during other months of the year.  Winter flood events have the potential to produce the highest peak flows when significant snowfall is present, followed by rapidly rising temperatures and/or heavy rains.  The hazard assessment ranks flooding as a moderate probability and moder</w:t>
      </w:r>
      <w:r w:rsidR="00A46441">
        <w:rPr>
          <w:rFonts w:ascii="Bookman Old Style" w:hAnsi="Bookman Old Style"/>
        </w:rPr>
        <w:t>ate risk to lives and property.</w:t>
      </w:r>
    </w:p>
    <w:p w:rsidR="00A46441" w:rsidRDefault="00A46441" w:rsidP="00A46441">
      <w:pPr>
        <w:rPr>
          <w:rFonts w:ascii="Bookman Old Style" w:hAnsi="Bookman Old Style"/>
        </w:rPr>
      </w:pPr>
      <w:r w:rsidRPr="004907B3">
        <w:rPr>
          <w:rFonts w:ascii="Bookman Old Style" w:hAnsi="Bookman Old Style"/>
          <w:b/>
        </w:rPr>
        <w:t>Fire</w:t>
      </w:r>
      <w:r w:rsidRPr="00A46441">
        <w:rPr>
          <w:rFonts w:ascii="Bookman Old Style" w:hAnsi="Bookman Old Style"/>
        </w:rPr>
        <w:t xml:space="preserve"> – The Pasco Fire Department </w:t>
      </w:r>
      <w:r w:rsidR="004907B3">
        <w:rPr>
          <w:rFonts w:ascii="Bookman Old Style" w:hAnsi="Bookman Old Style"/>
        </w:rPr>
        <w:t xml:space="preserve">(PFD) </w:t>
      </w:r>
      <w:r w:rsidRPr="00A46441">
        <w:rPr>
          <w:rFonts w:ascii="Bookman Old Style" w:hAnsi="Bookman Old Style"/>
        </w:rPr>
        <w:t>experiences twice the regional median average of fires per 1,000 of population.</w:t>
      </w:r>
      <w:r w:rsidR="004907B3">
        <w:rPr>
          <w:rFonts w:ascii="Bookman Old Style" w:hAnsi="Bookman Old Style"/>
        </w:rPr>
        <w:t xml:space="preserve">  </w:t>
      </w:r>
      <w:r w:rsidR="009A06B0">
        <w:rPr>
          <w:rFonts w:ascii="Bookman Old Style" w:hAnsi="Bookman Old Style"/>
        </w:rPr>
        <w:t xml:space="preserve">  </w:t>
      </w:r>
    </w:p>
    <w:p w:rsidR="009A06B0" w:rsidRPr="00A46441" w:rsidRDefault="009A06B0" w:rsidP="009A06B0">
      <w:pPr>
        <w:jc w:val="center"/>
        <w:rPr>
          <w:rFonts w:ascii="Bookman Old Style" w:hAnsi="Bookman Old Style"/>
        </w:rPr>
      </w:pPr>
    </w:p>
    <w:p w:rsidR="00A46441" w:rsidRPr="00086773" w:rsidRDefault="00A46441" w:rsidP="00A46441">
      <w:pPr>
        <w:pStyle w:val="NoSpacing"/>
        <w:rPr>
          <w:rFonts w:ascii="Bookman Old Style" w:hAnsi="Bookman Old Style"/>
          <w:b/>
          <w:i/>
          <w:sz w:val="32"/>
        </w:rPr>
      </w:pPr>
      <w:r w:rsidRPr="00086773">
        <w:rPr>
          <w:rFonts w:ascii="Bookman Old Style" w:hAnsi="Bookman Old Style"/>
          <w:b/>
          <w:i/>
          <w:sz w:val="32"/>
        </w:rPr>
        <w:t>Human and Technological Hazards</w:t>
      </w:r>
    </w:p>
    <w:p w:rsidR="00A46441" w:rsidRDefault="00A46441" w:rsidP="00A46441">
      <w:pPr>
        <w:pStyle w:val="NoSpacing"/>
        <w:rPr>
          <w:rFonts w:ascii="Bookman Old Style" w:hAnsi="Bookman Old Style"/>
          <w:b/>
          <w:bCs/>
          <w:i/>
        </w:rPr>
      </w:pPr>
      <w:r w:rsidRPr="00086773">
        <w:rPr>
          <w:rFonts w:ascii="Bookman Old Style" w:hAnsi="Bookman Old Style"/>
          <w:b/>
          <w:bCs/>
          <w:i/>
        </w:rPr>
        <w:t>Hazardous Materials</w:t>
      </w:r>
    </w:p>
    <w:p w:rsidR="00A46441" w:rsidRPr="00086773" w:rsidRDefault="00A46441" w:rsidP="00A46441">
      <w:pPr>
        <w:pStyle w:val="NoSpacing"/>
        <w:rPr>
          <w:rFonts w:ascii="Bookman Old Style" w:hAnsi="Bookman Old Style"/>
          <w:b/>
          <w:i/>
        </w:rPr>
      </w:pPr>
    </w:p>
    <w:p w:rsidR="00A46441" w:rsidRDefault="00A46441" w:rsidP="00A46441">
      <w:pPr>
        <w:spacing w:line="240" w:lineRule="auto"/>
        <w:contextualSpacing/>
        <w:jc w:val="both"/>
        <w:rPr>
          <w:rFonts w:ascii="Bookman Old Style" w:hAnsi="Bookman Old Style"/>
        </w:rPr>
      </w:pPr>
      <w:r>
        <w:rPr>
          <w:rFonts w:ascii="Bookman Old Style" w:hAnsi="Bookman Old Style"/>
        </w:rPr>
        <w:t xml:space="preserve">Hazardous materials incidents pose a significant threat to the City of Pasco. </w:t>
      </w:r>
      <w:r w:rsidRPr="00086773">
        <w:rPr>
          <w:rFonts w:ascii="Bookman Old Style" w:hAnsi="Bookman Old Style"/>
        </w:rPr>
        <w:t xml:space="preserve">A hazardous materials incident can originate from a fixed facility or from any transportation medium.  The manufacture, use, transportation, storage and disposal of hazardous material products and dangerous wastes poses a potential risk to the </w:t>
      </w:r>
      <w:r w:rsidRPr="00086773">
        <w:rPr>
          <w:rFonts w:ascii="Bookman Old Style" w:hAnsi="Bookman Old Style"/>
        </w:rPr>
        <w:lastRenderedPageBreak/>
        <w:t>public health, safety and welfare, private and governmental properties, and the environment.</w:t>
      </w:r>
    </w:p>
    <w:p w:rsidR="00A46441" w:rsidRPr="00086773" w:rsidRDefault="00A46441" w:rsidP="00A46441">
      <w:pPr>
        <w:spacing w:line="240" w:lineRule="auto"/>
        <w:contextualSpacing/>
        <w:jc w:val="both"/>
        <w:rPr>
          <w:rFonts w:ascii="Bookman Old Style" w:hAnsi="Bookman Old Style"/>
        </w:rPr>
      </w:pPr>
    </w:p>
    <w:p w:rsidR="00A46441" w:rsidRDefault="00A46441" w:rsidP="00A46441">
      <w:pPr>
        <w:spacing w:line="240" w:lineRule="auto"/>
        <w:contextualSpacing/>
        <w:jc w:val="both"/>
        <w:rPr>
          <w:rFonts w:ascii="Bookman Old Style" w:hAnsi="Bookman Old Style"/>
        </w:rPr>
      </w:pPr>
      <w:r w:rsidRPr="00086773">
        <w:rPr>
          <w:rFonts w:ascii="Bookman Old Style" w:hAnsi="Bookman Old Style"/>
        </w:rPr>
        <w:t>The U.S. Department of Transportation classifies a material as hazardous if it is corrosive, explosive, toxic, flammable, biologically irritating, radioactive, or packaged in a dangerous container.</w:t>
      </w:r>
    </w:p>
    <w:p w:rsidR="00A46441" w:rsidRPr="00086773" w:rsidRDefault="00A46441" w:rsidP="00A46441">
      <w:pPr>
        <w:spacing w:line="240" w:lineRule="auto"/>
        <w:contextualSpacing/>
        <w:jc w:val="both"/>
        <w:rPr>
          <w:rFonts w:ascii="Bookman Old Style" w:hAnsi="Bookman Old Style"/>
        </w:rPr>
      </w:pPr>
    </w:p>
    <w:p w:rsidR="00A46441" w:rsidRPr="00086773" w:rsidRDefault="00A46441" w:rsidP="00A46441">
      <w:pPr>
        <w:spacing w:line="240" w:lineRule="auto"/>
        <w:contextualSpacing/>
        <w:rPr>
          <w:rFonts w:ascii="Bookman Old Style" w:hAnsi="Bookman Old Style"/>
        </w:rPr>
      </w:pPr>
      <w:r w:rsidRPr="00086773">
        <w:rPr>
          <w:rFonts w:ascii="Bookman Old Style" w:hAnsi="Bookman Old Style"/>
        </w:rPr>
        <w:t>These materials are regulated while in transit, and when stored on site by a variety of local, state, and federal guidelines.  Federal regulations, such as Title III of the Superfund Amendments and Reauthorization Act, have made it easier for local governmental agencies to track the presence of hazardous materials in their jurisdictions.</w:t>
      </w:r>
    </w:p>
    <w:p w:rsidR="00A46441" w:rsidRDefault="00A46441" w:rsidP="00A46441">
      <w:pPr>
        <w:spacing w:line="240" w:lineRule="auto"/>
        <w:contextualSpacing/>
        <w:jc w:val="both"/>
        <w:rPr>
          <w:rFonts w:ascii="Bookman Old Style" w:hAnsi="Bookman Old Style"/>
        </w:rPr>
      </w:pPr>
    </w:p>
    <w:p w:rsidR="00A46441" w:rsidRDefault="00A46441" w:rsidP="00A46441">
      <w:pPr>
        <w:spacing w:line="240" w:lineRule="auto"/>
        <w:contextualSpacing/>
        <w:jc w:val="both"/>
        <w:rPr>
          <w:rFonts w:ascii="Bookman Old Style" w:hAnsi="Bookman Old Style"/>
        </w:rPr>
      </w:pPr>
      <w:r w:rsidRPr="00086773">
        <w:rPr>
          <w:rFonts w:ascii="Bookman Old Style" w:hAnsi="Bookman Old Style"/>
        </w:rPr>
        <w:t xml:space="preserve">Franklin County </w:t>
      </w:r>
      <w:r w:rsidR="004907B3">
        <w:rPr>
          <w:rFonts w:ascii="Bookman Old Style" w:hAnsi="Bookman Old Style"/>
        </w:rPr>
        <w:t xml:space="preserve">and the City of Pasco </w:t>
      </w:r>
      <w:r w:rsidRPr="00086773">
        <w:rPr>
          <w:rFonts w:ascii="Bookman Old Style" w:hAnsi="Bookman Old Style"/>
        </w:rPr>
        <w:t xml:space="preserve">has suffered both transportation and fixed facility hazardous materials accidents. Most incidents </w:t>
      </w:r>
      <w:r w:rsidR="004B752B">
        <w:rPr>
          <w:rFonts w:ascii="Bookman Old Style" w:hAnsi="Bookman Old Style"/>
        </w:rPr>
        <w:t xml:space="preserve">have </w:t>
      </w:r>
      <w:r w:rsidRPr="00086773">
        <w:rPr>
          <w:rFonts w:ascii="Bookman Old Style" w:hAnsi="Bookman Old Style"/>
        </w:rPr>
        <w:t>involve</w:t>
      </w:r>
      <w:r w:rsidR="004B752B">
        <w:rPr>
          <w:rFonts w:ascii="Bookman Old Style" w:hAnsi="Bookman Old Style"/>
        </w:rPr>
        <w:t>d</w:t>
      </w:r>
      <w:r w:rsidRPr="00086773">
        <w:rPr>
          <w:rFonts w:ascii="Bookman Old Style" w:hAnsi="Bookman Old Style"/>
        </w:rPr>
        <w:t xml:space="preserve"> petroleum products, or agricultural products such as anhydrous ammonia. There has been a massive increase of the transportation of </w:t>
      </w:r>
      <w:proofErr w:type="spellStart"/>
      <w:r w:rsidRPr="00086773">
        <w:rPr>
          <w:rFonts w:ascii="Bookman Old Style" w:hAnsi="Bookman Old Style"/>
        </w:rPr>
        <w:t>Baakan</w:t>
      </w:r>
      <w:proofErr w:type="spellEnd"/>
      <w:r w:rsidRPr="00086773">
        <w:rPr>
          <w:rFonts w:ascii="Bookman Old Style" w:hAnsi="Bookman Old Style"/>
        </w:rPr>
        <w:t xml:space="preserve"> Crude Oil and Coal through Franklin County and the cities of Connell, Mesa and Pasco.</w:t>
      </w:r>
    </w:p>
    <w:p w:rsidR="00A46441" w:rsidRPr="00086773" w:rsidRDefault="00A46441" w:rsidP="00A46441">
      <w:pPr>
        <w:spacing w:line="240" w:lineRule="auto"/>
        <w:contextualSpacing/>
        <w:jc w:val="both"/>
        <w:rPr>
          <w:rFonts w:ascii="Bookman Old Style" w:hAnsi="Bookman Old Style"/>
        </w:rPr>
      </w:pPr>
    </w:p>
    <w:p w:rsidR="00A46441" w:rsidRPr="00086773" w:rsidRDefault="00A46441" w:rsidP="00A46441">
      <w:pPr>
        <w:jc w:val="both"/>
        <w:rPr>
          <w:rFonts w:ascii="Bookman Old Style" w:hAnsi="Bookman Old Style"/>
        </w:rPr>
      </w:pPr>
      <w:r w:rsidRPr="00086773">
        <w:rPr>
          <w:rFonts w:ascii="Bookman Old Style" w:hAnsi="Bookman Old Style"/>
        </w:rPr>
        <w:t xml:space="preserve">Major incidents include a 1996 release of 2000 gallons of anhydrous ammonia in downtown Pasco, forcing residential evacuation and sending over 100 people to be evaluated at the hospital, and a </w:t>
      </w:r>
      <w:r>
        <w:rPr>
          <w:rFonts w:ascii="Bookman Old Style" w:hAnsi="Bookman Old Style"/>
        </w:rPr>
        <w:t>July 2011 train derailment involving methane gas on the Ainsworth artery.</w:t>
      </w:r>
    </w:p>
    <w:p w:rsidR="00A46441" w:rsidRDefault="00A46441" w:rsidP="00A46441">
      <w:pPr>
        <w:spacing w:line="240" w:lineRule="auto"/>
        <w:contextualSpacing/>
        <w:jc w:val="both"/>
        <w:rPr>
          <w:rFonts w:ascii="Bookman Old Style" w:hAnsi="Bookman Old Style"/>
        </w:rPr>
      </w:pPr>
      <w:r w:rsidRPr="00086773">
        <w:rPr>
          <w:rFonts w:ascii="Bookman Old Style" w:hAnsi="Bookman Old Style"/>
        </w:rPr>
        <w:t>Hazardous materials incidents occur suddenly and can cause damage to people and property without any warning.  The impact of this type of emergency can last from a few minutes to weeks, months and even years before damage to the environment could be repaired.</w:t>
      </w:r>
    </w:p>
    <w:p w:rsidR="00A46441" w:rsidRPr="00086773" w:rsidRDefault="00A46441" w:rsidP="00A46441">
      <w:pPr>
        <w:spacing w:line="240" w:lineRule="auto"/>
        <w:contextualSpacing/>
        <w:jc w:val="both"/>
        <w:rPr>
          <w:rFonts w:ascii="Bookman Old Style" w:hAnsi="Bookman Old Style"/>
        </w:rPr>
      </w:pPr>
    </w:p>
    <w:p w:rsidR="00A46441" w:rsidRDefault="00A46441" w:rsidP="00A46441">
      <w:pPr>
        <w:spacing w:line="240" w:lineRule="auto"/>
        <w:contextualSpacing/>
        <w:rPr>
          <w:rFonts w:ascii="Bookman Old Style" w:hAnsi="Bookman Old Style"/>
        </w:rPr>
      </w:pPr>
      <w:r w:rsidRPr="00086773">
        <w:rPr>
          <w:rFonts w:ascii="Bookman Old Style" w:hAnsi="Bookman Old Style"/>
        </w:rPr>
        <w:t>Any incident in which hazardous materials are involved has the potential for escalation from a relatively minor incident into a full scale disaster.  The hazardous properties of chemicals, motor fuels, radioactive substances and other potentially dangerous materials range from highly flammable to explosive to poisonous.  These chemicals have the ability to contaminate the environment with quantities harmful to human, animal and plant life.  The potential for loss of life, extensive property damage, environmental contamination, and economic loss always remains high when hazardous materials are involved.</w:t>
      </w:r>
    </w:p>
    <w:p w:rsidR="00A46441" w:rsidRPr="00086773" w:rsidRDefault="00A46441" w:rsidP="00A46441">
      <w:pPr>
        <w:spacing w:line="240" w:lineRule="auto"/>
        <w:contextualSpacing/>
        <w:rPr>
          <w:rFonts w:ascii="Bookman Old Style" w:hAnsi="Bookman Old Style"/>
        </w:rPr>
      </w:pPr>
    </w:p>
    <w:p w:rsidR="00A46441" w:rsidRPr="00086773" w:rsidRDefault="00A46441" w:rsidP="00A46441">
      <w:pPr>
        <w:spacing w:line="240" w:lineRule="auto"/>
        <w:contextualSpacing/>
        <w:jc w:val="both"/>
        <w:rPr>
          <w:rFonts w:ascii="Bookman Old Style" w:hAnsi="Bookman Old Style"/>
        </w:rPr>
      </w:pPr>
      <w:r w:rsidRPr="00086773">
        <w:rPr>
          <w:rFonts w:ascii="Bookman Old Style" w:hAnsi="Bookman Old Style"/>
        </w:rPr>
        <w:t>The effects of a hazardous materials incident vary depending on such factors as the type and quantity of material(s) involved, the location, time of day, and weather conditions.  In the case of airborne contaminants, wind speed and direction are extremely important for response procedures and capabilities.  Mass evacuation or widespread shelter-in-place should be considered a high priority when dealing with airborne or potential airborne contamination</w:t>
      </w:r>
      <w:r>
        <w:rPr>
          <w:rFonts w:ascii="Bookman Old Style" w:hAnsi="Bookman Old Style"/>
        </w:rPr>
        <w:t>.</w:t>
      </w:r>
    </w:p>
    <w:p w:rsidR="00A46441" w:rsidRDefault="00A46441" w:rsidP="00A46441">
      <w:pPr>
        <w:autoSpaceDE w:val="0"/>
        <w:autoSpaceDN w:val="0"/>
        <w:adjustRightInd w:val="0"/>
        <w:spacing w:line="240" w:lineRule="auto"/>
        <w:contextualSpacing/>
        <w:rPr>
          <w:rFonts w:ascii="Bookman Old Style" w:hAnsi="Bookman Old Style"/>
          <w:b/>
          <w:bCs/>
          <w:i/>
          <w:color w:val="000000"/>
        </w:rPr>
      </w:pPr>
    </w:p>
    <w:p w:rsidR="00A46441" w:rsidRPr="00086773" w:rsidRDefault="00A46441" w:rsidP="00A46441">
      <w:pPr>
        <w:autoSpaceDE w:val="0"/>
        <w:autoSpaceDN w:val="0"/>
        <w:adjustRightInd w:val="0"/>
        <w:spacing w:line="240" w:lineRule="auto"/>
        <w:contextualSpacing/>
        <w:rPr>
          <w:rFonts w:ascii="Bookman Old Style" w:hAnsi="Bookman Old Style"/>
          <w:b/>
          <w:bCs/>
          <w:i/>
          <w:color w:val="000000"/>
        </w:rPr>
      </w:pPr>
      <w:r w:rsidRPr="00086773">
        <w:rPr>
          <w:rFonts w:ascii="Bookman Old Style" w:hAnsi="Bookman Old Style"/>
          <w:b/>
          <w:bCs/>
          <w:i/>
          <w:color w:val="000000"/>
        </w:rPr>
        <w:t>Pandemics</w:t>
      </w:r>
    </w:p>
    <w:p w:rsidR="00A46441" w:rsidRDefault="00A46441" w:rsidP="00A46441">
      <w:pPr>
        <w:pStyle w:val="NoSpacing"/>
        <w:contextualSpacing/>
        <w:jc w:val="both"/>
        <w:rPr>
          <w:rFonts w:ascii="Bookman Old Style" w:hAnsi="Bookman Old Style"/>
        </w:rPr>
      </w:pPr>
      <w:r>
        <w:rPr>
          <w:rFonts w:ascii="Bookman Old Style" w:hAnsi="Bookman Old Style"/>
        </w:rPr>
        <w:t>A pandemic event will affect the City of Pasco personnel resources.  Normally, influenza epidemics occur annually and usually peak between December and March in temperate regions in the Norther</w:t>
      </w:r>
      <w:r w:rsidR="00DF5637">
        <w:rPr>
          <w:rFonts w:ascii="Bookman Old Style" w:hAnsi="Bookman Old Style"/>
        </w:rPr>
        <w:t>n</w:t>
      </w:r>
      <w:r>
        <w:rPr>
          <w:rFonts w:ascii="Bookman Old Style" w:hAnsi="Bookman Old Style"/>
        </w:rPr>
        <w:t xml:space="preserve"> Hemisphere.  In the United States, annual influenza </w:t>
      </w:r>
      <w:r>
        <w:rPr>
          <w:rFonts w:ascii="Bookman Old Style" w:hAnsi="Bookman Old Style"/>
        </w:rPr>
        <w:lastRenderedPageBreak/>
        <w:t xml:space="preserve">epidemics are associated </w:t>
      </w:r>
      <w:r w:rsidR="00DF5637">
        <w:rPr>
          <w:rFonts w:ascii="Bookman Old Style" w:hAnsi="Bookman Old Style"/>
        </w:rPr>
        <w:t>with an average of 36,000</w:t>
      </w:r>
      <w:r>
        <w:rPr>
          <w:rFonts w:ascii="Bookman Old Style" w:hAnsi="Bookman Old Style"/>
        </w:rPr>
        <w:t xml:space="preserve"> dea</w:t>
      </w:r>
      <w:r w:rsidR="00DF5637">
        <w:rPr>
          <w:rFonts w:ascii="Bookman Old Style" w:hAnsi="Bookman Old Style"/>
        </w:rPr>
        <w:t xml:space="preserve">ths and more than </w:t>
      </w:r>
      <w:r w:rsidR="00F4618B">
        <w:rPr>
          <w:rFonts w:ascii="Bookman Old Style" w:hAnsi="Bookman Old Style"/>
        </w:rPr>
        <w:t>110,000 hospitalizations</w:t>
      </w:r>
      <w:r>
        <w:rPr>
          <w:rFonts w:ascii="Bookman Old Style" w:hAnsi="Bookman Old Style"/>
        </w:rPr>
        <w:t>.</w:t>
      </w:r>
    </w:p>
    <w:p w:rsidR="00A46441" w:rsidRDefault="00A46441" w:rsidP="00A46441">
      <w:pPr>
        <w:pStyle w:val="NoSpacing"/>
        <w:rPr>
          <w:rFonts w:ascii="Bookman Old Style" w:hAnsi="Bookman Old Style"/>
        </w:rPr>
      </w:pPr>
    </w:p>
    <w:p w:rsidR="00A46441" w:rsidRDefault="00A46441" w:rsidP="00A46441">
      <w:pPr>
        <w:pStyle w:val="NoSpacing"/>
        <w:contextualSpacing/>
        <w:rPr>
          <w:rFonts w:ascii="Bookman Old Style" w:hAnsi="Bookman Old Style"/>
        </w:rPr>
      </w:pPr>
      <w:r>
        <w:rPr>
          <w:rFonts w:ascii="Bookman Old Style" w:hAnsi="Bookman Old Style"/>
        </w:rPr>
        <w:t>Based on previous pandemics, attack rates for influenza in a community during a pandemic are likely to be as high as 35%.  Although influenza cases and deaths are likely to occur over a several month period throughout the U.S., within the community most of the impact is likely to occur within 4 to 8 weeks.</w:t>
      </w:r>
    </w:p>
    <w:p w:rsidR="00A46441" w:rsidRDefault="00A46441" w:rsidP="00A46441">
      <w:pPr>
        <w:pStyle w:val="NoSpacing"/>
        <w:rPr>
          <w:rFonts w:ascii="Bookman Old Style" w:hAnsi="Bookman Old Style"/>
        </w:rPr>
      </w:pPr>
    </w:p>
    <w:p w:rsidR="00A46441" w:rsidRDefault="00A46441" w:rsidP="00A46441">
      <w:pPr>
        <w:pStyle w:val="NoSpacing"/>
        <w:contextualSpacing/>
        <w:jc w:val="both"/>
        <w:rPr>
          <w:rFonts w:ascii="Bookman Old Style" w:hAnsi="Bookman Old Style"/>
        </w:rPr>
      </w:pPr>
      <w:r>
        <w:rPr>
          <w:rFonts w:ascii="Bookman Old Style" w:hAnsi="Bookman Old Style"/>
        </w:rPr>
        <w:t xml:space="preserve">Health care demands are likely to increase substantially during a pandemic while simultaneously the City is likely to see a decrease in response personnel resources.  These demands will likely lead to critical shortages and increased personnel costs.  </w:t>
      </w:r>
    </w:p>
    <w:p w:rsidR="00A46441" w:rsidRDefault="00A46441" w:rsidP="00A46441">
      <w:pPr>
        <w:pStyle w:val="NoSpacing"/>
        <w:rPr>
          <w:rFonts w:ascii="Bookman Old Style" w:hAnsi="Bookman Old Style"/>
        </w:rPr>
      </w:pPr>
    </w:p>
    <w:p w:rsidR="00A46441" w:rsidRDefault="00A46441" w:rsidP="00A46441">
      <w:pPr>
        <w:pStyle w:val="NoSpacing"/>
        <w:contextualSpacing/>
        <w:jc w:val="both"/>
        <w:rPr>
          <w:rFonts w:ascii="Bookman Old Style" w:hAnsi="Bookman Old Style"/>
        </w:rPr>
      </w:pPr>
      <w:r>
        <w:rPr>
          <w:rFonts w:ascii="Bookman Old Style" w:hAnsi="Bookman Old Style"/>
        </w:rPr>
        <w:t>In addition to the increased overall need for health care services, illness and death patterns during pandemic</w:t>
      </w:r>
      <w:r w:rsidR="00DF5637">
        <w:rPr>
          <w:rFonts w:ascii="Bookman Old Style" w:hAnsi="Bookman Old Style"/>
        </w:rPr>
        <w:t xml:space="preserve"> events</w:t>
      </w:r>
      <w:r>
        <w:rPr>
          <w:rFonts w:ascii="Bookman Old Style" w:hAnsi="Bookman Old Style"/>
        </w:rPr>
        <w:t xml:space="preserve"> may differ substantially from those seen during non-pandemic years when older adults and persons with compromised immune systems primarily are at risk for serious disease and death.  During the three pandemics of the 20</w:t>
      </w:r>
      <w:r>
        <w:rPr>
          <w:rFonts w:ascii="Bookman Old Style" w:hAnsi="Bookman Old Style"/>
          <w:vertAlign w:val="superscript"/>
        </w:rPr>
        <w:t xml:space="preserve">th </w:t>
      </w:r>
      <w:r>
        <w:rPr>
          <w:rFonts w:ascii="Bookman Old Style" w:hAnsi="Bookman Old Style"/>
        </w:rPr>
        <w:t>century, a substantial portion of the total deaths occurred among persons younger than 65 years who would not be considered at high risk during non-pandemic years.  Higher rates of work absenteeism are likely to occur as employees become ill or need to care for ill family members.</w:t>
      </w:r>
    </w:p>
    <w:p w:rsidR="00A46441" w:rsidRDefault="00A46441" w:rsidP="00A46441">
      <w:pPr>
        <w:pStyle w:val="NoSpacing"/>
        <w:rPr>
          <w:rFonts w:ascii="Bookman Old Style" w:hAnsi="Bookman Old Style"/>
        </w:rPr>
      </w:pPr>
    </w:p>
    <w:p w:rsidR="00A46441" w:rsidRPr="00086773" w:rsidRDefault="00A46441" w:rsidP="00A46441">
      <w:pPr>
        <w:pStyle w:val="NoSpacing"/>
        <w:jc w:val="both"/>
        <w:rPr>
          <w:rFonts w:ascii="Bookman Old Style" w:hAnsi="Bookman Old Style"/>
          <w:b/>
          <w:i/>
        </w:rPr>
      </w:pPr>
      <w:r>
        <w:rPr>
          <w:rFonts w:ascii="Bookman Old Style" w:hAnsi="Bookman Old Style"/>
          <w:b/>
          <w:i/>
        </w:rPr>
        <w:t>Terrorism/Hostile Action</w:t>
      </w:r>
    </w:p>
    <w:p w:rsidR="00A46441" w:rsidRDefault="00A46441" w:rsidP="00A46441">
      <w:pPr>
        <w:pStyle w:val="NoSpacing"/>
        <w:jc w:val="both"/>
        <w:rPr>
          <w:rFonts w:ascii="Bookman Old Style" w:hAnsi="Bookman Old Style"/>
        </w:rPr>
      </w:pPr>
      <w:r>
        <w:rPr>
          <w:rFonts w:ascii="Bookman Old Style" w:hAnsi="Bookman Old Style"/>
        </w:rPr>
        <w:t xml:space="preserve"> </w:t>
      </w:r>
    </w:p>
    <w:p w:rsidR="00A46441" w:rsidRDefault="00A46441" w:rsidP="00A46441">
      <w:pPr>
        <w:pStyle w:val="NoSpacing"/>
        <w:contextualSpacing/>
        <w:jc w:val="both"/>
        <w:rPr>
          <w:rFonts w:ascii="Bookman Old Style" w:hAnsi="Bookman Old Style"/>
        </w:rPr>
      </w:pPr>
      <w:r>
        <w:rPr>
          <w:rFonts w:ascii="Bookman Old Style" w:hAnsi="Bookman Old Style"/>
        </w:rPr>
        <w:t xml:space="preserve">The City of Pasco has several potential targets of interest for terrorist groups and/or </w:t>
      </w:r>
      <w:proofErr w:type="gramStart"/>
      <w:r>
        <w:rPr>
          <w:rFonts w:ascii="Bookman Old Style" w:hAnsi="Bookman Old Style"/>
        </w:rPr>
        <w:t>are</w:t>
      </w:r>
      <w:proofErr w:type="gramEnd"/>
      <w:r>
        <w:rPr>
          <w:rFonts w:ascii="Bookman Old Style" w:hAnsi="Bookman Old Style"/>
        </w:rPr>
        <w:t xml:space="preserve"> potential “soft targets” for hostile actions (active shooter).  There are several large facilities that have extremely hazardous chemicals in their inventory, the county seat and city administration facilities are all located within close proximity of each other.  Additionally, the City of Pasco is a transportation hub for rail, barge, vehicular and aviation travel.  The Ice Harbor Dam is located 7 miles north of the city on the Snake River and there is a very large agricultural and food industry in the city that is susceptible to biological terrorism.</w:t>
      </w:r>
    </w:p>
    <w:p w:rsidR="00A46441" w:rsidRDefault="00A46441" w:rsidP="00A46441">
      <w:pPr>
        <w:pStyle w:val="NoSpacing"/>
        <w:rPr>
          <w:rFonts w:ascii="Bookman Old Style" w:hAnsi="Bookman Old Style"/>
        </w:rPr>
      </w:pPr>
    </w:p>
    <w:p w:rsidR="00A46441" w:rsidRDefault="00A46441" w:rsidP="00A46441">
      <w:pPr>
        <w:pStyle w:val="NoSpacing"/>
        <w:contextualSpacing/>
        <w:jc w:val="both"/>
        <w:rPr>
          <w:rFonts w:ascii="Bookman Old Style" w:hAnsi="Bookman Old Style"/>
        </w:rPr>
      </w:pPr>
      <w:r>
        <w:rPr>
          <w:rFonts w:ascii="Bookman Old Style" w:hAnsi="Bookman Old Style"/>
        </w:rPr>
        <w:t>As of 2017, the Pasco School District funded 22 public schools within the city limits.  The Columbia Basin College is also located within the city limits as well as two private schools.</w:t>
      </w:r>
    </w:p>
    <w:p w:rsidR="00A46441" w:rsidRDefault="00A46441" w:rsidP="00A46441">
      <w:pPr>
        <w:pStyle w:val="NoSpacing"/>
        <w:rPr>
          <w:rFonts w:ascii="Bookman Old Style" w:hAnsi="Bookman Old Style"/>
        </w:rPr>
      </w:pPr>
    </w:p>
    <w:p w:rsidR="00A46441" w:rsidRDefault="00A46441" w:rsidP="00A46441">
      <w:pPr>
        <w:pStyle w:val="NoSpacing"/>
        <w:jc w:val="center"/>
        <w:rPr>
          <w:rFonts w:ascii="Bookman Old Style" w:hAnsi="Bookman Old Style"/>
          <w:b/>
          <w:i/>
        </w:rPr>
      </w:pPr>
      <w:r>
        <w:rPr>
          <w:rFonts w:ascii="Bookman Old Style" w:hAnsi="Bookman Old Style"/>
          <w:b/>
          <w:i/>
        </w:rPr>
        <w:t>Summary of Human and Technological Risks</w:t>
      </w:r>
    </w:p>
    <w:p w:rsidR="00A46441" w:rsidRDefault="00A46441" w:rsidP="00A46441">
      <w:pPr>
        <w:pStyle w:val="NoSpacing"/>
        <w:rPr>
          <w:rFonts w:ascii="Bookman Old Style" w:hAnsi="Bookman Old Style"/>
          <w:b/>
          <w:i/>
        </w:rPr>
      </w:pPr>
    </w:p>
    <w:tbl>
      <w:tblPr>
        <w:tblStyle w:val="LightShading-Accent5"/>
        <w:tblW w:w="0" w:type="auto"/>
        <w:tblLook w:val="04A0" w:firstRow="1" w:lastRow="0" w:firstColumn="1" w:lastColumn="0" w:noHBand="0" w:noVBand="1"/>
      </w:tblPr>
      <w:tblGrid>
        <w:gridCol w:w="3192"/>
        <w:gridCol w:w="3192"/>
        <w:gridCol w:w="3192"/>
      </w:tblGrid>
      <w:tr w:rsidR="00A46441" w:rsidTr="00F46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b w:val="0"/>
                <w:color w:val="auto"/>
              </w:rPr>
            </w:pPr>
            <w:r w:rsidRPr="00D45972">
              <w:rPr>
                <w:rFonts w:ascii="Bookman Old Style" w:hAnsi="Bookman Old Style"/>
                <w:color w:val="auto"/>
              </w:rPr>
              <w:t>Hazard</w:t>
            </w:r>
          </w:p>
        </w:tc>
        <w:tc>
          <w:tcPr>
            <w:tcW w:w="3192" w:type="dxa"/>
          </w:tcPr>
          <w:p w:rsidR="00A46441" w:rsidRPr="00D45972" w:rsidRDefault="00A46441" w:rsidP="00F4618B">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color w:val="auto"/>
              </w:rPr>
            </w:pPr>
            <w:r w:rsidRPr="00D45972">
              <w:rPr>
                <w:rFonts w:ascii="Bookman Old Style" w:hAnsi="Bookman Old Style"/>
                <w:color w:val="auto"/>
              </w:rPr>
              <w:t>Probability</w:t>
            </w:r>
          </w:p>
        </w:tc>
        <w:tc>
          <w:tcPr>
            <w:tcW w:w="3192" w:type="dxa"/>
          </w:tcPr>
          <w:p w:rsidR="00A46441" w:rsidRPr="00D45972" w:rsidRDefault="00A46441" w:rsidP="00F4618B">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color w:val="auto"/>
              </w:rPr>
            </w:pPr>
            <w:r w:rsidRPr="00D45972">
              <w:rPr>
                <w:rFonts w:ascii="Bookman Old Style" w:hAnsi="Bookman Old Style"/>
                <w:color w:val="auto"/>
              </w:rPr>
              <w:t>Risk</w:t>
            </w:r>
          </w:p>
        </w:tc>
      </w:tr>
      <w:tr w:rsidR="00A46441" w:rsidTr="00F4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Hazardous Materials</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High</w:t>
            </w:r>
          </w:p>
        </w:tc>
      </w:tr>
      <w:tr w:rsidR="00A46441" w:rsidTr="00F4618B">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Pandemic</w:t>
            </w:r>
          </w:p>
        </w:tc>
        <w:tc>
          <w:tcPr>
            <w:tcW w:w="3192" w:type="dxa"/>
          </w:tcPr>
          <w:p w:rsidR="00A46441" w:rsidRPr="00D45972" w:rsidRDefault="00A46441" w:rsidP="00F4618B">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A46441" w:rsidRPr="00D45972" w:rsidRDefault="00A46441" w:rsidP="00F4618B">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Pr>
                <w:rFonts w:ascii="Bookman Old Style" w:hAnsi="Bookman Old Style"/>
                <w:color w:val="auto"/>
              </w:rPr>
              <w:t>Moderate</w:t>
            </w:r>
          </w:p>
        </w:tc>
      </w:tr>
      <w:tr w:rsidR="00A46441" w:rsidTr="00F4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Terrorism/Hostile Action</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bl>
    <w:p w:rsidR="00A46441" w:rsidRPr="00086773" w:rsidRDefault="00A46441" w:rsidP="00A46441">
      <w:pPr>
        <w:pStyle w:val="NoSpacing"/>
        <w:jc w:val="center"/>
        <w:rPr>
          <w:rFonts w:ascii="Bookman Old Style" w:hAnsi="Bookman Old Style"/>
        </w:rPr>
      </w:pPr>
    </w:p>
    <w:p w:rsidR="00A46441" w:rsidRDefault="00A46441" w:rsidP="00A46441">
      <w:pPr>
        <w:pStyle w:val="NoSpacing"/>
        <w:rPr>
          <w:rFonts w:ascii="Bookman Old Style" w:hAnsi="Bookman Old Style"/>
          <w:b/>
          <w:i/>
        </w:rPr>
      </w:pPr>
      <w:r>
        <w:rPr>
          <w:rFonts w:ascii="Bookman Old Style" w:hAnsi="Bookman Old Style"/>
          <w:b/>
          <w:i/>
        </w:rPr>
        <w:t>Human and Technological Risks – Conclusion</w:t>
      </w:r>
    </w:p>
    <w:p w:rsidR="00A46441" w:rsidRDefault="00A46441" w:rsidP="00A46441">
      <w:pPr>
        <w:pStyle w:val="NoSpacing"/>
        <w:rPr>
          <w:rFonts w:ascii="Bookman Old Style" w:hAnsi="Bookman Old Style"/>
        </w:rPr>
      </w:pPr>
    </w:p>
    <w:p w:rsidR="00A46441" w:rsidRPr="00704588" w:rsidRDefault="00A46441" w:rsidP="00A46441">
      <w:pPr>
        <w:pStyle w:val="NoSpacing"/>
        <w:rPr>
          <w:rFonts w:ascii="Bookman Old Style" w:hAnsi="Bookman Old Style"/>
        </w:rPr>
      </w:pPr>
      <w:r>
        <w:rPr>
          <w:rFonts w:ascii="Bookman Old Style" w:hAnsi="Bookman Old Style"/>
        </w:rPr>
        <w:t xml:space="preserve">With the exception of a Pandemic, the human and technological risks are classified as relatively low frequency – moderate risk.  These events will require specialized response capabilities such as Hazardous Materials Response Teams, Special Weapons and Tactics Teams, etc.  The magnitude and duration of the event(s) can range the </w:t>
      </w:r>
      <w:r>
        <w:rPr>
          <w:rFonts w:ascii="Bookman Old Style" w:hAnsi="Bookman Old Style"/>
        </w:rPr>
        <w:lastRenderedPageBreak/>
        <w:t>spectrum from acute (short-lived) to long term.  The primary effects are likely to be economic and loss of life.</w:t>
      </w:r>
    </w:p>
    <w:p w:rsidR="00A46441" w:rsidRPr="009B2A81" w:rsidRDefault="00A46441" w:rsidP="00A46441">
      <w:pPr>
        <w:pStyle w:val="NoSpacing"/>
        <w:rPr>
          <w:rFonts w:ascii="Bookman Old Style" w:hAnsi="Bookman Old Style"/>
        </w:rPr>
      </w:pPr>
    </w:p>
    <w:p w:rsidR="00A46441" w:rsidRPr="00B27664" w:rsidRDefault="00A46441" w:rsidP="00A46441">
      <w:pPr>
        <w:pStyle w:val="NoSpacing"/>
        <w:rPr>
          <w:rFonts w:ascii="Bookman Old Style" w:hAnsi="Bookman Old Style"/>
          <w:b/>
          <w:i/>
          <w:sz w:val="32"/>
        </w:rPr>
      </w:pPr>
      <w:r w:rsidRPr="00B27664">
        <w:rPr>
          <w:rFonts w:ascii="Bookman Old Style" w:hAnsi="Bookman Old Style"/>
          <w:b/>
          <w:i/>
          <w:sz w:val="32"/>
        </w:rPr>
        <w:t>Transportation Risks</w:t>
      </w:r>
    </w:p>
    <w:p w:rsidR="00A46441" w:rsidRDefault="00A46441" w:rsidP="00A46441">
      <w:pPr>
        <w:pStyle w:val="NoSpacing"/>
        <w:rPr>
          <w:rFonts w:ascii="Bookman Old Style" w:hAnsi="Bookman Old Style"/>
          <w:b/>
          <w:i/>
        </w:rPr>
      </w:pPr>
      <w:r>
        <w:rPr>
          <w:rFonts w:ascii="Bookman Old Style" w:hAnsi="Bookman Old Style"/>
          <w:b/>
          <w:i/>
        </w:rPr>
        <w:t>Aviation</w:t>
      </w:r>
    </w:p>
    <w:p w:rsidR="00A46441" w:rsidRDefault="00A46441" w:rsidP="00A46441">
      <w:pPr>
        <w:pStyle w:val="NoSpacing"/>
        <w:rPr>
          <w:rFonts w:ascii="Bookman Old Style" w:hAnsi="Bookman Old Style"/>
        </w:rPr>
      </w:pPr>
    </w:p>
    <w:p w:rsidR="00A46441" w:rsidRDefault="00A46441" w:rsidP="00A46441">
      <w:pPr>
        <w:pStyle w:val="NoSpacing"/>
        <w:spacing w:after="200"/>
        <w:contextualSpacing/>
        <w:jc w:val="both"/>
        <w:rPr>
          <w:rFonts w:ascii="Bookman Old Style" w:hAnsi="Bookman Old Style"/>
        </w:rPr>
      </w:pPr>
      <w:r>
        <w:rPr>
          <w:rFonts w:ascii="Bookman Old Style" w:hAnsi="Bookman Old Style"/>
        </w:rPr>
        <w:t xml:space="preserve">The Tri-Cities Airport (FAA Index B), located in the north-central portion of the City of Pasco, is the largest airport in southeastern Washington and the fourth largest airport in the state of Washington with enplanements in excess of 300,000 per year (2014-2016).  The airport is serviced by four commercial passenger airlines, commercial cargo services, </w:t>
      </w:r>
      <w:proofErr w:type="gramStart"/>
      <w:r>
        <w:rPr>
          <w:rFonts w:ascii="Bookman Old Style" w:hAnsi="Bookman Old Style"/>
        </w:rPr>
        <w:t>charters</w:t>
      </w:r>
      <w:proofErr w:type="gramEnd"/>
      <w:r>
        <w:rPr>
          <w:rFonts w:ascii="Bookman Old Style" w:hAnsi="Bookman Old Style"/>
        </w:rPr>
        <w:t>, military and private aircraft.</w:t>
      </w:r>
    </w:p>
    <w:p w:rsidR="00A46441" w:rsidRDefault="00A46441" w:rsidP="00A46441">
      <w:pPr>
        <w:pStyle w:val="NoSpacing"/>
        <w:rPr>
          <w:rFonts w:ascii="Bookman Old Style" w:hAnsi="Bookman Old Style"/>
        </w:rPr>
      </w:pPr>
    </w:p>
    <w:p w:rsidR="00A46441" w:rsidRDefault="00A46441" w:rsidP="00A46441">
      <w:pPr>
        <w:pStyle w:val="NoSpacing"/>
        <w:spacing w:after="200"/>
        <w:contextualSpacing/>
        <w:jc w:val="both"/>
        <w:rPr>
          <w:rFonts w:ascii="Bookman Old Style" w:hAnsi="Bookman Old Style"/>
        </w:rPr>
      </w:pPr>
      <w:r>
        <w:rPr>
          <w:rFonts w:ascii="Bookman Old Style" w:hAnsi="Bookman Old Style"/>
        </w:rPr>
        <w:t xml:space="preserve">The Pasco Fire Department responds to an average of 10 aviation incidents per year.  The majority of these incidents are categorized as Alert 1 (the lowest risk category).  </w:t>
      </w:r>
    </w:p>
    <w:p w:rsidR="00A46441" w:rsidRDefault="00A46441" w:rsidP="00A46441">
      <w:pPr>
        <w:pStyle w:val="NoSpacing"/>
        <w:rPr>
          <w:rFonts w:ascii="Bookman Old Style" w:hAnsi="Bookman Old Style"/>
        </w:rPr>
      </w:pPr>
    </w:p>
    <w:p w:rsidR="00A46441" w:rsidRPr="00086773" w:rsidRDefault="00A46441" w:rsidP="00A46441">
      <w:pPr>
        <w:pStyle w:val="NoSpacing"/>
        <w:spacing w:after="200"/>
        <w:contextualSpacing/>
        <w:jc w:val="both"/>
        <w:rPr>
          <w:rFonts w:ascii="Bookman Old Style" w:hAnsi="Bookman Old Style"/>
        </w:rPr>
      </w:pPr>
      <w:r>
        <w:rPr>
          <w:rFonts w:ascii="Bookman Old Style" w:hAnsi="Bookman Old Style"/>
        </w:rPr>
        <w:t xml:space="preserve">The major effects of an aircraft crash are dependent on the size of the aircraft, location and path of crash, and number of passengers and would include mass casualties/fatalities, fire/explosion, hazardous materials release and property damage.  </w:t>
      </w:r>
    </w:p>
    <w:p w:rsidR="00A46441" w:rsidRDefault="00A46441" w:rsidP="00A46441">
      <w:pPr>
        <w:pStyle w:val="NoSpacing"/>
        <w:rPr>
          <w:rFonts w:ascii="Bookman Old Style" w:hAnsi="Bookman Old Style"/>
          <w:b/>
          <w:i/>
        </w:rPr>
      </w:pPr>
    </w:p>
    <w:p w:rsidR="00A46441" w:rsidRDefault="00A46441" w:rsidP="00A46441">
      <w:pPr>
        <w:pStyle w:val="NoSpacing"/>
        <w:rPr>
          <w:rFonts w:ascii="Bookman Old Style" w:hAnsi="Bookman Old Style"/>
          <w:b/>
          <w:i/>
        </w:rPr>
      </w:pPr>
      <w:r>
        <w:rPr>
          <w:rFonts w:ascii="Bookman Old Style" w:hAnsi="Bookman Old Style"/>
          <w:b/>
          <w:i/>
        </w:rPr>
        <w:t>Railroad</w:t>
      </w:r>
    </w:p>
    <w:p w:rsidR="00A46441" w:rsidRDefault="00A46441" w:rsidP="00A46441">
      <w:pPr>
        <w:pStyle w:val="NoSpacing"/>
        <w:rPr>
          <w:rFonts w:ascii="Bookman Old Style" w:hAnsi="Bookman Old Style"/>
          <w:b/>
          <w:i/>
        </w:rPr>
      </w:pPr>
    </w:p>
    <w:p w:rsidR="00A46441" w:rsidRDefault="0096300F" w:rsidP="00A46441">
      <w:pPr>
        <w:pStyle w:val="NoSpacing"/>
        <w:contextualSpacing/>
        <w:jc w:val="both"/>
        <w:rPr>
          <w:rFonts w:ascii="Bookman Old Style" w:hAnsi="Bookman Old Style"/>
        </w:rPr>
      </w:pPr>
      <w:r>
        <w:rPr>
          <w:rFonts w:ascii="Bookman Old Style" w:hAnsi="Bookman Old Style"/>
          <w:noProof/>
        </w:rPr>
        <w:drawing>
          <wp:anchor distT="0" distB="0" distL="114300" distR="114300" simplePos="0" relativeHeight="251662336" behindDoc="0" locked="0" layoutInCell="1" allowOverlap="1" wp14:anchorId="5C2F3173" wp14:editId="1988E98D">
            <wp:simplePos x="0" y="0"/>
            <wp:positionH relativeFrom="margin">
              <wp:posOffset>3469005</wp:posOffset>
            </wp:positionH>
            <wp:positionV relativeFrom="margin">
              <wp:posOffset>3571875</wp:posOffset>
            </wp:positionV>
            <wp:extent cx="2636520" cy="2247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520" cy="2247900"/>
                    </a:xfrm>
                    <a:prstGeom prst="rect">
                      <a:avLst/>
                    </a:prstGeom>
                    <a:noFill/>
                  </pic:spPr>
                </pic:pic>
              </a:graphicData>
            </a:graphic>
          </wp:anchor>
        </w:drawing>
      </w:r>
      <w:r w:rsidR="00A46441">
        <w:rPr>
          <w:rFonts w:ascii="Bookman Old Style" w:hAnsi="Bookman Old Style"/>
        </w:rPr>
        <w:t>The BNSF maintains the largest switching yard west of the Mississippi River in east Pasco.  A 2016 Hazardous Materials Commodity Flow Through study conducted by BNSF indicated that the switch yard serviced 175,007 tank cars either partially or fully loaded with hazardous materials from all nine of the Department of Transportation hazard classifications.</w:t>
      </w:r>
    </w:p>
    <w:p w:rsidR="00A46441" w:rsidRDefault="00A46441" w:rsidP="00A46441">
      <w:pPr>
        <w:pStyle w:val="NoSpacing"/>
        <w:rPr>
          <w:rFonts w:ascii="Bookman Old Style" w:hAnsi="Bookman Old Style"/>
        </w:rPr>
      </w:pPr>
    </w:p>
    <w:p w:rsidR="00A46441" w:rsidRDefault="00A46441" w:rsidP="00A46441">
      <w:pPr>
        <w:pStyle w:val="NoSpacing"/>
        <w:spacing w:after="200"/>
        <w:contextualSpacing/>
        <w:jc w:val="both"/>
        <w:rPr>
          <w:rFonts w:ascii="Bookman Old Style" w:hAnsi="Bookman Old Style"/>
        </w:rPr>
      </w:pPr>
      <w:r>
        <w:rPr>
          <w:rFonts w:ascii="Bookman Old Style" w:hAnsi="Bookman Old Style"/>
        </w:rPr>
        <w:t>The BNSF and Union Pacific maintain approximately 75 miles of railway adjacent to the Columbia and Snake Rivers.  These railways transport five Bakken oil trains per day.  Bakken oil is a light sweet crude oil, with volatility comparable to gasoline making it extremely flammable and hazardous.</w:t>
      </w:r>
    </w:p>
    <w:p w:rsidR="000B32F8" w:rsidRDefault="000B32F8" w:rsidP="00A46441">
      <w:pPr>
        <w:pStyle w:val="NoSpacing"/>
        <w:rPr>
          <w:rFonts w:ascii="Bookman Old Style" w:hAnsi="Bookman Old Style"/>
          <w:b/>
          <w:i/>
        </w:rPr>
      </w:pPr>
    </w:p>
    <w:p w:rsidR="00A46441" w:rsidRDefault="00A46441" w:rsidP="00A46441">
      <w:pPr>
        <w:pStyle w:val="NoSpacing"/>
        <w:rPr>
          <w:rFonts w:ascii="Bookman Old Style" w:hAnsi="Bookman Old Style"/>
          <w:b/>
          <w:i/>
        </w:rPr>
      </w:pPr>
      <w:r>
        <w:rPr>
          <w:rFonts w:ascii="Bookman Old Style" w:hAnsi="Bookman Old Style"/>
          <w:b/>
          <w:i/>
        </w:rPr>
        <w:t>Highway</w:t>
      </w:r>
    </w:p>
    <w:p w:rsidR="00A46441" w:rsidRDefault="00A46441" w:rsidP="00A46441">
      <w:pPr>
        <w:pStyle w:val="NoSpacing"/>
        <w:rPr>
          <w:rFonts w:ascii="Bookman Old Style" w:hAnsi="Bookman Old Style"/>
        </w:rPr>
      </w:pPr>
    </w:p>
    <w:p w:rsidR="00A46441" w:rsidRDefault="00A46441" w:rsidP="00A46441">
      <w:pPr>
        <w:spacing w:line="240" w:lineRule="auto"/>
        <w:contextualSpacing/>
        <w:jc w:val="both"/>
        <w:rPr>
          <w:rFonts w:ascii="Bookman Old Style" w:hAnsi="Bookman Old Style"/>
        </w:rPr>
      </w:pPr>
      <w:r w:rsidRPr="00086773">
        <w:rPr>
          <w:rFonts w:ascii="Bookman Old Style" w:hAnsi="Bookman Old Style"/>
        </w:rPr>
        <w:t>The City o</w:t>
      </w:r>
      <w:r>
        <w:rPr>
          <w:rFonts w:ascii="Bookman Old Style" w:hAnsi="Bookman Old Style"/>
        </w:rPr>
        <w:t>f Pasco is</w:t>
      </w:r>
      <w:r w:rsidRPr="00086773">
        <w:rPr>
          <w:rFonts w:ascii="Bookman Old Style" w:hAnsi="Bookman Old Style"/>
        </w:rPr>
        <w:t xml:space="preserve"> bisected by Interstate I-</w:t>
      </w:r>
      <w:r>
        <w:rPr>
          <w:rFonts w:ascii="Bookman Old Style" w:hAnsi="Bookman Old Style"/>
        </w:rPr>
        <w:t>1</w:t>
      </w:r>
      <w:r w:rsidRPr="00086773">
        <w:rPr>
          <w:rFonts w:ascii="Bookman Old Style" w:hAnsi="Bookman Old Style"/>
        </w:rPr>
        <w:t>82 (running east/west) and U.S. Route 395 (running north/south).</w:t>
      </w:r>
      <w:r>
        <w:rPr>
          <w:rFonts w:ascii="Bookman Old Style" w:hAnsi="Bookman Old Style"/>
        </w:rPr>
        <w:t xml:space="preserve">  Due to an increasing population, and the inter-modal methods of transportation that are supported in Pasco, vehicular traffic and accidents</w:t>
      </w:r>
      <w:r w:rsidR="00DF5637">
        <w:rPr>
          <w:rFonts w:ascii="Bookman Old Style" w:hAnsi="Bookman Old Style"/>
        </w:rPr>
        <w:t xml:space="preserve"> volumes</w:t>
      </w:r>
      <w:r>
        <w:rPr>
          <w:rFonts w:ascii="Bookman Old Style" w:hAnsi="Bookman Old Style"/>
        </w:rPr>
        <w:t xml:space="preserve"> continue to increase.   </w:t>
      </w:r>
    </w:p>
    <w:p w:rsidR="00B27664" w:rsidRDefault="00B27664" w:rsidP="00A46441">
      <w:pPr>
        <w:spacing w:line="240" w:lineRule="auto"/>
        <w:contextualSpacing/>
        <w:jc w:val="both"/>
        <w:rPr>
          <w:rFonts w:ascii="Bookman Old Style" w:hAnsi="Bookman Old Style"/>
        </w:rPr>
      </w:pPr>
    </w:p>
    <w:p w:rsidR="00B27664" w:rsidRDefault="00B27664" w:rsidP="00A46441">
      <w:pPr>
        <w:spacing w:line="240" w:lineRule="auto"/>
        <w:contextualSpacing/>
        <w:jc w:val="both"/>
        <w:rPr>
          <w:rFonts w:ascii="Bookman Old Style" w:hAnsi="Bookman Old Style"/>
        </w:rPr>
      </w:pPr>
    </w:p>
    <w:p w:rsidR="00B27664" w:rsidRDefault="00B27664" w:rsidP="00A46441">
      <w:pPr>
        <w:spacing w:line="240" w:lineRule="auto"/>
        <w:contextualSpacing/>
        <w:jc w:val="both"/>
        <w:rPr>
          <w:rFonts w:ascii="Bookman Old Style" w:hAnsi="Bookman Old Style"/>
        </w:rPr>
      </w:pPr>
    </w:p>
    <w:p w:rsidR="00B27664" w:rsidRPr="00086773" w:rsidRDefault="00B27664" w:rsidP="00A46441">
      <w:pPr>
        <w:spacing w:line="240" w:lineRule="auto"/>
        <w:contextualSpacing/>
        <w:jc w:val="both"/>
        <w:rPr>
          <w:rFonts w:ascii="Bookman Old Style" w:hAnsi="Bookman Old Style"/>
        </w:rPr>
      </w:pPr>
    </w:p>
    <w:p w:rsidR="00A46441" w:rsidRDefault="00A46441" w:rsidP="00A46441">
      <w:pPr>
        <w:pStyle w:val="NoSpacing"/>
        <w:rPr>
          <w:rFonts w:ascii="Bookman Old Style" w:hAnsi="Bookman Old Style"/>
          <w:b/>
          <w:i/>
        </w:rPr>
      </w:pPr>
      <w:r>
        <w:rPr>
          <w:rFonts w:ascii="Bookman Old Style" w:hAnsi="Bookman Old Style"/>
          <w:b/>
          <w:i/>
        </w:rPr>
        <w:lastRenderedPageBreak/>
        <w:t>Marine</w:t>
      </w:r>
    </w:p>
    <w:p w:rsidR="00A46441" w:rsidRDefault="00A46441" w:rsidP="00A46441">
      <w:pPr>
        <w:pStyle w:val="NoSpacing"/>
        <w:rPr>
          <w:rFonts w:ascii="Bookman Old Style" w:hAnsi="Bookman Old Style"/>
          <w:b/>
          <w:i/>
        </w:rPr>
      </w:pPr>
    </w:p>
    <w:p w:rsidR="00A46441" w:rsidRDefault="00A46441" w:rsidP="00A46441">
      <w:pPr>
        <w:pStyle w:val="NoSpacing"/>
        <w:spacing w:after="200"/>
        <w:contextualSpacing/>
        <w:rPr>
          <w:rFonts w:ascii="Bookman Old Style" w:hAnsi="Bookman Old Style"/>
        </w:rPr>
      </w:pPr>
      <w:r>
        <w:rPr>
          <w:rFonts w:ascii="Bookman Old Style" w:hAnsi="Bookman Old Style"/>
        </w:rPr>
        <w:t>The Tesoro and Tidewater Pasco Terminals located in the Port of Pasco on the Snake River provide regional barge and rail terminal service and storage of petroleum, fertilizer, chemicals, and bio-fuels.</w:t>
      </w:r>
    </w:p>
    <w:p w:rsidR="00A46441" w:rsidRDefault="00A46441" w:rsidP="00A46441">
      <w:pPr>
        <w:pStyle w:val="NoSpacing"/>
        <w:rPr>
          <w:rFonts w:ascii="Bookman Old Style" w:hAnsi="Bookman Old Style"/>
        </w:rPr>
      </w:pPr>
    </w:p>
    <w:p w:rsidR="00A46441" w:rsidRDefault="00A46441" w:rsidP="00A46441">
      <w:pPr>
        <w:pStyle w:val="NoSpacing"/>
        <w:spacing w:after="200"/>
        <w:jc w:val="both"/>
        <w:rPr>
          <w:rFonts w:ascii="Bookman Old Style" w:hAnsi="Bookman Old Style"/>
        </w:rPr>
      </w:pPr>
      <w:r>
        <w:rPr>
          <w:rFonts w:ascii="Bookman Old Style" w:hAnsi="Bookman Old Style"/>
        </w:rPr>
        <w:t xml:space="preserve">Tidewater Barge Lines is the largest inland marine transportation company west of the Mississippi River.  Tidewater offers a comprehensive range of onshore and offshore cleaning and waste transportation services to the marine and industrial business markets.  Tidewater transports refined petroleum products and bio-blends in 8 double hulled barges with a capacity of 264,000 barrels.  </w:t>
      </w:r>
    </w:p>
    <w:p w:rsidR="00A46441" w:rsidRDefault="00A46441" w:rsidP="00A46441">
      <w:pPr>
        <w:pStyle w:val="NoSpacing"/>
        <w:rPr>
          <w:rFonts w:ascii="Bookman Old Style" w:hAnsi="Bookman Old Style"/>
        </w:rPr>
      </w:pPr>
    </w:p>
    <w:p w:rsidR="00A46441" w:rsidRDefault="00A46441" w:rsidP="00A46441">
      <w:pPr>
        <w:pStyle w:val="NoSpacing"/>
        <w:spacing w:after="200"/>
        <w:contextualSpacing/>
        <w:jc w:val="both"/>
        <w:rPr>
          <w:rFonts w:ascii="Bookman Old Style" w:hAnsi="Bookman Old Style"/>
        </w:rPr>
      </w:pPr>
      <w:r>
        <w:rPr>
          <w:rFonts w:ascii="Bookman Old Style" w:hAnsi="Bookman Old Style"/>
        </w:rPr>
        <w:t xml:space="preserve">Tesoro Logistics LP is a full-service logistics company operating, through its subsidiaries in the western and mid-continent regions of the United States.  Tesoro owns and operates over 4,000 miles of crude oil, refined products and natural gas pipelines, as well as 41 crude oil and refined products truck, marine and storage terminals and has over 26 million barrels of storage capacity. </w:t>
      </w:r>
    </w:p>
    <w:p w:rsidR="00A46441" w:rsidRDefault="00A46441" w:rsidP="00A46441">
      <w:pPr>
        <w:pStyle w:val="NoSpacing"/>
        <w:rPr>
          <w:rFonts w:ascii="Bookman Old Style" w:hAnsi="Bookman Old Style"/>
        </w:rPr>
      </w:pPr>
    </w:p>
    <w:p w:rsidR="00A46441" w:rsidRDefault="00A46441" w:rsidP="00A46441">
      <w:pPr>
        <w:pStyle w:val="NoSpacing"/>
        <w:contextualSpacing/>
        <w:rPr>
          <w:rFonts w:ascii="Bookman Old Style" w:hAnsi="Bookman Old Style"/>
        </w:rPr>
      </w:pPr>
      <w:r>
        <w:rPr>
          <w:rFonts w:ascii="Bookman Old Style" w:hAnsi="Bookman Old Style"/>
        </w:rPr>
        <w:t xml:space="preserve">The Pasco Tesoro Logistics site maintains 26 tanks with a potential capacity of over 500,000 barrels of primarily contain gasoline and other fuel products.  </w:t>
      </w:r>
    </w:p>
    <w:p w:rsidR="00A46441" w:rsidRDefault="00A46441" w:rsidP="00A46441">
      <w:pPr>
        <w:pStyle w:val="NoSpacing"/>
        <w:rPr>
          <w:rFonts w:ascii="Bookman Old Style" w:hAnsi="Bookman Old Style"/>
          <w:b/>
          <w:i/>
        </w:rPr>
      </w:pPr>
    </w:p>
    <w:p w:rsidR="00A46441" w:rsidRDefault="00A46441" w:rsidP="00A46441">
      <w:pPr>
        <w:pStyle w:val="NoSpacing"/>
        <w:jc w:val="center"/>
        <w:rPr>
          <w:rFonts w:ascii="Bookman Old Style" w:hAnsi="Bookman Old Style"/>
          <w:b/>
          <w:i/>
        </w:rPr>
      </w:pPr>
    </w:p>
    <w:p w:rsidR="00A46441" w:rsidRDefault="00A46441" w:rsidP="00A46441">
      <w:pPr>
        <w:pStyle w:val="NoSpacing"/>
        <w:jc w:val="center"/>
        <w:rPr>
          <w:rFonts w:ascii="Bookman Old Style" w:hAnsi="Bookman Old Style"/>
          <w:b/>
          <w:i/>
        </w:rPr>
      </w:pPr>
      <w:r>
        <w:rPr>
          <w:rFonts w:ascii="Bookman Old Style" w:hAnsi="Bookman Old Style"/>
          <w:b/>
          <w:i/>
        </w:rPr>
        <w:t>Summary of Transportation Risks</w:t>
      </w:r>
    </w:p>
    <w:p w:rsidR="00A46441" w:rsidRDefault="00A46441" w:rsidP="00A46441">
      <w:pPr>
        <w:pStyle w:val="NoSpacing"/>
        <w:rPr>
          <w:rFonts w:ascii="Bookman Old Style" w:hAnsi="Bookman Old Style"/>
        </w:rPr>
      </w:pPr>
    </w:p>
    <w:tbl>
      <w:tblPr>
        <w:tblStyle w:val="LightShading-Accent5"/>
        <w:tblW w:w="0" w:type="auto"/>
        <w:tblLook w:val="04A0" w:firstRow="1" w:lastRow="0" w:firstColumn="1" w:lastColumn="0" w:noHBand="0" w:noVBand="1"/>
      </w:tblPr>
      <w:tblGrid>
        <w:gridCol w:w="3192"/>
        <w:gridCol w:w="3192"/>
        <w:gridCol w:w="3192"/>
      </w:tblGrid>
      <w:tr w:rsidR="00A46441" w:rsidTr="00F46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Hazard</w:t>
            </w:r>
          </w:p>
        </w:tc>
        <w:tc>
          <w:tcPr>
            <w:tcW w:w="3192" w:type="dxa"/>
          </w:tcPr>
          <w:p w:rsidR="00A46441" w:rsidRPr="00D45972" w:rsidRDefault="00A46441" w:rsidP="00F4618B">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Probability</w:t>
            </w:r>
          </w:p>
        </w:tc>
        <w:tc>
          <w:tcPr>
            <w:tcW w:w="3192" w:type="dxa"/>
          </w:tcPr>
          <w:p w:rsidR="00A46441" w:rsidRPr="00D45972" w:rsidRDefault="00A46441" w:rsidP="00F4618B">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Risk</w:t>
            </w:r>
          </w:p>
        </w:tc>
      </w:tr>
      <w:tr w:rsidR="00A46441" w:rsidTr="00F4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Aviation</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r w:rsidR="00A46441" w:rsidTr="00F4618B">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Railroad</w:t>
            </w:r>
          </w:p>
        </w:tc>
        <w:tc>
          <w:tcPr>
            <w:tcW w:w="3192" w:type="dxa"/>
          </w:tcPr>
          <w:p w:rsidR="00A46441" w:rsidRPr="00D45972" w:rsidRDefault="00A46441" w:rsidP="00F4618B">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High</w:t>
            </w:r>
          </w:p>
        </w:tc>
        <w:tc>
          <w:tcPr>
            <w:tcW w:w="3192" w:type="dxa"/>
          </w:tcPr>
          <w:p w:rsidR="00A46441" w:rsidRPr="00D45972" w:rsidRDefault="00A46441" w:rsidP="00F4618B">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r w:rsidR="00A46441" w:rsidTr="00F4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Highway</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High</w:t>
            </w:r>
          </w:p>
        </w:tc>
        <w:tc>
          <w:tcPr>
            <w:tcW w:w="3192" w:type="dxa"/>
          </w:tcPr>
          <w:p w:rsidR="00A46441" w:rsidRPr="00D45972" w:rsidRDefault="00A46441" w:rsidP="00F4618B">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r w:rsidR="00A46441" w:rsidTr="00F4618B">
        <w:tc>
          <w:tcPr>
            <w:cnfStyle w:val="001000000000" w:firstRow="0" w:lastRow="0" w:firstColumn="1" w:lastColumn="0" w:oddVBand="0" w:evenVBand="0" w:oddHBand="0" w:evenHBand="0" w:firstRowFirstColumn="0" w:firstRowLastColumn="0" w:lastRowFirstColumn="0" w:lastRowLastColumn="0"/>
            <w:tcW w:w="3192" w:type="dxa"/>
          </w:tcPr>
          <w:p w:rsidR="00A46441" w:rsidRPr="00D45972" w:rsidRDefault="00A46441" w:rsidP="00F4618B">
            <w:pPr>
              <w:pStyle w:val="NoSpacing"/>
              <w:jc w:val="center"/>
              <w:rPr>
                <w:rFonts w:ascii="Bookman Old Style" w:hAnsi="Bookman Old Style"/>
                <w:color w:val="auto"/>
              </w:rPr>
            </w:pPr>
            <w:r w:rsidRPr="00D45972">
              <w:rPr>
                <w:rFonts w:ascii="Bookman Old Style" w:hAnsi="Bookman Old Style"/>
                <w:color w:val="auto"/>
              </w:rPr>
              <w:t>Marine</w:t>
            </w:r>
          </w:p>
        </w:tc>
        <w:tc>
          <w:tcPr>
            <w:tcW w:w="3192" w:type="dxa"/>
          </w:tcPr>
          <w:p w:rsidR="00A46441" w:rsidRPr="00D45972" w:rsidRDefault="00A46441" w:rsidP="00F4618B">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A46441" w:rsidRPr="00D45972" w:rsidRDefault="00A46441" w:rsidP="00F4618B">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r>
    </w:tbl>
    <w:p w:rsidR="00A46441" w:rsidRPr="00086773" w:rsidRDefault="00A46441" w:rsidP="00A46441">
      <w:pPr>
        <w:pStyle w:val="NoSpacing"/>
        <w:jc w:val="center"/>
        <w:rPr>
          <w:rFonts w:ascii="Bookman Old Style" w:hAnsi="Bookman Old Style"/>
        </w:rPr>
      </w:pPr>
    </w:p>
    <w:p w:rsidR="00A46441" w:rsidRDefault="00A46441" w:rsidP="00A46441">
      <w:pPr>
        <w:pStyle w:val="NoSpacing"/>
        <w:rPr>
          <w:rFonts w:ascii="Bookman Old Style" w:hAnsi="Bookman Old Style"/>
        </w:rPr>
      </w:pPr>
    </w:p>
    <w:p w:rsidR="00A46441" w:rsidRDefault="00A46441" w:rsidP="00A46441">
      <w:pPr>
        <w:pStyle w:val="NoSpacing"/>
        <w:spacing w:after="200"/>
        <w:contextualSpacing/>
        <w:jc w:val="both"/>
        <w:rPr>
          <w:rFonts w:ascii="Bookman Old Style" w:hAnsi="Bookman Old Style"/>
          <w:b/>
          <w:i/>
        </w:rPr>
      </w:pPr>
      <w:r>
        <w:rPr>
          <w:rFonts w:ascii="Bookman Old Style" w:hAnsi="Bookman Old Style"/>
          <w:b/>
          <w:i/>
        </w:rPr>
        <w:t>Transportation Risk – Conclusion</w:t>
      </w:r>
    </w:p>
    <w:p w:rsidR="00A46441" w:rsidRDefault="00A46441" w:rsidP="00A46441">
      <w:pPr>
        <w:pStyle w:val="NoSpacing"/>
        <w:spacing w:after="200"/>
        <w:contextualSpacing/>
        <w:jc w:val="both"/>
        <w:rPr>
          <w:rFonts w:ascii="Bookman Old Style" w:hAnsi="Bookman Old Style"/>
          <w:b/>
          <w:i/>
        </w:rPr>
      </w:pPr>
    </w:p>
    <w:p w:rsidR="00A46441" w:rsidRDefault="00A46441" w:rsidP="008629A1">
      <w:pPr>
        <w:pStyle w:val="NoSpacing"/>
        <w:spacing w:after="200"/>
        <w:contextualSpacing/>
        <w:jc w:val="both"/>
        <w:rPr>
          <w:rFonts w:ascii="Bookman Old Style" w:hAnsi="Bookman Old Style"/>
        </w:rPr>
      </w:pPr>
      <w:r>
        <w:rPr>
          <w:rFonts w:ascii="Bookman Old Style" w:hAnsi="Bookman Old Style"/>
        </w:rPr>
        <w:t>The City of Pasco serves as a transportation hub in southeastern Washington.  Transportation hazards are unique in that the frequency and magnitude can be minimized. Using the threat matrix for transportation risks, the Pasco Fire Department must maintain a highly trained response force in heavy and light vehicle and machinery extrication, aircraft rescue and firefighting skills</w:t>
      </w:r>
      <w:r w:rsidR="007617DC">
        <w:rPr>
          <w:rFonts w:ascii="Bookman Old Style" w:hAnsi="Bookman Old Style"/>
        </w:rPr>
        <w:t>, hazardous materials response</w:t>
      </w:r>
      <w:r>
        <w:rPr>
          <w:rFonts w:ascii="Bookman Old Style" w:hAnsi="Bookman Old Style"/>
        </w:rPr>
        <w:t xml:space="preserve"> and water rescue.</w:t>
      </w:r>
    </w:p>
    <w:p w:rsidR="006119B5" w:rsidRPr="006119B5" w:rsidRDefault="006119B5" w:rsidP="008629A1">
      <w:pPr>
        <w:keepNext/>
        <w:keepLines/>
        <w:outlineLvl w:val="1"/>
        <w:rPr>
          <w:rFonts w:asciiTheme="majorHAnsi" w:eastAsiaTheme="majorEastAsia" w:hAnsiTheme="majorHAnsi" w:cstheme="majorBidi"/>
          <w:b/>
          <w:bCs/>
          <w:i/>
          <w:sz w:val="24"/>
          <w:szCs w:val="24"/>
        </w:rPr>
      </w:pPr>
      <w:bookmarkStart w:id="2" w:name="_Toc474159544"/>
      <w:bookmarkStart w:id="3" w:name="_Toc475003847"/>
      <w:r w:rsidRPr="006119B5">
        <w:rPr>
          <w:rFonts w:asciiTheme="majorHAnsi" w:eastAsiaTheme="majorEastAsia" w:hAnsiTheme="majorHAnsi" w:cstheme="majorBidi"/>
          <w:b/>
          <w:bCs/>
          <w:i/>
          <w:sz w:val="24"/>
          <w:szCs w:val="24"/>
        </w:rPr>
        <w:t>Community Overview</w:t>
      </w:r>
      <w:bookmarkEnd w:id="2"/>
      <w:bookmarkEnd w:id="3"/>
    </w:p>
    <w:p w:rsidR="006119B5" w:rsidRPr="006119B5" w:rsidRDefault="006119B5" w:rsidP="006119B5">
      <w:pPr>
        <w:spacing w:afterLines="200" w:after="480" w:line="240" w:lineRule="auto"/>
        <w:contextualSpacing/>
        <w:jc w:val="both"/>
        <w:rPr>
          <w:rFonts w:ascii="Bookman Old Style" w:hAnsi="Bookman Old Style"/>
        </w:rPr>
      </w:pPr>
      <w:r w:rsidRPr="006119B5">
        <w:rPr>
          <w:rFonts w:ascii="Bookman Old Style" w:hAnsi="Bookman Old Style"/>
        </w:rPr>
        <w:t xml:space="preserve">The City of Pasco is a robust multi-cultural community with a rich history.  Inhabitants have thrived along the banks of the Columbia and Snake Rivers for many years.  Evidence of the earliest known inhabitants in the Western Hemisphere was found in northern Franklin County at the </w:t>
      </w:r>
      <w:proofErr w:type="spellStart"/>
      <w:r w:rsidRPr="006119B5">
        <w:rPr>
          <w:rFonts w:ascii="Bookman Old Style" w:hAnsi="Bookman Old Style"/>
        </w:rPr>
        <w:t>Marmes</w:t>
      </w:r>
      <w:proofErr w:type="spellEnd"/>
      <w:r w:rsidRPr="006119B5">
        <w:rPr>
          <w:rFonts w:ascii="Bookman Old Style" w:hAnsi="Bookman Old Style"/>
        </w:rPr>
        <w:t xml:space="preserve"> </w:t>
      </w:r>
      <w:proofErr w:type="spellStart"/>
      <w:r w:rsidRPr="006119B5">
        <w:rPr>
          <w:rFonts w:ascii="Bookman Old Style" w:hAnsi="Bookman Old Style"/>
        </w:rPr>
        <w:t>Rockshelter</w:t>
      </w:r>
      <w:proofErr w:type="spellEnd"/>
      <w:r w:rsidRPr="006119B5">
        <w:rPr>
          <w:rFonts w:ascii="Bookman Old Style" w:hAnsi="Bookman Old Style"/>
        </w:rPr>
        <w:t>, near Lyons Ferry and Palouse Falls (approximately 35 miles northeast of Pasco</w:t>
      </w:r>
      <w:r w:rsidR="007617DC">
        <w:rPr>
          <w:rFonts w:ascii="Bookman Old Style" w:hAnsi="Bookman Old Style"/>
        </w:rPr>
        <w:t>)</w:t>
      </w:r>
      <w:r w:rsidRPr="006119B5">
        <w:rPr>
          <w:rFonts w:ascii="Bookman Old Style" w:hAnsi="Bookman Old Style"/>
        </w:rPr>
        <w:t xml:space="preserve">. In 1805, the Lewis and Clark Expedition camped at the confluence of the Snake and Columbia Rivers.   In the </w:t>
      </w:r>
      <w:r w:rsidRPr="006119B5">
        <w:rPr>
          <w:rFonts w:ascii="Bookman Old Style" w:hAnsi="Bookman Old Style"/>
        </w:rPr>
        <w:lastRenderedPageBreak/>
        <w:t>late 1800’s the Northern Pacific Railroad brought a rush of settlers to the Washington Territory and the railroad town of Pasco was born.</w:t>
      </w:r>
    </w:p>
    <w:p w:rsidR="006119B5" w:rsidRPr="006119B5" w:rsidRDefault="006119B5" w:rsidP="006119B5">
      <w:pPr>
        <w:spacing w:afterLines="200" w:after="480" w:line="240" w:lineRule="auto"/>
        <w:contextualSpacing/>
        <w:jc w:val="both"/>
        <w:rPr>
          <w:rFonts w:ascii="Bookman Old Style" w:hAnsi="Bookman Old Style"/>
        </w:rPr>
      </w:pPr>
    </w:p>
    <w:p w:rsidR="006119B5" w:rsidRDefault="006119B5" w:rsidP="00A46441">
      <w:pPr>
        <w:spacing w:afterLines="200" w:after="480" w:line="240" w:lineRule="auto"/>
        <w:contextualSpacing/>
        <w:jc w:val="both"/>
        <w:rPr>
          <w:rFonts w:ascii="Bookman Old Style" w:hAnsi="Bookman Old Style"/>
        </w:rPr>
      </w:pPr>
      <w:r w:rsidRPr="006119B5">
        <w:rPr>
          <w:rFonts w:ascii="Bookman Old Style" w:hAnsi="Bookman Old Style"/>
        </w:rPr>
        <w:t>The City of Pasco was incorporated on September 3, 1891.  Pasco is the second largest</w:t>
      </w:r>
      <w:r w:rsidR="007617DC">
        <w:rPr>
          <w:rFonts w:ascii="Bookman Old Style" w:hAnsi="Bookman Old Style"/>
        </w:rPr>
        <w:t xml:space="preserve"> in population</w:t>
      </w:r>
      <w:r w:rsidRPr="006119B5">
        <w:rPr>
          <w:rFonts w:ascii="Bookman Old Style" w:hAnsi="Bookman Old Style"/>
        </w:rPr>
        <w:t xml:space="preserve"> of the three cities that regionally comprise the Tri-Cities area in southeastern Washington State.  The city currently encompasses approximately 37 square miles that includes over 13 river miles of water front, with an additional seven square miles designated as the urban growth boundary.  </w:t>
      </w:r>
    </w:p>
    <w:p w:rsidR="00A46441" w:rsidRPr="00A46441" w:rsidRDefault="00A46441" w:rsidP="00A46441">
      <w:pPr>
        <w:spacing w:afterLines="200" w:after="480" w:line="240" w:lineRule="auto"/>
        <w:contextualSpacing/>
        <w:jc w:val="both"/>
        <w:rPr>
          <w:rFonts w:ascii="Bookman Old Style" w:hAnsi="Bookman Old Style"/>
        </w:rPr>
      </w:pPr>
    </w:p>
    <w:p w:rsidR="006119B5" w:rsidRDefault="006119B5" w:rsidP="006119B5">
      <w:pPr>
        <w:spacing w:afterLines="200" w:after="480" w:line="240" w:lineRule="auto"/>
        <w:contextualSpacing/>
        <w:jc w:val="both"/>
        <w:rPr>
          <w:rFonts w:ascii="Bookman Old Style" w:hAnsi="Bookman Old Style"/>
          <w:b/>
          <w:i/>
        </w:rPr>
      </w:pPr>
      <w:r>
        <w:rPr>
          <w:rFonts w:ascii="Bookman Old Style" w:hAnsi="Bookman Old Style"/>
          <w:b/>
          <w:i/>
        </w:rPr>
        <w:t>Population</w:t>
      </w:r>
    </w:p>
    <w:p w:rsidR="006119B5" w:rsidRPr="00B2602F" w:rsidRDefault="006119B5" w:rsidP="006119B5">
      <w:pPr>
        <w:spacing w:afterLines="200" w:after="480" w:line="240" w:lineRule="auto"/>
        <w:contextualSpacing/>
        <w:jc w:val="both"/>
        <w:rPr>
          <w:rFonts w:ascii="Bookman Old Style" w:hAnsi="Bookman Old Style"/>
          <w:b/>
          <w:i/>
        </w:rPr>
      </w:pPr>
    </w:p>
    <w:p w:rsidR="006119B5" w:rsidRDefault="006119B5" w:rsidP="006119B5">
      <w:pPr>
        <w:spacing w:afterLines="200" w:after="480" w:line="240" w:lineRule="auto"/>
        <w:contextualSpacing/>
        <w:jc w:val="both"/>
        <w:rPr>
          <w:rFonts w:ascii="Bookman Old Style" w:hAnsi="Bookman Old Style"/>
        </w:rPr>
      </w:pPr>
      <w:r w:rsidRPr="00BA2BA5">
        <w:rPr>
          <w:rFonts w:ascii="Bookman Old Style" w:hAnsi="Bookman Old Style"/>
        </w:rPr>
        <w:t xml:space="preserve">The 2010 census reported a population of 59,781 with a density of 1960 inhabitants per square mile.  There were 18,782 housing units with an average density of 615.8 per square mile.  The 2016 </w:t>
      </w:r>
      <w:proofErr w:type="spellStart"/>
      <w:r w:rsidRPr="00BA2BA5">
        <w:rPr>
          <w:rFonts w:ascii="Bookman Old Style" w:hAnsi="Bookman Old Style"/>
        </w:rPr>
        <w:t>postcensal</w:t>
      </w:r>
      <w:proofErr w:type="spellEnd"/>
      <w:r w:rsidRPr="00BA2BA5">
        <w:rPr>
          <w:rFonts w:ascii="Bookman Old Style" w:hAnsi="Bookman Old Style"/>
        </w:rPr>
        <w:t xml:space="preserve"> estimate of total housing units provided by the Washington State Office of Financial Management is 22,282 at an average density of 655.4 per square mile. The 2016 population data of the city is 70,560 with a population density of 2075 per square mile. The population </w:t>
      </w:r>
      <w:r>
        <w:rPr>
          <w:rFonts w:ascii="Bookman Old Style" w:hAnsi="Bookman Old Style"/>
        </w:rPr>
        <w:t xml:space="preserve">demographic </w:t>
      </w:r>
      <w:r w:rsidR="00D11F08">
        <w:rPr>
          <w:rFonts w:ascii="Bookman Old Style" w:hAnsi="Bookman Old Style"/>
        </w:rPr>
        <w:t>is 55.4% Hispanic, 1.8</w:t>
      </w:r>
      <w:r w:rsidRPr="00BA2BA5">
        <w:rPr>
          <w:rFonts w:ascii="Bookman Old Style" w:hAnsi="Bookman Old Style"/>
        </w:rPr>
        <w:t>% African Ameri</w:t>
      </w:r>
      <w:r w:rsidR="00D11F08">
        <w:rPr>
          <w:rFonts w:ascii="Bookman Old Style" w:hAnsi="Bookman Old Style"/>
        </w:rPr>
        <w:t>can, .3% Native American, 2.2</w:t>
      </w:r>
      <w:r w:rsidRPr="00BA2BA5">
        <w:rPr>
          <w:rFonts w:ascii="Bookman Old Style" w:hAnsi="Bookman Old Style"/>
        </w:rPr>
        <w:t>% Asia</w:t>
      </w:r>
      <w:r w:rsidR="00D11F08">
        <w:rPr>
          <w:rFonts w:ascii="Bookman Old Style" w:hAnsi="Bookman Old Style"/>
        </w:rPr>
        <w:t>n, 0.1% Pacific Islander, and 38.5% white alone</w:t>
      </w:r>
      <w:r w:rsidRPr="00BA2BA5">
        <w:rPr>
          <w:rFonts w:ascii="Bookman Old Style" w:hAnsi="Bookman Old Style"/>
        </w:rPr>
        <w:t xml:space="preserve">.  Hispanic or Latino of any race comprised 55.7% of the population.  </w:t>
      </w:r>
    </w:p>
    <w:p w:rsidR="0029685C" w:rsidRDefault="0029685C" w:rsidP="006119B5">
      <w:pPr>
        <w:spacing w:afterLines="200" w:after="480" w:line="240" w:lineRule="auto"/>
        <w:contextualSpacing/>
        <w:jc w:val="both"/>
        <w:rPr>
          <w:rFonts w:ascii="Bookman Old Style" w:hAnsi="Bookman Old Style"/>
        </w:rPr>
      </w:pPr>
    </w:p>
    <w:p w:rsidR="0029685C" w:rsidRDefault="006119B5" w:rsidP="0029685C">
      <w:pPr>
        <w:pStyle w:val="ListParagraph"/>
        <w:numPr>
          <w:ilvl w:val="0"/>
          <w:numId w:val="3"/>
        </w:numPr>
      </w:pPr>
      <w:r>
        <w:rPr>
          <w:noProof/>
        </w:rPr>
        <w:drawing>
          <wp:anchor distT="0" distB="0" distL="114300" distR="114300" simplePos="0" relativeHeight="251666432" behindDoc="0" locked="0" layoutInCell="1" allowOverlap="1" wp14:anchorId="2B1A9277" wp14:editId="357196C1">
            <wp:simplePos x="0" y="0"/>
            <wp:positionH relativeFrom="column">
              <wp:align>left</wp:align>
            </wp:positionH>
            <wp:positionV relativeFrom="paragraph">
              <wp:align>top</wp:align>
            </wp:positionV>
            <wp:extent cx="2740025" cy="23717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113"/>
                    <a:stretch/>
                  </pic:blipFill>
                  <pic:spPr bwMode="auto">
                    <a:xfrm>
                      <a:off x="0" y="0"/>
                      <a:ext cx="2740025" cy="2371725"/>
                    </a:xfrm>
                    <a:prstGeom prst="rect">
                      <a:avLst/>
                    </a:prstGeom>
                    <a:noFill/>
                    <a:ln>
                      <a:noFill/>
                    </a:ln>
                    <a:extLst>
                      <a:ext uri="{53640926-AAD7-44D8-BBD7-CCE9431645EC}">
                        <a14:shadowObscured xmlns:a14="http://schemas.microsoft.com/office/drawing/2010/main"/>
                      </a:ext>
                    </a:extLst>
                  </pic:spPr>
                </pic:pic>
              </a:graphicData>
            </a:graphic>
          </wp:anchor>
        </w:drawing>
      </w:r>
      <w:r w:rsidR="0029685C">
        <w:t xml:space="preserve">Hispanic </w:t>
      </w:r>
      <w:r w:rsidR="0029685C">
        <w:tab/>
        <w:t xml:space="preserve">            55.4%</w:t>
      </w:r>
    </w:p>
    <w:p w:rsidR="0029685C" w:rsidRDefault="0029685C" w:rsidP="0029685C">
      <w:pPr>
        <w:pStyle w:val="ListParagraph"/>
        <w:numPr>
          <w:ilvl w:val="0"/>
          <w:numId w:val="3"/>
        </w:numPr>
      </w:pPr>
      <w:r>
        <w:t>White Alone</w:t>
      </w:r>
      <w:r>
        <w:tab/>
        <w:t xml:space="preserve">            38.5%</w:t>
      </w:r>
    </w:p>
    <w:p w:rsidR="0029685C" w:rsidRDefault="0029685C" w:rsidP="0029685C">
      <w:pPr>
        <w:pStyle w:val="ListParagraph"/>
        <w:numPr>
          <w:ilvl w:val="0"/>
          <w:numId w:val="3"/>
        </w:numPr>
      </w:pPr>
      <w:r>
        <w:t>Asian Alone</w:t>
      </w:r>
      <w:r>
        <w:tab/>
        <w:t xml:space="preserve">              2.2%</w:t>
      </w:r>
    </w:p>
    <w:p w:rsidR="0029685C" w:rsidRDefault="0029685C" w:rsidP="0029685C">
      <w:pPr>
        <w:pStyle w:val="ListParagraph"/>
        <w:numPr>
          <w:ilvl w:val="0"/>
          <w:numId w:val="3"/>
        </w:numPr>
      </w:pPr>
      <w:r>
        <w:t>Black Alone</w:t>
      </w:r>
      <w:r>
        <w:tab/>
        <w:t xml:space="preserve">              1.8%</w:t>
      </w:r>
    </w:p>
    <w:p w:rsidR="0029685C" w:rsidRDefault="0029685C" w:rsidP="0029685C">
      <w:pPr>
        <w:pStyle w:val="ListParagraph"/>
        <w:numPr>
          <w:ilvl w:val="0"/>
          <w:numId w:val="3"/>
        </w:numPr>
      </w:pPr>
      <w:r>
        <w:t>Two or more races          1.7%</w:t>
      </w:r>
    </w:p>
    <w:p w:rsidR="0029685C" w:rsidRDefault="0029685C" w:rsidP="0029685C">
      <w:pPr>
        <w:pStyle w:val="ListParagraph"/>
        <w:numPr>
          <w:ilvl w:val="0"/>
          <w:numId w:val="3"/>
        </w:numPr>
      </w:pPr>
      <w:r>
        <w:t>American Indian              0.3%</w:t>
      </w:r>
    </w:p>
    <w:p w:rsidR="0029685C" w:rsidRDefault="0029685C" w:rsidP="0029685C">
      <w:pPr>
        <w:pStyle w:val="ListParagraph"/>
        <w:numPr>
          <w:ilvl w:val="0"/>
          <w:numId w:val="3"/>
        </w:numPr>
      </w:pPr>
      <w:r>
        <w:t>Other Race</w:t>
      </w:r>
      <w:r>
        <w:tab/>
      </w:r>
      <w:r>
        <w:tab/>
        <w:t>0.7%</w:t>
      </w:r>
    </w:p>
    <w:p w:rsidR="006119B5" w:rsidRDefault="0029685C" w:rsidP="0029685C">
      <w:pPr>
        <w:pStyle w:val="ListParagraph"/>
        <w:numPr>
          <w:ilvl w:val="0"/>
          <w:numId w:val="3"/>
        </w:numPr>
      </w:pPr>
      <w:r>
        <w:t>Pacific Islander</w:t>
      </w:r>
      <w:r>
        <w:tab/>
      </w:r>
      <w:r>
        <w:tab/>
        <w:t>0.1%</w:t>
      </w:r>
      <w:r>
        <w:br w:type="textWrapping" w:clear="all"/>
      </w:r>
    </w:p>
    <w:p w:rsidR="006119B5" w:rsidRDefault="006119B5" w:rsidP="006119B5">
      <w:pPr>
        <w:rPr>
          <w:rFonts w:ascii="Bookman Old Style" w:hAnsi="Bookman Old Style"/>
        </w:rPr>
      </w:pPr>
      <w:r w:rsidRPr="00A46441">
        <w:rPr>
          <w:rFonts w:ascii="Bookman Old Style" w:hAnsi="Bookman Old Style"/>
        </w:rPr>
        <w:t>The 2010 census reported the median age in the city was 27.3 years.  35.5% of residents were under the age of 18; 10.6% were between the ages of 18 and 24; 29.9% were from 25 to 44: 17.2% were from 45 to 64; and 6.7% were 65 years or older.</w:t>
      </w:r>
    </w:p>
    <w:p w:rsidR="00D11F08" w:rsidRDefault="00D11F08" w:rsidP="006119B5">
      <w:pPr>
        <w:rPr>
          <w:rFonts w:ascii="Bookman Old Style" w:hAnsi="Bookman Old Style"/>
        </w:rPr>
      </w:pPr>
      <w:r>
        <w:rPr>
          <w:rFonts w:ascii="Bookman Old Style" w:hAnsi="Bookman Old Style"/>
        </w:rPr>
        <w:t>Males represented 51.8% of the population and females represented 48.2% of the population.</w:t>
      </w:r>
    </w:p>
    <w:p w:rsidR="00B27664" w:rsidRDefault="00B27664" w:rsidP="006119B5">
      <w:pPr>
        <w:rPr>
          <w:rFonts w:ascii="Bookman Old Style" w:hAnsi="Bookman Old Style"/>
        </w:rPr>
      </w:pPr>
    </w:p>
    <w:p w:rsidR="00B27664" w:rsidRPr="00A46441" w:rsidRDefault="00B27664" w:rsidP="006119B5">
      <w:pPr>
        <w:rPr>
          <w:rFonts w:ascii="Bookman Old Style" w:hAnsi="Bookman Old Style"/>
        </w:rPr>
      </w:pPr>
    </w:p>
    <w:p w:rsidR="006119B5" w:rsidRPr="00A46441" w:rsidRDefault="00A46441" w:rsidP="006119B5">
      <w:pPr>
        <w:rPr>
          <w:rFonts w:ascii="Bookman Old Style" w:hAnsi="Bookman Old Style"/>
          <w:b/>
          <w:i/>
        </w:rPr>
      </w:pPr>
      <w:r>
        <w:rPr>
          <w:rFonts w:ascii="Bookman Old Style" w:hAnsi="Bookman Old Style"/>
          <w:b/>
          <w:i/>
        </w:rPr>
        <w:lastRenderedPageBreak/>
        <w:t>Economics</w:t>
      </w:r>
    </w:p>
    <w:p w:rsidR="006119B5" w:rsidRPr="00A46441" w:rsidRDefault="006119B5" w:rsidP="006119B5">
      <w:pPr>
        <w:rPr>
          <w:rFonts w:ascii="Bookman Old Style" w:hAnsi="Bookman Old Style"/>
        </w:rPr>
      </w:pPr>
      <w:r w:rsidRPr="00A46441">
        <w:rPr>
          <w:rFonts w:ascii="Bookman Old Style" w:hAnsi="Bookman Old Style"/>
        </w:rPr>
        <w:t>Pasco has the lowest assessed value, lowest per capita income levels, lowest per capita sales tax revenue and the highest unemployment rates of the greater Tri-Cities region.   The not seasonally adjusted unemployment rate for the City of Pasco is at 8.2% as of August 2013 (1% higher than the national average).  The per capita income in Pasco is 37.1% less than the Washington average and 32.7% less than the National average.  The median household income is 24.7% less than the Washington average and 14.7% less than the national average.  The poverty level in Pasco is 111.3% greater than the Washington average and 89.4% grea</w:t>
      </w:r>
      <w:r w:rsidR="00A46441">
        <w:rPr>
          <w:rFonts w:ascii="Bookman Old Style" w:hAnsi="Bookman Old Style"/>
        </w:rPr>
        <w:t xml:space="preserve">ter than the National average. </w:t>
      </w:r>
      <w:r w:rsidR="00D11F08">
        <w:rPr>
          <w:rFonts w:ascii="Bookman Old Style" w:hAnsi="Bookman Old Style"/>
        </w:rPr>
        <w:t xml:space="preserve"> The median household income is $60,054 (approximately $4,000 below the Washington State average), and the per capita income is $21,804.</w:t>
      </w:r>
    </w:p>
    <w:p w:rsidR="006119B5" w:rsidRPr="00A46441" w:rsidRDefault="006119B5" w:rsidP="006119B5">
      <w:pPr>
        <w:rPr>
          <w:rFonts w:ascii="Bookman Old Style" w:hAnsi="Bookman Old Style"/>
        </w:rPr>
      </w:pPr>
      <w:r w:rsidRPr="00A46441">
        <w:rPr>
          <w:rFonts w:ascii="Bookman Old Style" w:hAnsi="Bookman Old Style"/>
        </w:rPr>
        <w:t>The City’s economy is directly based on agriculture and related food processing and transportation.  The Pasco Processing Center (a 240-acre industrial park designed for the food processing industry) was constructed in 1995. Several large food processors have built plants that utilize this facility.</w:t>
      </w:r>
    </w:p>
    <w:p w:rsidR="006119B5" w:rsidRPr="00A46441" w:rsidRDefault="006119B5" w:rsidP="006119B5">
      <w:pPr>
        <w:rPr>
          <w:rFonts w:ascii="Bookman Old Style" w:hAnsi="Bookman Old Style"/>
        </w:rPr>
      </w:pPr>
      <w:r w:rsidRPr="00A46441">
        <w:rPr>
          <w:rFonts w:ascii="Bookman Old Style" w:hAnsi="Bookman Old Style"/>
        </w:rPr>
        <w:t>The Hanford Reservation, located in Benton County, encompasses approximately 560 sq. miles and contains various nuclear and nuclear-related projects.  Today, the focus of the Hanford Reservation is on energy research, environmental remediation/waste man</w:t>
      </w:r>
      <w:r w:rsidR="00A46441">
        <w:rPr>
          <w:rFonts w:ascii="Bookman Old Style" w:hAnsi="Bookman Old Style"/>
        </w:rPr>
        <w:t>agement and related technology.</w:t>
      </w:r>
    </w:p>
    <w:p w:rsidR="006119B5" w:rsidRPr="00A46441" w:rsidRDefault="006119B5" w:rsidP="006119B5">
      <w:pPr>
        <w:rPr>
          <w:rFonts w:ascii="Bookman Old Style" w:hAnsi="Bookman Old Style"/>
        </w:rPr>
      </w:pPr>
      <w:r w:rsidRPr="00A46441">
        <w:rPr>
          <w:rFonts w:ascii="Bookman Old Style" w:hAnsi="Bookman Old Style"/>
        </w:rPr>
        <w:t xml:space="preserve">The economy of Pasco has been affected for the past several years by incidents that include; manufacturing sector slowdown, inflation </w:t>
      </w:r>
      <w:r w:rsidR="007617DC" w:rsidRPr="00A46441">
        <w:rPr>
          <w:rFonts w:ascii="Bookman Old Style" w:hAnsi="Bookman Old Style"/>
        </w:rPr>
        <w:t>increases</w:t>
      </w:r>
      <w:r w:rsidRPr="00A46441">
        <w:rPr>
          <w:rFonts w:ascii="Bookman Old Style" w:hAnsi="Bookman Old Style"/>
        </w:rPr>
        <w:t xml:space="preserve"> </w:t>
      </w:r>
      <w:r w:rsidR="007617DC">
        <w:rPr>
          <w:rFonts w:ascii="Bookman Old Style" w:hAnsi="Bookman Old Style"/>
        </w:rPr>
        <w:t xml:space="preserve">and </w:t>
      </w:r>
      <w:r w:rsidRPr="00A46441">
        <w:rPr>
          <w:rFonts w:ascii="Bookman Old Style" w:hAnsi="Bookman Old Style"/>
        </w:rPr>
        <w:t>corporate bankruptcies, layoffs and relocations</w:t>
      </w:r>
      <w:r w:rsidR="00A46441">
        <w:rPr>
          <w:rFonts w:ascii="Bookman Old Style" w:hAnsi="Bookman Old Style"/>
        </w:rPr>
        <w:t>, terrorism and energy pricing.</w:t>
      </w:r>
    </w:p>
    <w:p w:rsidR="006119B5" w:rsidRPr="00A46441" w:rsidRDefault="00A46441" w:rsidP="006119B5">
      <w:pPr>
        <w:rPr>
          <w:rFonts w:ascii="Bookman Old Style" w:hAnsi="Bookman Old Style"/>
          <w:b/>
          <w:i/>
        </w:rPr>
      </w:pPr>
      <w:r>
        <w:rPr>
          <w:rFonts w:ascii="Bookman Old Style" w:hAnsi="Bookman Old Style"/>
          <w:b/>
          <w:i/>
        </w:rPr>
        <w:t>Employment</w:t>
      </w:r>
    </w:p>
    <w:p w:rsidR="006119B5" w:rsidRPr="00A46441" w:rsidRDefault="006119B5" w:rsidP="006119B5">
      <w:pPr>
        <w:rPr>
          <w:rFonts w:ascii="Bookman Old Style" w:hAnsi="Bookman Old Style"/>
        </w:rPr>
      </w:pPr>
      <w:r w:rsidRPr="00A46441">
        <w:rPr>
          <w:rFonts w:ascii="Bookman Old Style" w:hAnsi="Bookman Old Style"/>
        </w:rPr>
        <w:t>Several key critical infrastructures and major transportation hubs are located within the city boundaries of Pasco.  The Tri-Cities Airport, a containerized port facility which serves extensive containerized barge traffic, and the largest rail switching yards west of the Mississippi River for the BNSF railroad are all located within the city limits.  The City of Pasco is also bisected by Interstate I-182 (running east/west) and U.S. Route 395 (running north/south). Pasco is home to all of the local governmental facilities for Franklin County.  Facilities such as the courthouse, county jail, Franklin County Emergency Management and county dispatch center are all located within the city limits.  Pasco also has over 22 primary and secondary schools and is home to the largest public two-year community coll</w:t>
      </w:r>
      <w:r w:rsidR="00A46441">
        <w:rPr>
          <w:rFonts w:ascii="Bookman Old Style" w:hAnsi="Bookman Old Style"/>
        </w:rPr>
        <w:t>ege in southeastern Washington.</w:t>
      </w:r>
    </w:p>
    <w:p w:rsidR="00EA0BEF" w:rsidRDefault="006119B5" w:rsidP="006119B5">
      <w:pPr>
        <w:rPr>
          <w:rFonts w:ascii="Bookman Old Style" w:hAnsi="Bookman Old Style"/>
        </w:rPr>
      </w:pPr>
      <w:r w:rsidRPr="00A46441">
        <w:rPr>
          <w:rFonts w:ascii="Bookman Old Style" w:hAnsi="Bookman Old Style"/>
        </w:rPr>
        <w:t xml:space="preserve">Primarily due to the agricultural region, Pasco is home to several food processing companies such as ConAgra Foods, </w:t>
      </w:r>
      <w:proofErr w:type="spellStart"/>
      <w:r w:rsidRPr="00A46441">
        <w:rPr>
          <w:rFonts w:ascii="Bookman Old Style" w:hAnsi="Bookman Old Style"/>
        </w:rPr>
        <w:t>Reser’s</w:t>
      </w:r>
      <w:proofErr w:type="spellEnd"/>
      <w:r w:rsidRPr="00A46441">
        <w:rPr>
          <w:rFonts w:ascii="Bookman Old Style" w:hAnsi="Bookman Old Style"/>
        </w:rPr>
        <w:t xml:space="preserve"> Fine Foods, Pasco Processing, and Twin City Foods. In recent years, the region has become a large player and provider in Washington State’s wine industry.  Gordon Brothers Cellars, </w:t>
      </w:r>
      <w:proofErr w:type="spellStart"/>
      <w:r w:rsidRPr="00A46441">
        <w:rPr>
          <w:rFonts w:ascii="Bookman Old Style" w:hAnsi="Bookman Old Style"/>
        </w:rPr>
        <w:t>Fidelitas</w:t>
      </w:r>
      <w:proofErr w:type="spellEnd"/>
      <w:r w:rsidRPr="00A46441">
        <w:rPr>
          <w:rFonts w:ascii="Bookman Old Style" w:hAnsi="Bookman Old Style"/>
        </w:rPr>
        <w:t xml:space="preserve"> Winery, </w:t>
      </w:r>
      <w:proofErr w:type="spellStart"/>
      <w:r w:rsidRPr="00A46441">
        <w:rPr>
          <w:rFonts w:ascii="Bookman Old Style" w:hAnsi="Bookman Old Style"/>
        </w:rPr>
        <w:t>Kamiak</w:t>
      </w:r>
      <w:proofErr w:type="spellEnd"/>
      <w:r w:rsidRPr="00A46441">
        <w:rPr>
          <w:rFonts w:ascii="Bookman Old Style" w:hAnsi="Bookman Old Style"/>
        </w:rPr>
        <w:t xml:space="preserve"> Vineyards and Preston Premium Wines have a presence i</w:t>
      </w:r>
      <w:r w:rsidR="00A46441">
        <w:rPr>
          <w:rFonts w:ascii="Bookman Old Style" w:hAnsi="Bookman Old Style"/>
        </w:rPr>
        <w:t>n and around the city of Pasco.</w:t>
      </w:r>
    </w:p>
    <w:p w:rsidR="003116C2" w:rsidRPr="00B27664" w:rsidRDefault="003116C2" w:rsidP="003116C2">
      <w:pPr>
        <w:keepNext/>
        <w:keepLines/>
        <w:outlineLvl w:val="2"/>
        <w:rPr>
          <w:rFonts w:ascii="Bookman Old Style" w:eastAsiaTheme="majorEastAsia" w:hAnsi="Bookman Old Style" w:cstheme="majorBidi"/>
          <w:b/>
          <w:bCs/>
          <w:i/>
          <w:sz w:val="32"/>
          <w:szCs w:val="24"/>
        </w:rPr>
      </w:pPr>
      <w:r w:rsidRPr="00B27664">
        <w:rPr>
          <w:rFonts w:ascii="Bookman Old Style" w:eastAsiaTheme="majorEastAsia" w:hAnsi="Bookman Old Style" w:cstheme="majorBidi"/>
          <w:b/>
          <w:bCs/>
          <w:i/>
          <w:sz w:val="32"/>
          <w:szCs w:val="24"/>
        </w:rPr>
        <w:lastRenderedPageBreak/>
        <w:t>City of Pasco Risk Analysis - Methodology</w:t>
      </w:r>
    </w:p>
    <w:p w:rsidR="003116C2" w:rsidRPr="006119B5" w:rsidRDefault="003116C2" w:rsidP="003116C2">
      <w:p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 xml:space="preserve">The Pasco Fire Department must thoroughly understand their community </w:t>
      </w:r>
      <w:r w:rsidR="007617DC">
        <w:rPr>
          <w:rFonts w:ascii="Bookman Old Style" w:hAnsi="Bookman Old Style"/>
          <w:color w:val="000000" w:themeColor="text1"/>
        </w:rPr>
        <w:t xml:space="preserve">and the </w:t>
      </w:r>
      <w:r w:rsidRPr="006119B5">
        <w:rPr>
          <w:rFonts w:ascii="Bookman Old Style" w:hAnsi="Bookman Old Style"/>
          <w:color w:val="000000" w:themeColor="text1"/>
        </w:rPr>
        <w:t>risks</w:t>
      </w:r>
      <w:r w:rsidR="007617DC">
        <w:rPr>
          <w:rFonts w:ascii="Bookman Old Style" w:hAnsi="Bookman Old Style"/>
          <w:color w:val="000000" w:themeColor="text1"/>
        </w:rPr>
        <w:t xml:space="preserve"> within the community</w:t>
      </w:r>
      <w:r w:rsidRPr="006119B5">
        <w:rPr>
          <w:rFonts w:ascii="Bookman Old Style" w:hAnsi="Bookman Old Style"/>
          <w:color w:val="000000" w:themeColor="text1"/>
        </w:rPr>
        <w:t>.  There are various risk/consequence or risk/probability matrices available; but regardless of the labels on the axis, they usually fall into one of the quadrants in the following figure. Utilizing data including event types, frequency of events, and resource needs the following risk analysis can be completed.</w:t>
      </w:r>
    </w:p>
    <w:p w:rsidR="003116C2" w:rsidRPr="006119B5" w:rsidRDefault="003116C2" w:rsidP="003116C2">
      <w:pPr>
        <w:spacing w:line="240" w:lineRule="auto"/>
        <w:contextualSpacing/>
        <w:jc w:val="both"/>
        <w:rPr>
          <w:rFonts w:ascii="Bookman Old Style" w:hAnsi="Bookman Old Style"/>
          <w:color w:val="000000" w:themeColor="text1"/>
          <w:sz w:val="14"/>
        </w:rPr>
      </w:pPr>
    </w:p>
    <w:p w:rsidR="003116C2" w:rsidRPr="006119B5" w:rsidRDefault="003116C2" w:rsidP="003116C2">
      <w:p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As the risk is generally quantified into one of the four quadrants, a decision is made based upon the level of risk.  It is important to recognize that it is improbable, impractical and unaffordable to completely eliminate risk to the community.  Using a matrix assists fire department officials in determining the acceptable level of risk.  The four quadrants in the figure below may be defined as follows:</w:t>
      </w:r>
    </w:p>
    <w:p w:rsidR="003116C2" w:rsidRPr="006119B5" w:rsidRDefault="003116C2" w:rsidP="003116C2">
      <w:pPr>
        <w:spacing w:after="0" w:line="240" w:lineRule="auto"/>
        <w:rPr>
          <w:rFonts w:ascii="Bookman Old Style" w:hAnsi="Bookman Old Style"/>
          <w:color w:val="000000" w:themeColor="text1"/>
        </w:rPr>
      </w:pPr>
    </w:p>
    <w:p w:rsidR="003116C2" w:rsidRPr="006119B5" w:rsidRDefault="003116C2" w:rsidP="003116C2">
      <w:pPr>
        <w:numPr>
          <w:ilvl w:val="0"/>
          <w:numId w:val="2"/>
        </w:num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Low impact/Low probability – Risks in the bottom left corner are low level, with acceptable consequences if the incident occurs.  These can often be considered an acceptable risk and require no further action.</w:t>
      </w:r>
    </w:p>
    <w:p w:rsidR="003116C2" w:rsidRPr="006119B5" w:rsidRDefault="003116C2" w:rsidP="003116C2">
      <w:pPr>
        <w:spacing w:line="240" w:lineRule="auto"/>
        <w:ind w:left="720"/>
        <w:contextualSpacing/>
        <w:jc w:val="both"/>
        <w:rPr>
          <w:rFonts w:ascii="Bookman Old Style" w:hAnsi="Bookman Old Style"/>
          <w:color w:val="000000" w:themeColor="text1"/>
        </w:rPr>
      </w:pPr>
    </w:p>
    <w:p w:rsidR="003116C2" w:rsidRPr="006119B5" w:rsidRDefault="003116C2" w:rsidP="003116C2">
      <w:pPr>
        <w:numPr>
          <w:ilvl w:val="0"/>
          <w:numId w:val="2"/>
        </w:num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 xml:space="preserve">Low impact/High probability – Risks in the top left corner are moderate level – if the incident happens, the fire department can usually handle it with existing resources.  However, effort should be given to reduce the likelihood that these incidents occur.  </w:t>
      </w:r>
    </w:p>
    <w:p w:rsidR="003116C2" w:rsidRPr="006119B5" w:rsidRDefault="003116C2" w:rsidP="003116C2">
      <w:pPr>
        <w:spacing w:line="240" w:lineRule="auto"/>
        <w:contextualSpacing/>
        <w:jc w:val="both"/>
        <w:rPr>
          <w:rFonts w:ascii="Bookman Old Style" w:hAnsi="Bookman Old Style"/>
          <w:color w:val="000000" w:themeColor="text1"/>
        </w:rPr>
      </w:pPr>
    </w:p>
    <w:p w:rsidR="003116C2" w:rsidRPr="006119B5" w:rsidRDefault="003116C2" w:rsidP="003116C2">
      <w:pPr>
        <w:numPr>
          <w:ilvl w:val="0"/>
          <w:numId w:val="2"/>
        </w:num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 xml:space="preserve">High impact/low probability – Risks in the bottom right corner are high level if they do occur, but they are very unlikely to happen.  Risks in this quadrant are prime candidates for training and contingency planning. </w:t>
      </w:r>
    </w:p>
    <w:p w:rsidR="003116C2" w:rsidRPr="006119B5" w:rsidRDefault="003116C2" w:rsidP="003116C2">
      <w:p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 xml:space="preserve"> </w:t>
      </w:r>
    </w:p>
    <w:p w:rsidR="003116C2" w:rsidRPr="006119B5" w:rsidRDefault="003116C2" w:rsidP="003116C2">
      <w:pPr>
        <w:numPr>
          <w:ilvl w:val="0"/>
          <w:numId w:val="2"/>
        </w:num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High impact/High probability – Risks toward the top right corner are critical.  These should be the highest priorities for the fire department and for the community.  Aggressive action is required such as staffing for these risks, equipping for these risks, and engaging the community in risk reduction and preparedness.</w:t>
      </w:r>
    </w:p>
    <w:p w:rsidR="003116C2" w:rsidRPr="006119B5" w:rsidRDefault="003116C2" w:rsidP="003116C2">
      <w:pPr>
        <w:spacing w:line="240" w:lineRule="auto"/>
        <w:contextualSpacing/>
        <w:jc w:val="both"/>
        <w:rPr>
          <w:rFonts w:ascii="Bookman Old Style" w:hAnsi="Bookman Old Style"/>
          <w:color w:val="000000" w:themeColor="text1"/>
        </w:rPr>
      </w:pPr>
    </w:p>
    <w:p w:rsidR="003116C2" w:rsidRPr="006119B5" w:rsidRDefault="003116C2" w:rsidP="003116C2">
      <w:pPr>
        <w:spacing w:line="240" w:lineRule="auto"/>
        <w:contextualSpacing/>
        <w:jc w:val="center"/>
        <w:rPr>
          <w:rFonts w:ascii="Bookman Old Style" w:hAnsi="Bookman Old Style"/>
          <w:color w:val="000000" w:themeColor="text1"/>
        </w:rPr>
      </w:pPr>
      <w:r w:rsidRPr="006119B5">
        <w:rPr>
          <w:noProof/>
          <w:color w:val="000000" w:themeColor="text1"/>
        </w:rPr>
        <w:drawing>
          <wp:inline distT="0" distB="0" distL="0" distR="0" wp14:anchorId="61B13471" wp14:editId="6635B415">
            <wp:extent cx="2762250" cy="271755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717553"/>
                    </a:xfrm>
                    <a:prstGeom prst="rect">
                      <a:avLst/>
                    </a:prstGeom>
                    <a:noFill/>
                    <a:ln>
                      <a:noFill/>
                    </a:ln>
                  </pic:spPr>
                </pic:pic>
              </a:graphicData>
            </a:graphic>
          </wp:inline>
        </w:drawing>
      </w:r>
    </w:p>
    <w:p w:rsidR="003116C2" w:rsidRPr="006119B5" w:rsidRDefault="003116C2" w:rsidP="003116C2">
      <w:pPr>
        <w:spacing w:after="0" w:line="240" w:lineRule="auto"/>
        <w:rPr>
          <w:i/>
          <w:color w:val="808080" w:themeColor="background1" w:themeShade="80"/>
        </w:rPr>
      </w:pPr>
    </w:p>
    <w:p w:rsidR="003116C2" w:rsidRDefault="003116C2" w:rsidP="003116C2">
      <w:pPr>
        <w:spacing w:line="240" w:lineRule="auto"/>
        <w:contextualSpacing/>
        <w:jc w:val="both"/>
        <w:rPr>
          <w:rFonts w:ascii="Bookman Old Style" w:hAnsi="Bookman Old Style"/>
        </w:rPr>
      </w:pPr>
    </w:p>
    <w:p w:rsidR="003116C2" w:rsidRDefault="003116C2" w:rsidP="003116C2">
      <w:pPr>
        <w:keepNext/>
        <w:keepLines/>
        <w:spacing w:line="240" w:lineRule="auto"/>
        <w:contextualSpacing/>
        <w:outlineLvl w:val="1"/>
        <w:rPr>
          <w:rFonts w:asciiTheme="majorHAnsi" w:eastAsiaTheme="majorEastAsia" w:hAnsiTheme="majorHAnsi" w:cstheme="majorBidi"/>
          <w:b/>
          <w:bCs/>
          <w:i/>
          <w:sz w:val="24"/>
          <w:szCs w:val="24"/>
        </w:rPr>
      </w:pPr>
      <w:bookmarkStart w:id="4" w:name="_Toc474159554"/>
      <w:bookmarkStart w:id="5" w:name="_Toc475003852"/>
      <w:r>
        <w:rPr>
          <w:rFonts w:asciiTheme="majorHAnsi" w:eastAsiaTheme="majorEastAsia" w:hAnsiTheme="majorHAnsi" w:cstheme="majorBidi"/>
          <w:b/>
          <w:bCs/>
          <w:i/>
          <w:sz w:val="24"/>
          <w:szCs w:val="24"/>
        </w:rPr>
        <w:t>Risk Attributes and Vulnerability</w:t>
      </w:r>
    </w:p>
    <w:p w:rsidR="003116C2" w:rsidRPr="006119B5" w:rsidRDefault="003116C2" w:rsidP="003116C2">
      <w:pPr>
        <w:keepNext/>
        <w:keepLines/>
        <w:spacing w:line="240" w:lineRule="auto"/>
        <w:contextualSpacing/>
        <w:outlineLvl w:val="1"/>
        <w:rPr>
          <w:rFonts w:asciiTheme="majorHAnsi" w:eastAsiaTheme="majorEastAsia" w:hAnsiTheme="majorHAnsi" w:cstheme="majorBidi"/>
          <w:b/>
          <w:bCs/>
          <w:i/>
          <w:sz w:val="24"/>
          <w:szCs w:val="24"/>
        </w:rPr>
      </w:pPr>
      <w:r w:rsidRPr="006119B5">
        <w:rPr>
          <w:rFonts w:asciiTheme="majorHAnsi" w:eastAsiaTheme="majorEastAsia" w:hAnsiTheme="majorHAnsi" w:cstheme="majorBidi"/>
          <w:b/>
          <w:bCs/>
          <w:i/>
          <w:sz w:val="24"/>
          <w:szCs w:val="24"/>
        </w:rPr>
        <w:t>Response Statistics</w:t>
      </w:r>
      <w:bookmarkEnd w:id="4"/>
      <w:bookmarkEnd w:id="5"/>
    </w:p>
    <w:p w:rsidR="003116C2" w:rsidRPr="006119B5" w:rsidRDefault="003116C2" w:rsidP="003116C2">
      <w:pPr>
        <w:keepNext/>
        <w:keepLines/>
        <w:spacing w:line="240" w:lineRule="auto"/>
        <w:contextualSpacing/>
        <w:outlineLvl w:val="1"/>
        <w:rPr>
          <w:rFonts w:asciiTheme="majorHAnsi" w:eastAsiaTheme="majorEastAsia" w:hAnsiTheme="majorHAnsi" w:cstheme="majorBidi"/>
          <w:b/>
          <w:bCs/>
          <w:i/>
          <w:sz w:val="24"/>
          <w:szCs w:val="24"/>
        </w:rPr>
      </w:pPr>
    </w:p>
    <w:p w:rsidR="003116C2" w:rsidRPr="006119B5" w:rsidRDefault="003116C2" w:rsidP="003116C2">
      <w:pPr>
        <w:keepNext/>
        <w:keepLines/>
        <w:spacing w:line="240" w:lineRule="auto"/>
        <w:contextualSpacing/>
        <w:jc w:val="both"/>
        <w:outlineLvl w:val="1"/>
        <w:rPr>
          <w:rFonts w:asciiTheme="majorHAnsi" w:eastAsiaTheme="majorEastAsia" w:hAnsiTheme="majorHAnsi" w:cstheme="majorBidi"/>
          <w:bCs/>
          <w:i/>
        </w:rPr>
      </w:pPr>
      <w:r w:rsidRPr="006119B5">
        <w:rPr>
          <w:rFonts w:ascii="Bookman Old Style" w:eastAsiaTheme="majorEastAsia" w:hAnsi="Bookman Old Style" w:cstheme="majorBidi"/>
          <w:bCs/>
        </w:rPr>
        <w:t>The Master Plan study conducted by ESCI compared the Pasco Fire Department to similar sized fire agencies within the 13 western states using the NFPA benchmark data for 2015.  The conclusion reached by ESCI is that the Pasco Fire Department is a “very busy” primarily suburban fire department. The chart below indicates the breakdown of major incident types for 2015.</w:t>
      </w:r>
    </w:p>
    <w:p w:rsidR="003116C2" w:rsidRPr="006119B5" w:rsidRDefault="003116C2" w:rsidP="003116C2">
      <w:pPr>
        <w:spacing w:after="0" w:line="240" w:lineRule="auto"/>
      </w:pPr>
    </w:p>
    <w:p w:rsidR="003116C2" w:rsidRPr="006119B5" w:rsidRDefault="003116C2" w:rsidP="003116C2">
      <w:pPr>
        <w:spacing w:after="0" w:line="240" w:lineRule="auto"/>
        <w:jc w:val="center"/>
      </w:pPr>
      <w:r w:rsidRPr="006119B5">
        <w:rPr>
          <w:noProof/>
        </w:rPr>
        <w:drawing>
          <wp:inline distT="0" distB="0" distL="0" distR="0" wp14:anchorId="354A6C16" wp14:editId="03215566">
            <wp:extent cx="3976507" cy="2266950"/>
            <wp:effectExtent l="0" t="0" r="5080" b="0"/>
            <wp:docPr id="13" name="Picture 1" descr="78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78i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5265" cy="2271943"/>
                    </a:xfrm>
                    <a:prstGeom prst="rect">
                      <a:avLst/>
                    </a:prstGeom>
                    <a:noFill/>
                    <a:extLst/>
                  </pic:spPr>
                </pic:pic>
              </a:graphicData>
            </a:graphic>
          </wp:inline>
        </w:drawing>
      </w:r>
    </w:p>
    <w:p w:rsidR="003116C2" w:rsidRPr="006119B5" w:rsidRDefault="003116C2" w:rsidP="003116C2">
      <w:pPr>
        <w:spacing w:line="240" w:lineRule="auto"/>
        <w:contextualSpacing/>
        <w:jc w:val="both"/>
        <w:rPr>
          <w:rFonts w:ascii="Bookman Old Style" w:hAnsi="Bookman Old Style"/>
        </w:rPr>
      </w:pPr>
    </w:p>
    <w:p w:rsidR="003116C2" w:rsidRPr="006119B5" w:rsidRDefault="003116C2" w:rsidP="003116C2">
      <w:pPr>
        <w:spacing w:line="240" w:lineRule="auto"/>
        <w:contextualSpacing/>
        <w:jc w:val="both"/>
        <w:rPr>
          <w:rFonts w:ascii="Bookman Old Style" w:hAnsi="Bookman Old Style"/>
        </w:rPr>
      </w:pPr>
      <w:r w:rsidRPr="006119B5">
        <w:rPr>
          <w:rFonts w:ascii="Bookman Old Style" w:hAnsi="Bookman Old Style"/>
        </w:rPr>
        <w:t>During the Master Planning process, Emergency Services Consulting International, determined that the Pasco Fire Department responded to 74.7 emergencies per 1,000 population in its service area, which is eight more responses per 1,000 population served (or 544 total responses more per year) than the regional median.</w:t>
      </w:r>
    </w:p>
    <w:p w:rsidR="003116C2" w:rsidRPr="006119B5" w:rsidRDefault="003116C2" w:rsidP="003116C2">
      <w:pPr>
        <w:spacing w:line="240" w:lineRule="auto"/>
        <w:contextualSpacing/>
        <w:jc w:val="both"/>
        <w:rPr>
          <w:rFonts w:ascii="Bookman Old Style" w:hAnsi="Bookman Old Style"/>
        </w:rPr>
      </w:pPr>
    </w:p>
    <w:p w:rsidR="003116C2" w:rsidRPr="006119B5" w:rsidRDefault="003116C2" w:rsidP="003116C2">
      <w:pPr>
        <w:spacing w:after="0" w:line="240" w:lineRule="auto"/>
        <w:rPr>
          <w:rFonts w:ascii="Bookman Old Style" w:hAnsi="Bookman Old Style"/>
        </w:rPr>
      </w:pPr>
    </w:p>
    <w:p w:rsidR="003116C2" w:rsidRPr="006119B5" w:rsidRDefault="003116C2" w:rsidP="003116C2">
      <w:pPr>
        <w:spacing w:after="0" w:line="240" w:lineRule="auto"/>
        <w:jc w:val="center"/>
      </w:pPr>
      <w:r w:rsidRPr="006119B5">
        <w:rPr>
          <w:noProof/>
        </w:rPr>
        <w:drawing>
          <wp:inline distT="0" distB="0" distL="0" distR="0" wp14:anchorId="30D5CF85" wp14:editId="1586F444">
            <wp:extent cx="3343275" cy="234315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16C2" w:rsidRPr="006119B5" w:rsidRDefault="003116C2" w:rsidP="003116C2">
      <w:pPr>
        <w:spacing w:after="0" w:line="240" w:lineRule="auto"/>
        <w:jc w:val="center"/>
      </w:pPr>
    </w:p>
    <w:p w:rsidR="003116C2" w:rsidRPr="006119B5" w:rsidRDefault="003116C2" w:rsidP="003116C2">
      <w:pPr>
        <w:spacing w:line="240" w:lineRule="auto"/>
        <w:contextualSpacing/>
        <w:jc w:val="both"/>
        <w:rPr>
          <w:rFonts w:ascii="Bookman Old Style" w:hAnsi="Bookman Old Style"/>
        </w:rPr>
      </w:pPr>
    </w:p>
    <w:p w:rsidR="003116C2" w:rsidRPr="006119B5" w:rsidRDefault="003116C2" w:rsidP="003116C2">
      <w:pPr>
        <w:spacing w:line="240" w:lineRule="auto"/>
        <w:contextualSpacing/>
        <w:jc w:val="both"/>
        <w:rPr>
          <w:rFonts w:ascii="Bookman Old Style" w:hAnsi="Bookman Old Style"/>
        </w:rPr>
      </w:pPr>
      <w:r w:rsidRPr="006119B5">
        <w:rPr>
          <w:rFonts w:ascii="Bookman Old Style" w:hAnsi="Bookman Old Style"/>
        </w:rPr>
        <w:lastRenderedPageBreak/>
        <w:t xml:space="preserve">Historical analysis of call volume (2011-2015) as compared to population increase for the same time frame shows that the call volume increased an average of 16.9% per year while the population increase averaged 13.7% per year.  </w:t>
      </w:r>
    </w:p>
    <w:p w:rsidR="003116C2" w:rsidRPr="006119B5" w:rsidRDefault="003116C2" w:rsidP="003116C2">
      <w:pPr>
        <w:spacing w:line="240" w:lineRule="auto"/>
        <w:contextualSpacing/>
        <w:jc w:val="both"/>
        <w:rPr>
          <w:rFonts w:ascii="Bookman Old Style" w:hAnsi="Bookman Old Style"/>
        </w:rPr>
      </w:pPr>
    </w:p>
    <w:p w:rsidR="003116C2" w:rsidRPr="006119B5" w:rsidRDefault="003116C2" w:rsidP="003116C2">
      <w:pPr>
        <w:spacing w:after="0" w:line="240" w:lineRule="auto"/>
      </w:pPr>
    </w:p>
    <w:p w:rsidR="003116C2" w:rsidRPr="006119B5" w:rsidRDefault="003116C2" w:rsidP="003116C2">
      <w:pPr>
        <w:spacing w:after="0" w:line="240" w:lineRule="auto"/>
        <w:jc w:val="center"/>
      </w:pPr>
      <w:r w:rsidRPr="006119B5">
        <w:rPr>
          <w:noProof/>
        </w:rPr>
        <w:drawing>
          <wp:inline distT="0" distB="0" distL="0" distR="0" wp14:anchorId="7555A21A" wp14:editId="7138B1A2">
            <wp:extent cx="3667125" cy="28003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16C2" w:rsidRPr="006119B5" w:rsidRDefault="003116C2" w:rsidP="003116C2">
      <w:pPr>
        <w:spacing w:after="0" w:line="240" w:lineRule="auto"/>
        <w:jc w:val="center"/>
      </w:pPr>
    </w:p>
    <w:p w:rsidR="003116C2" w:rsidRPr="006119B5" w:rsidRDefault="003116C2" w:rsidP="003116C2">
      <w:pPr>
        <w:spacing w:after="0" w:line="240" w:lineRule="auto"/>
      </w:pPr>
    </w:p>
    <w:p w:rsidR="003116C2" w:rsidRPr="006119B5" w:rsidRDefault="003116C2" w:rsidP="003116C2">
      <w:pPr>
        <w:spacing w:after="0" w:line="240" w:lineRule="auto"/>
      </w:pPr>
    </w:p>
    <w:p w:rsidR="003116C2" w:rsidRDefault="003116C2" w:rsidP="003116C2">
      <w:pPr>
        <w:spacing w:line="240" w:lineRule="auto"/>
        <w:contextualSpacing/>
        <w:jc w:val="both"/>
        <w:rPr>
          <w:rFonts w:ascii="Bookman Old Style" w:hAnsi="Bookman Old Style"/>
        </w:rPr>
      </w:pPr>
      <w:r w:rsidRPr="006119B5">
        <w:rPr>
          <w:rFonts w:ascii="Bookman Old Style" w:hAnsi="Bookman Old Style"/>
        </w:rPr>
        <w:t>Overlapping calls are a significant issue for the Pasco Fire Department.  Overlapping calls are defined as calls for service that occur while the primary response unit is already engaged in a previous emergency.  These calls require secondary stations to cover the emergency resulting in longer response times and greater out of service times for units.  The chart below shows the percent of overlapping calls for the 2011-2015 time frames.</w:t>
      </w:r>
    </w:p>
    <w:p w:rsidR="000C540F" w:rsidRPr="003116C2" w:rsidRDefault="000C540F" w:rsidP="003116C2">
      <w:pPr>
        <w:spacing w:line="240" w:lineRule="auto"/>
        <w:contextualSpacing/>
        <w:jc w:val="both"/>
        <w:rPr>
          <w:rFonts w:ascii="Bookman Old Style" w:hAnsi="Bookman Old Style"/>
        </w:rPr>
      </w:pPr>
    </w:p>
    <w:p w:rsidR="003116C2" w:rsidRPr="006119B5" w:rsidRDefault="003116C2" w:rsidP="003116C2">
      <w:pPr>
        <w:spacing w:after="0" w:line="240" w:lineRule="auto"/>
      </w:pPr>
    </w:p>
    <w:tbl>
      <w:tblPr>
        <w:tblStyle w:val="LightList-Accent5"/>
        <w:tblW w:w="0" w:type="auto"/>
        <w:jc w:val="center"/>
        <w:tblLook w:val="04A0" w:firstRow="1" w:lastRow="0" w:firstColumn="1" w:lastColumn="0" w:noHBand="0" w:noVBand="1"/>
      </w:tblPr>
      <w:tblGrid>
        <w:gridCol w:w="2802"/>
        <w:gridCol w:w="2803"/>
      </w:tblGrid>
      <w:tr w:rsidR="003116C2" w:rsidRPr="006119B5" w:rsidTr="00F4618B">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5605" w:type="dxa"/>
            <w:gridSpan w:val="2"/>
          </w:tcPr>
          <w:p w:rsidR="003116C2" w:rsidRPr="006119B5" w:rsidRDefault="003116C2" w:rsidP="00F4618B">
            <w:pPr>
              <w:jc w:val="center"/>
              <w:rPr>
                <w:rFonts w:ascii="Bookman Old Style" w:hAnsi="Bookman Old Style"/>
              </w:rPr>
            </w:pPr>
            <w:r w:rsidRPr="006119B5">
              <w:rPr>
                <w:rFonts w:ascii="Bookman Old Style" w:hAnsi="Bookman Old Style"/>
              </w:rPr>
              <w:t>Overlapping Call Percentage per Year</w:t>
            </w:r>
          </w:p>
        </w:tc>
      </w:tr>
      <w:tr w:rsidR="003116C2" w:rsidRPr="006119B5" w:rsidTr="00F4618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802" w:type="dxa"/>
          </w:tcPr>
          <w:p w:rsidR="003116C2" w:rsidRPr="006119B5" w:rsidRDefault="003116C2" w:rsidP="00F4618B">
            <w:pPr>
              <w:jc w:val="center"/>
              <w:rPr>
                <w:rFonts w:ascii="Bookman Old Style" w:hAnsi="Bookman Old Style"/>
                <w:sz w:val="20"/>
              </w:rPr>
            </w:pPr>
            <w:r w:rsidRPr="006119B5">
              <w:rPr>
                <w:rFonts w:ascii="Bookman Old Style" w:hAnsi="Bookman Old Style"/>
                <w:sz w:val="20"/>
              </w:rPr>
              <w:t>2011</w:t>
            </w:r>
          </w:p>
        </w:tc>
        <w:tc>
          <w:tcPr>
            <w:tcW w:w="2802" w:type="dxa"/>
          </w:tcPr>
          <w:p w:rsidR="003116C2" w:rsidRPr="006119B5" w:rsidRDefault="003116C2" w:rsidP="00F4618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6119B5">
              <w:rPr>
                <w:rFonts w:ascii="Bookman Old Style" w:hAnsi="Bookman Old Style"/>
                <w:sz w:val="20"/>
              </w:rPr>
              <w:t>30.77%</w:t>
            </w:r>
          </w:p>
        </w:tc>
      </w:tr>
      <w:tr w:rsidR="003116C2" w:rsidRPr="006119B5" w:rsidTr="00F4618B">
        <w:trPr>
          <w:trHeight w:val="243"/>
          <w:jc w:val="center"/>
        </w:trPr>
        <w:tc>
          <w:tcPr>
            <w:cnfStyle w:val="001000000000" w:firstRow="0" w:lastRow="0" w:firstColumn="1" w:lastColumn="0" w:oddVBand="0" w:evenVBand="0" w:oddHBand="0" w:evenHBand="0" w:firstRowFirstColumn="0" w:firstRowLastColumn="0" w:lastRowFirstColumn="0" w:lastRowLastColumn="0"/>
            <w:tcW w:w="2802" w:type="dxa"/>
          </w:tcPr>
          <w:p w:rsidR="003116C2" w:rsidRPr="006119B5" w:rsidRDefault="003116C2" w:rsidP="00F4618B">
            <w:pPr>
              <w:jc w:val="center"/>
              <w:rPr>
                <w:rFonts w:ascii="Bookman Old Style" w:hAnsi="Bookman Old Style"/>
                <w:sz w:val="20"/>
              </w:rPr>
            </w:pPr>
            <w:r w:rsidRPr="006119B5">
              <w:rPr>
                <w:rFonts w:ascii="Bookman Old Style" w:hAnsi="Bookman Old Style"/>
                <w:sz w:val="20"/>
              </w:rPr>
              <w:t>2012</w:t>
            </w:r>
          </w:p>
        </w:tc>
        <w:tc>
          <w:tcPr>
            <w:tcW w:w="2802" w:type="dxa"/>
          </w:tcPr>
          <w:p w:rsidR="003116C2" w:rsidRPr="006119B5" w:rsidRDefault="003116C2" w:rsidP="00F4618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6119B5">
              <w:rPr>
                <w:rFonts w:ascii="Bookman Old Style" w:hAnsi="Bookman Old Style"/>
                <w:sz w:val="20"/>
              </w:rPr>
              <w:t>30.34%</w:t>
            </w:r>
          </w:p>
        </w:tc>
      </w:tr>
      <w:tr w:rsidR="003116C2" w:rsidRPr="006119B5" w:rsidTr="00F4618B">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802" w:type="dxa"/>
          </w:tcPr>
          <w:p w:rsidR="003116C2" w:rsidRPr="006119B5" w:rsidRDefault="003116C2" w:rsidP="00F4618B">
            <w:pPr>
              <w:jc w:val="center"/>
              <w:rPr>
                <w:rFonts w:ascii="Bookman Old Style" w:hAnsi="Bookman Old Style"/>
                <w:sz w:val="20"/>
              </w:rPr>
            </w:pPr>
            <w:r w:rsidRPr="006119B5">
              <w:rPr>
                <w:rFonts w:ascii="Bookman Old Style" w:hAnsi="Bookman Old Style"/>
                <w:sz w:val="20"/>
              </w:rPr>
              <w:t>2013</w:t>
            </w:r>
          </w:p>
        </w:tc>
        <w:tc>
          <w:tcPr>
            <w:tcW w:w="2802" w:type="dxa"/>
          </w:tcPr>
          <w:p w:rsidR="003116C2" w:rsidRPr="006119B5" w:rsidRDefault="003116C2" w:rsidP="00F4618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6119B5">
              <w:rPr>
                <w:rFonts w:ascii="Bookman Old Style" w:hAnsi="Bookman Old Style"/>
                <w:sz w:val="20"/>
              </w:rPr>
              <w:t>31.68%</w:t>
            </w:r>
          </w:p>
        </w:tc>
      </w:tr>
      <w:tr w:rsidR="003116C2" w:rsidRPr="006119B5" w:rsidTr="00F4618B">
        <w:trPr>
          <w:trHeight w:val="243"/>
          <w:jc w:val="center"/>
        </w:trPr>
        <w:tc>
          <w:tcPr>
            <w:cnfStyle w:val="001000000000" w:firstRow="0" w:lastRow="0" w:firstColumn="1" w:lastColumn="0" w:oddVBand="0" w:evenVBand="0" w:oddHBand="0" w:evenHBand="0" w:firstRowFirstColumn="0" w:firstRowLastColumn="0" w:lastRowFirstColumn="0" w:lastRowLastColumn="0"/>
            <w:tcW w:w="2802" w:type="dxa"/>
          </w:tcPr>
          <w:p w:rsidR="003116C2" w:rsidRPr="006119B5" w:rsidRDefault="003116C2" w:rsidP="00F4618B">
            <w:pPr>
              <w:jc w:val="center"/>
              <w:rPr>
                <w:rFonts w:ascii="Bookman Old Style" w:hAnsi="Bookman Old Style"/>
                <w:sz w:val="20"/>
              </w:rPr>
            </w:pPr>
            <w:r w:rsidRPr="006119B5">
              <w:rPr>
                <w:rFonts w:ascii="Bookman Old Style" w:hAnsi="Bookman Old Style"/>
                <w:sz w:val="20"/>
              </w:rPr>
              <w:t>2014</w:t>
            </w:r>
          </w:p>
        </w:tc>
        <w:tc>
          <w:tcPr>
            <w:tcW w:w="2802" w:type="dxa"/>
          </w:tcPr>
          <w:p w:rsidR="003116C2" w:rsidRPr="006119B5" w:rsidRDefault="003116C2" w:rsidP="00F4618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6119B5">
              <w:rPr>
                <w:rFonts w:ascii="Bookman Old Style" w:hAnsi="Bookman Old Style"/>
                <w:sz w:val="20"/>
              </w:rPr>
              <w:t>32.35%</w:t>
            </w:r>
          </w:p>
        </w:tc>
      </w:tr>
      <w:tr w:rsidR="003116C2" w:rsidRPr="006119B5" w:rsidTr="00F4618B">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802" w:type="dxa"/>
          </w:tcPr>
          <w:p w:rsidR="003116C2" w:rsidRPr="006119B5" w:rsidRDefault="003116C2" w:rsidP="00F4618B">
            <w:pPr>
              <w:jc w:val="center"/>
              <w:rPr>
                <w:rFonts w:ascii="Bookman Old Style" w:hAnsi="Bookman Old Style"/>
                <w:sz w:val="20"/>
              </w:rPr>
            </w:pPr>
            <w:r w:rsidRPr="006119B5">
              <w:rPr>
                <w:rFonts w:ascii="Bookman Old Style" w:hAnsi="Bookman Old Style"/>
                <w:sz w:val="20"/>
              </w:rPr>
              <w:t>2015</w:t>
            </w:r>
          </w:p>
        </w:tc>
        <w:tc>
          <w:tcPr>
            <w:tcW w:w="2802" w:type="dxa"/>
          </w:tcPr>
          <w:p w:rsidR="003116C2" w:rsidRPr="006119B5" w:rsidRDefault="003116C2" w:rsidP="00F4618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6119B5">
              <w:rPr>
                <w:rFonts w:ascii="Bookman Old Style" w:hAnsi="Bookman Old Style"/>
                <w:sz w:val="20"/>
              </w:rPr>
              <w:t>36.28%</w:t>
            </w:r>
          </w:p>
        </w:tc>
      </w:tr>
    </w:tbl>
    <w:p w:rsidR="003116C2" w:rsidRPr="006119B5" w:rsidRDefault="003116C2" w:rsidP="003116C2">
      <w:pPr>
        <w:spacing w:after="0" w:line="240" w:lineRule="auto"/>
      </w:pPr>
    </w:p>
    <w:p w:rsidR="003116C2" w:rsidRPr="006119B5" w:rsidRDefault="003116C2" w:rsidP="003116C2">
      <w:pPr>
        <w:spacing w:after="0" w:line="240" w:lineRule="auto"/>
      </w:pPr>
      <w:r w:rsidRPr="006119B5">
        <w:t xml:space="preserve"> </w:t>
      </w:r>
    </w:p>
    <w:p w:rsidR="003116C2" w:rsidRPr="006119B5" w:rsidRDefault="003116C2" w:rsidP="003116C2">
      <w:pPr>
        <w:keepNext/>
        <w:keepLines/>
        <w:outlineLvl w:val="3"/>
        <w:rPr>
          <w:rFonts w:asciiTheme="majorHAnsi" w:eastAsiaTheme="majorEastAsia" w:hAnsiTheme="majorHAnsi" w:cstheme="majorBidi"/>
          <w:b/>
          <w:bCs/>
          <w:i/>
          <w:iCs/>
          <w:color w:val="4F81BD" w:themeColor="accent1"/>
          <w:sz w:val="24"/>
          <w:szCs w:val="24"/>
        </w:rPr>
      </w:pPr>
      <w:bookmarkStart w:id="6" w:name="_Toc474159556"/>
      <w:bookmarkStart w:id="7" w:name="_Toc475003859"/>
      <w:r w:rsidRPr="006119B5">
        <w:rPr>
          <w:rFonts w:asciiTheme="majorHAnsi" w:eastAsiaTheme="majorEastAsia" w:hAnsiTheme="majorHAnsi" w:cstheme="majorBidi"/>
          <w:b/>
          <w:bCs/>
          <w:i/>
          <w:iCs/>
          <w:sz w:val="24"/>
          <w:szCs w:val="24"/>
        </w:rPr>
        <w:t>Geographic Call Distribution</w:t>
      </w:r>
      <w:bookmarkEnd w:id="6"/>
      <w:bookmarkEnd w:id="7"/>
    </w:p>
    <w:p w:rsidR="003116C2" w:rsidRPr="006119B5" w:rsidRDefault="003116C2" w:rsidP="003116C2">
      <w:pPr>
        <w:spacing w:afterLines="100" w:after="240" w:line="240" w:lineRule="auto"/>
        <w:contextualSpacing/>
        <w:jc w:val="both"/>
        <w:rPr>
          <w:rFonts w:ascii="Bookman Old Style" w:hAnsi="Bookman Old Style"/>
        </w:rPr>
      </w:pPr>
      <w:r w:rsidRPr="006119B5">
        <w:rPr>
          <w:rFonts w:ascii="Bookman Old Style" w:hAnsi="Bookman Old Style"/>
        </w:rPr>
        <w:t xml:space="preserve">ESCI plotted the incident locations and calculated the mathematical density of the 2013-2015 service demand for the PFD service area.  The PFD service demand is concentrated in the central core area of the City of Pasco, between Station 81 and Highway 395.  The commercial corridor along Rd. 68 as well as the residential neighborhoods north of I-182 experience higher incident demand density.  As the </w:t>
      </w:r>
      <w:r w:rsidRPr="006119B5">
        <w:rPr>
          <w:rFonts w:ascii="Bookman Old Style" w:hAnsi="Bookman Old Style"/>
        </w:rPr>
        <w:lastRenderedPageBreak/>
        <w:t>northwest area of the city begins to “fill-in” it is expected that the demand for service in that area will trend towards the same levels as that of the central core of the city.</w:t>
      </w:r>
    </w:p>
    <w:p w:rsidR="003116C2" w:rsidRPr="006119B5" w:rsidRDefault="003116C2" w:rsidP="003116C2">
      <w:pPr>
        <w:spacing w:afterLines="200" w:after="480" w:line="240" w:lineRule="auto"/>
        <w:contextualSpacing/>
        <w:rPr>
          <w:rFonts w:ascii="Bookman Old Style" w:hAnsi="Bookman Old Style"/>
        </w:rPr>
      </w:pPr>
    </w:p>
    <w:p w:rsidR="003116C2" w:rsidRPr="006119B5" w:rsidRDefault="003116C2" w:rsidP="003116C2">
      <w:pPr>
        <w:jc w:val="center"/>
      </w:pPr>
      <w:r w:rsidRPr="006119B5">
        <w:rPr>
          <w:noProof/>
        </w:rPr>
        <w:drawing>
          <wp:inline distT="0" distB="0" distL="0" distR="0" wp14:anchorId="27038D2A" wp14:editId="4E4B3ABB">
            <wp:extent cx="4613713" cy="3295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D Incident Density 2014_2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9817" cy="3314297"/>
                    </a:xfrm>
                    <a:prstGeom prst="rect">
                      <a:avLst/>
                    </a:prstGeom>
                  </pic:spPr>
                </pic:pic>
              </a:graphicData>
            </a:graphic>
          </wp:inline>
        </w:drawing>
      </w:r>
    </w:p>
    <w:p w:rsidR="003116C2" w:rsidRPr="006119B5" w:rsidRDefault="003116C2" w:rsidP="003116C2">
      <w:pPr>
        <w:spacing w:afterLines="200" w:after="480" w:line="240" w:lineRule="auto"/>
        <w:contextualSpacing/>
      </w:pPr>
    </w:p>
    <w:p w:rsidR="003116C2" w:rsidRDefault="003116C2" w:rsidP="003116C2">
      <w:pPr>
        <w:spacing w:afterLines="100" w:after="240" w:line="240" w:lineRule="auto"/>
        <w:contextualSpacing/>
        <w:jc w:val="both"/>
        <w:rPr>
          <w:rFonts w:ascii="Bookman Old Style" w:hAnsi="Bookman Old Style"/>
        </w:rPr>
      </w:pPr>
      <w:r w:rsidRPr="006119B5">
        <w:rPr>
          <w:rFonts w:ascii="Bookman Old Style" w:hAnsi="Bookman Old Style"/>
        </w:rPr>
        <w:t>Fire incidents are the least frequent in the data set.  However, incidents categorized as fires are equally distributed throughout the city in a similar pattern to the overall service demand</w:t>
      </w:r>
      <w:r w:rsidR="00CA5F67">
        <w:rPr>
          <w:rFonts w:ascii="Bookman Old Style" w:hAnsi="Bookman Old Style"/>
        </w:rPr>
        <w:t xml:space="preserve">. </w:t>
      </w:r>
      <w:r w:rsidRPr="006119B5">
        <w:rPr>
          <w:rFonts w:ascii="Bookman Old Style" w:hAnsi="Bookman Old Style"/>
        </w:rPr>
        <w:t xml:space="preserve">These fires have been located in the central section of the city between Station 81 and Hwy. 395 and south of I-182 to the southern urban growth boundary.  </w:t>
      </w:r>
    </w:p>
    <w:p w:rsidR="00EA0BEF" w:rsidRPr="006119B5" w:rsidRDefault="00EA0BEF" w:rsidP="003116C2">
      <w:pPr>
        <w:spacing w:afterLines="100" w:after="240" w:line="240" w:lineRule="auto"/>
        <w:contextualSpacing/>
        <w:jc w:val="both"/>
        <w:rPr>
          <w:rFonts w:ascii="Bookman Old Style" w:hAnsi="Bookman Old Style"/>
        </w:rPr>
      </w:pPr>
    </w:p>
    <w:p w:rsidR="003116C2" w:rsidRPr="006119B5" w:rsidRDefault="003116C2" w:rsidP="003116C2">
      <w:pPr>
        <w:spacing w:afterLines="200" w:after="480" w:line="240" w:lineRule="auto"/>
        <w:contextualSpacing/>
        <w:jc w:val="center"/>
        <w:rPr>
          <w:rFonts w:ascii="Bookman Old Style" w:hAnsi="Bookman Old Style"/>
        </w:rPr>
      </w:pPr>
      <w:r w:rsidRPr="006119B5">
        <w:rPr>
          <w:noProof/>
        </w:rPr>
        <w:drawing>
          <wp:inline distT="0" distB="0" distL="0" distR="0" wp14:anchorId="3718F3CC" wp14:editId="534DA71C">
            <wp:extent cx="4765340" cy="3019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D Fire Incidents_Dens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0136" cy="3028800"/>
                    </a:xfrm>
                    <a:prstGeom prst="rect">
                      <a:avLst/>
                    </a:prstGeom>
                  </pic:spPr>
                </pic:pic>
              </a:graphicData>
            </a:graphic>
          </wp:inline>
        </w:drawing>
      </w:r>
    </w:p>
    <w:p w:rsidR="003116C2" w:rsidRPr="006119B5" w:rsidRDefault="003116C2" w:rsidP="003116C2">
      <w:pPr>
        <w:spacing w:afterLines="200" w:after="480" w:line="240" w:lineRule="auto"/>
        <w:contextualSpacing/>
        <w:jc w:val="both"/>
        <w:rPr>
          <w:rFonts w:ascii="Bookman Old Style" w:hAnsi="Bookman Old Style"/>
        </w:rPr>
      </w:pPr>
    </w:p>
    <w:p w:rsidR="00AC3398" w:rsidRDefault="00AC3398" w:rsidP="00AC3398">
      <w:pPr>
        <w:spacing w:line="240" w:lineRule="auto"/>
        <w:contextualSpacing/>
        <w:jc w:val="both"/>
        <w:rPr>
          <w:rFonts w:ascii="Bookman Old Style" w:hAnsi="Bookman Old Style"/>
        </w:rPr>
      </w:pPr>
      <w:r w:rsidRPr="006119B5">
        <w:rPr>
          <w:rFonts w:ascii="Bookman Old Style" w:hAnsi="Bookman Old Style"/>
        </w:rPr>
        <w:t>Statistically, fires represent one of the lowest probabilities of “traditional municipal” occurrence at 5.8% of total</w:t>
      </w:r>
      <w:r w:rsidR="005749D3">
        <w:rPr>
          <w:rFonts w:ascii="Bookman Old Style" w:hAnsi="Bookman Old Style"/>
        </w:rPr>
        <w:t xml:space="preserve"> call volume (combining all event</w:t>
      </w:r>
      <w:r w:rsidRPr="006119B5">
        <w:rPr>
          <w:rFonts w:ascii="Bookman Old Style" w:hAnsi="Bookman Old Style"/>
        </w:rPr>
        <w:t xml:space="preserve"> responses) and the highest resource usage, thus falling in the high risk category. Historically, the PFD has responded to an average of 1 structural fire every week, and a fire event every 35.04 hours.  Fires represent an important factor in the risk assessment process because of the regularity of occurrence and the resource demands that are placed upon the department and the community in the form of increased need for social service interaction to the victim(s), additional support from the community government (building inspection for re-occupancy, police involvement for additional patrols, etc.) and a greater resource demand on the “micro-community” (family, workforce, etc.).   Further, fire loss has a negative financial and public image impact to the community.  Increasing fire loss reduces property values and results in diminishing General Fund revenues.  The results of fire can also be detrimental to the future prospects of the community by affecting homeowner insurance ratings, property values, etc.</w:t>
      </w:r>
      <w:r>
        <w:rPr>
          <w:rFonts w:ascii="Bookman Old Style" w:hAnsi="Bookman Old Style"/>
        </w:rPr>
        <w:t xml:space="preserve"> The Pasco Fire Department has responded to an average of 53 structural fires per year since 2007. </w:t>
      </w:r>
    </w:p>
    <w:p w:rsidR="00AC3398" w:rsidRDefault="00AC3398" w:rsidP="00AC3398">
      <w:pPr>
        <w:spacing w:line="240" w:lineRule="auto"/>
        <w:contextualSpacing/>
        <w:jc w:val="both"/>
        <w:rPr>
          <w:rFonts w:ascii="Bookman Old Style" w:hAnsi="Bookman Old Style"/>
        </w:rPr>
      </w:pPr>
    </w:p>
    <w:p w:rsidR="00AC3398" w:rsidRDefault="00AC3398" w:rsidP="00AC3398">
      <w:pPr>
        <w:rPr>
          <w:rFonts w:ascii="Bookman Old Style" w:hAnsi="Bookman Old Style"/>
        </w:rPr>
      </w:pPr>
      <w:r>
        <w:rPr>
          <w:rFonts w:ascii="Bookman Old Style" w:hAnsi="Bookman Old Style"/>
        </w:rPr>
        <w:t>Analysis of the fire problem within the City of Pasco indicates that the department responded to 535 structural fires from January 1, 2007 to May 1, 2017.  A “deeper dive” into the statistics show that 33% of the recorded structural fires occurred in multi-family units.</w:t>
      </w:r>
    </w:p>
    <w:p w:rsidR="00AC3398" w:rsidRDefault="00AC3398" w:rsidP="00AC3398">
      <w:pPr>
        <w:jc w:val="center"/>
        <w:rPr>
          <w:rFonts w:ascii="Bookman Old Style" w:hAnsi="Bookman Old Style"/>
        </w:rPr>
      </w:pPr>
      <w:r>
        <w:rPr>
          <w:rFonts w:ascii="Bookman Old Style" w:hAnsi="Bookman Old Style"/>
          <w:noProof/>
        </w:rPr>
        <w:drawing>
          <wp:inline distT="0" distB="0" distL="0" distR="0" wp14:anchorId="6510BA61" wp14:editId="4DCB19F1">
            <wp:extent cx="3200400" cy="2000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719" t="2705" r="2004" b="2625"/>
                    <a:stretch/>
                  </pic:blipFill>
                  <pic:spPr bwMode="auto">
                    <a:xfrm>
                      <a:off x="0" y="0"/>
                      <a:ext cx="3211795" cy="2007372"/>
                    </a:xfrm>
                    <a:prstGeom prst="rect">
                      <a:avLst/>
                    </a:prstGeom>
                    <a:noFill/>
                    <a:ln>
                      <a:noFill/>
                    </a:ln>
                    <a:extLst>
                      <a:ext uri="{53640926-AAD7-44D8-BBD7-CCE9431645EC}">
                        <a14:shadowObscured xmlns:a14="http://schemas.microsoft.com/office/drawing/2010/main"/>
                      </a:ext>
                    </a:extLst>
                  </pic:spPr>
                </pic:pic>
              </a:graphicData>
            </a:graphic>
          </wp:inline>
        </w:drawing>
      </w:r>
    </w:p>
    <w:p w:rsidR="00AC3398" w:rsidRDefault="00AC3398" w:rsidP="00AC3398">
      <w:pPr>
        <w:rPr>
          <w:rFonts w:ascii="Bookman Old Style" w:hAnsi="Bookman Old Style"/>
        </w:rPr>
      </w:pPr>
      <w:r>
        <w:rPr>
          <w:rFonts w:ascii="Bookman Old Style" w:hAnsi="Bookman Old Style"/>
        </w:rPr>
        <w:t xml:space="preserve">Of the structural fires noted, 35% are caused by cooking issues.  Further analysis indicates that </w:t>
      </w:r>
      <w:r w:rsidR="005E5617">
        <w:rPr>
          <w:rFonts w:ascii="Bookman Old Style" w:hAnsi="Bookman Old Style"/>
        </w:rPr>
        <w:t>45</w:t>
      </w:r>
      <w:r>
        <w:rPr>
          <w:rFonts w:ascii="Bookman Old Style" w:hAnsi="Bookman Old Style"/>
        </w:rPr>
        <w:t>% of all cooking fires occur in multi-family structures.</w:t>
      </w:r>
    </w:p>
    <w:p w:rsidR="00AC3398" w:rsidRDefault="00AC3398" w:rsidP="00AC3398">
      <w:pPr>
        <w:jc w:val="center"/>
        <w:rPr>
          <w:rFonts w:ascii="Bookman Old Style" w:hAnsi="Bookman Old Style"/>
        </w:rPr>
      </w:pPr>
      <w:r>
        <w:rPr>
          <w:rFonts w:ascii="Bookman Old Style" w:hAnsi="Bookman Old Style"/>
          <w:noProof/>
        </w:rPr>
        <w:drawing>
          <wp:inline distT="0" distB="0" distL="0" distR="0" wp14:anchorId="03AF1250" wp14:editId="6E5E3FC8">
            <wp:extent cx="2810674" cy="167321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80" t="2795" r="2802" b="2608"/>
                    <a:stretch/>
                  </pic:blipFill>
                  <pic:spPr bwMode="auto">
                    <a:xfrm>
                      <a:off x="0" y="0"/>
                      <a:ext cx="2833115" cy="1686575"/>
                    </a:xfrm>
                    <a:prstGeom prst="rect">
                      <a:avLst/>
                    </a:prstGeom>
                    <a:noFill/>
                    <a:ln>
                      <a:noFill/>
                    </a:ln>
                    <a:extLst>
                      <a:ext uri="{53640926-AAD7-44D8-BBD7-CCE9431645EC}">
                        <a14:shadowObscured xmlns:a14="http://schemas.microsoft.com/office/drawing/2010/main"/>
                      </a:ext>
                    </a:extLst>
                  </pic:spPr>
                </pic:pic>
              </a:graphicData>
            </a:graphic>
          </wp:inline>
        </w:drawing>
      </w:r>
    </w:p>
    <w:p w:rsidR="00AC3398" w:rsidRDefault="00AC3398" w:rsidP="00AC3398">
      <w:pPr>
        <w:rPr>
          <w:rFonts w:ascii="Bookman Old Style" w:hAnsi="Bookman Old Style"/>
        </w:rPr>
      </w:pPr>
      <w:r>
        <w:rPr>
          <w:rFonts w:ascii="Bookman Old Style" w:hAnsi="Bookman Old Style"/>
        </w:rPr>
        <w:lastRenderedPageBreak/>
        <w:t>Temporal statistical data indicates that cooking fires tend to occur during the expected time frames based upon activity schedules of the populations.  There was no significant statistical evidence that supported specific days of the week.</w:t>
      </w:r>
    </w:p>
    <w:p w:rsidR="00AC3398" w:rsidRPr="00086615" w:rsidRDefault="006D0990" w:rsidP="00AC3398">
      <w:pPr>
        <w:rPr>
          <w:rFonts w:ascii="Bookman Old Style" w:hAnsi="Bookman Old Style"/>
        </w:rPr>
      </w:pPr>
      <w:r>
        <w:rPr>
          <w:rFonts w:ascii="Bookman Old Style" w:hAnsi="Bookman Old Style"/>
          <w:noProof/>
        </w:rPr>
        <w:drawing>
          <wp:anchor distT="0" distB="0" distL="114300" distR="114300" simplePos="0" relativeHeight="251665408" behindDoc="1" locked="0" layoutInCell="1" allowOverlap="1" wp14:anchorId="30C1C8C1" wp14:editId="153F5993">
            <wp:simplePos x="0" y="0"/>
            <wp:positionH relativeFrom="margin">
              <wp:posOffset>3371850</wp:posOffset>
            </wp:positionH>
            <wp:positionV relativeFrom="margin">
              <wp:posOffset>697230</wp:posOffset>
            </wp:positionV>
            <wp:extent cx="2628900" cy="1533525"/>
            <wp:effectExtent l="0" t="0" r="0" b="9525"/>
            <wp:wrapTight wrapText="bothSides">
              <wp:wrapPolygon edited="0">
                <wp:start x="0" y="0"/>
                <wp:lineTo x="0" y="21466"/>
                <wp:lineTo x="21443" y="21466"/>
                <wp:lineTo x="2144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48" t="2907" r="1748" b="3413"/>
                    <a:stretch/>
                  </pic:blipFill>
                  <pic:spPr bwMode="auto">
                    <a:xfrm>
                      <a:off x="0" y="0"/>
                      <a:ext cx="26289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398">
        <w:rPr>
          <w:rFonts w:ascii="Bookman Old Style" w:hAnsi="Bookman Old Style"/>
          <w:noProof/>
        </w:rPr>
        <w:drawing>
          <wp:inline distT="0" distB="0" distL="0" distR="0" wp14:anchorId="3A5C1E7D" wp14:editId="7B0A8330">
            <wp:extent cx="2609850" cy="1504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48" t="4072" r="2447" b="4024"/>
                    <a:stretch/>
                  </pic:blipFill>
                  <pic:spPr bwMode="auto">
                    <a:xfrm>
                      <a:off x="0" y="0"/>
                      <a:ext cx="2622860" cy="1512452"/>
                    </a:xfrm>
                    <a:prstGeom prst="rect">
                      <a:avLst/>
                    </a:prstGeom>
                    <a:noFill/>
                    <a:ln>
                      <a:noFill/>
                    </a:ln>
                    <a:extLst>
                      <a:ext uri="{53640926-AAD7-44D8-BBD7-CCE9431645EC}">
                        <a14:shadowObscured xmlns:a14="http://schemas.microsoft.com/office/drawing/2010/main"/>
                      </a:ext>
                    </a:extLst>
                  </pic:spPr>
                </pic:pic>
              </a:graphicData>
            </a:graphic>
          </wp:inline>
        </w:drawing>
      </w:r>
    </w:p>
    <w:p w:rsidR="00AC3398" w:rsidRDefault="00AC3398" w:rsidP="00AC3398">
      <w:pPr>
        <w:jc w:val="center"/>
        <w:rPr>
          <w:rFonts w:ascii="Bookman Old Style" w:hAnsi="Bookman Old Style"/>
          <w:noProof/>
        </w:rPr>
      </w:pPr>
    </w:p>
    <w:p w:rsidR="00AC3398" w:rsidRDefault="00AC3398" w:rsidP="00AC3398">
      <w:pPr>
        <w:jc w:val="center"/>
        <w:rPr>
          <w:rFonts w:ascii="Bookman Old Style" w:hAnsi="Bookman Old Style"/>
        </w:rPr>
      </w:pPr>
      <w:r>
        <w:rPr>
          <w:rFonts w:ascii="Bookman Old Style" w:hAnsi="Bookman Old Style"/>
          <w:noProof/>
        </w:rPr>
        <w:drawing>
          <wp:inline distT="0" distB="0" distL="0" distR="0" wp14:anchorId="5D57CA36" wp14:editId="0BF56A8A">
            <wp:extent cx="2943225" cy="171449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8" t="3110" r="2181" b="3605"/>
                    <a:stretch/>
                  </pic:blipFill>
                  <pic:spPr bwMode="auto">
                    <a:xfrm>
                      <a:off x="0" y="0"/>
                      <a:ext cx="2944737" cy="1715380"/>
                    </a:xfrm>
                    <a:prstGeom prst="rect">
                      <a:avLst/>
                    </a:prstGeom>
                    <a:noFill/>
                    <a:ln>
                      <a:noFill/>
                    </a:ln>
                    <a:extLst>
                      <a:ext uri="{53640926-AAD7-44D8-BBD7-CCE9431645EC}">
                        <a14:shadowObscured xmlns:a14="http://schemas.microsoft.com/office/drawing/2010/main"/>
                      </a:ext>
                    </a:extLst>
                  </pic:spPr>
                </pic:pic>
              </a:graphicData>
            </a:graphic>
          </wp:inline>
        </w:drawing>
      </w:r>
    </w:p>
    <w:p w:rsidR="00AC3398" w:rsidRDefault="00AC3398" w:rsidP="00AC3398">
      <w:pPr>
        <w:rPr>
          <w:rFonts w:ascii="Bookman Old Style" w:hAnsi="Bookman Old Style"/>
        </w:rPr>
      </w:pPr>
      <w:r>
        <w:rPr>
          <w:rFonts w:ascii="Bookman Old Style" w:hAnsi="Bookman Old Style"/>
        </w:rPr>
        <w:t>The cooking fires by hour of the day statistics support the anecdotal data that cooking fires usually occur at the times that residents are preparing meals and mirror the greater temporal response statistics.</w:t>
      </w:r>
    </w:p>
    <w:p w:rsidR="00AC3398" w:rsidRDefault="00DF0515" w:rsidP="00AC3398">
      <w:pPr>
        <w:rPr>
          <w:rFonts w:ascii="Bookman Old Style" w:hAnsi="Bookman Old Style"/>
          <w:b/>
          <w:i/>
        </w:rPr>
      </w:pPr>
      <w:r>
        <w:rPr>
          <w:rFonts w:ascii="Bookman Old Style" w:hAnsi="Bookman Old Style"/>
          <w:b/>
          <w:i/>
        </w:rPr>
        <w:t>Fire</w:t>
      </w:r>
      <w:r w:rsidR="00AC3398" w:rsidRPr="003116C2">
        <w:rPr>
          <w:rFonts w:ascii="Bookman Old Style" w:hAnsi="Bookman Old Style"/>
          <w:b/>
          <w:i/>
        </w:rPr>
        <w:t xml:space="preserve"> Analysis</w:t>
      </w:r>
    </w:p>
    <w:p w:rsidR="00AC3398" w:rsidRPr="003116C2" w:rsidRDefault="00AC3398" w:rsidP="00AC3398">
      <w:pPr>
        <w:rPr>
          <w:rFonts w:ascii="Bookman Old Style" w:hAnsi="Bookman Old Style"/>
        </w:rPr>
      </w:pPr>
      <w:r>
        <w:rPr>
          <w:rFonts w:ascii="Bookman Old Style" w:hAnsi="Bookman Old Style"/>
        </w:rPr>
        <w:t>Cooking Fires represent:</w:t>
      </w:r>
    </w:p>
    <w:p w:rsidR="00AC3398" w:rsidRDefault="00AC3398" w:rsidP="00AC3398">
      <w:pPr>
        <w:numPr>
          <w:ilvl w:val="0"/>
          <w:numId w:val="2"/>
        </w:numPr>
        <w:spacing w:line="240" w:lineRule="auto"/>
        <w:contextualSpacing/>
        <w:jc w:val="both"/>
        <w:rPr>
          <w:rFonts w:ascii="Bookman Old Style" w:hAnsi="Bookman Old Style"/>
          <w:color w:val="000000" w:themeColor="text1"/>
        </w:rPr>
      </w:pPr>
      <w:r w:rsidRPr="006D0990">
        <w:rPr>
          <w:rFonts w:ascii="Bookman Old Style" w:hAnsi="Bookman Old Style"/>
          <w:b/>
          <w:color w:val="000000" w:themeColor="text1"/>
        </w:rPr>
        <w:t>High impact/High probability</w:t>
      </w:r>
      <w:r>
        <w:rPr>
          <w:rFonts w:ascii="Bookman Old Style" w:hAnsi="Bookman Old Style"/>
          <w:color w:val="000000" w:themeColor="text1"/>
        </w:rPr>
        <w:t xml:space="preserve"> –</w:t>
      </w:r>
      <w:r w:rsidRPr="006119B5">
        <w:rPr>
          <w:rFonts w:ascii="Bookman Old Style" w:hAnsi="Bookman Old Style"/>
          <w:color w:val="000000" w:themeColor="text1"/>
        </w:rPr>
        <w:t xml:space="preserve"> These should be the highest priorities for the fire department and for the community.  Aggressive action is required such as staffing for these risks, equipping for these risks, and engaging the community in risk reduction and preparedness.</w:t>
      </w:r>
    </w:p>
    <w:p w:rsidR="00230449" w:rsidRPr="00230449" w:rsidRDefault="00230449" w:rsidP="00230449">
      <w:pPr>
        <w:pStyle w:val="ListParagraph"/>
        <w:numPr>
          <w:ilvl w:val="0"/>
          <w:numId w:val="2"/>
        </w:numPr>
        <w:rPr>
          <w:rFonts w:ascii="Bookman Old Style" w:hAnsi="Bookman Old Style"/>
          <w:color w:val="000000" w:themeColor="text1"/>
        </w:rPr>
      </w:pPr>
      <w:r w:rsidRPr="00230449">
        <w:rPr>
          <w:rFonts w:ascii="Bookman Old Style" w:hAnsi="Bookman Old Style"/>
          <w:color w:val="000000" w:themeColor="text1"/>
        </w:rPr>
        <w:t>Multi-family residential occupancies represent 2% of the total occupancies w</w:t>
      </w:r>
      <w:r>
        <w:rPr>
          <w:rFonts w:ascii="Bookman Old Style" w:hAnsi="Bookman Old Style"/>
          <w:color w:val="000000" w:themeColor="text1"/>
        </w:rPr>
        <w:t>ithin the City, but represent 45% of the cooking fires</w:t>
      </w:r>
      <w:r w:rsidRPr="00230449">
        <w:rPr>
          <w:rFonts w:ascii="Bookman Old Style" w:hAnsi="Bookman Old Style"/>
          <w:color w:val="000000" w:themeColor="text1"/>
        </w:rPr>
        <w:t xml:space="preserve"> call frequency.</w:t>
      </w:r>
    </w:p>
    <w:p w:rsidR="00AC3398" w:rsidRDefault="00AC3398" w:rsidP="00AC3398">
      <w:pPr>
        <w:spacing w:line="240" w:lineRule="auto"/>
        <w:contextualSpacing/>
        <w:jc w:val="both"/>
        <w:rPr>
          <w:rFonts w:ascii="Bookman Old Style" w:hAnsi="Bookman Old Style"/>
          <w:color w:val="000000" w:themeColor="text1"/>
        </w:rPr>
      </w:pPr>
    </w:p>
    <w:p w:rsidR="006D0990" w:rsidRDefault="006D0990" w:rsidP="00AC3398">
      <w:pPr>
        <w:spacing w:line="240" w:lineRule="auto"/>
        <w:contextualSpacing/>
        <w:jc w:val="both"/>
        <w:rPr>
          <w:rFonts w:ascii="Bookman Old Style" w:hAnsi="Bookman Old Style"/>
          <w:color w:val="000000" w:themeColor="text1"/>
        </w:rPr>
      </w:pPr>
    </w:p>
    <w:p w:rsidR="006D0990" w:rsidRDefault="006D0990" w:rsidP="00AC3398">
      <w:pPr>
        <w:spacing w:line="240" w:lineRule="auto"/>
        <w:contextualSpacing/>
        <w:jc w:val="both"/>
        <w:rPr>
          <w:rFonts w:ascii="Bookman Old Style" w:hAnsi="Bookman Old Style"/>
          <w:color w:val="000000" w:themeColor="text1"/>
        </w:rPr>
      </w:pPr>
    </w:p>
    <w:p w:rsidR="00EA0BEF" w:rsidRDefault="00EA0BEF" w:rsidP="00AC3398">
      <w:pPr>
        <w:spacing w:line="240" w:lineRule="auto"/>
        <w:contextualSpacing/>
        <w:jc w:val="both"/>
        <w:rPr>
          <w:rFonts w:ascii="Bookman Old Style" w:hAnsi="Bookman Old Style"/>
          <w:color w:val="000000" w:themeColor="text1"/>
        </w:rPr>
      </w:pPr>
    </w:p>
    <w:p w:rsidR="00EA0BEF" w:rsidRDefault="00EA0BEF" w:rsidP="00AC3398">
      <w:pPr>
        <w:spacing w:line="240" w:lineRule="auto"/>
        <w:contextualSpacing/>
        <w:jc w:val="both"/>
        <w:rPr>
          <w:rFonts w:ascii="Bookman Old Style" w:hAnsi="Bookman Old Style"/>
          <w:color w:val="000000" w:themeColor="text1"/>
        </w:rPr>
      </w:pPr>
    </w:p>
    <w:p w:rsidR="006D0990" w:rsidRDefault="006D0990" w:rsidP="00AC3398">
      <w:pPr>
        <w:spacing w:line="240" w:lineRule="auto"/>
        <w:contextualSpacing/>
        <w:jc w:val="both"/>
        <w:rPr>
          <w:rFonts w:ascii="Bookman Old Style" w:hAnsi="Bookman Old Style"/>
          <w:color w:val="000000" w:themeColor="text1"/>
        </w:rPr>
      </w:pPr>
    </w:p>
    <w:p w:rsidR="00C14D77" w:rsidRDefault="00C14D77" w:rsidP="00C14D77">
      <w:pPr>
        <w:jc w:val="both"/>
        <w:rPr>
          <w:rFonts w:ascii="Bookman Old Style" w:hAnsi="Bookman Old Style"/>
        </w:rPr>
      </w:pPr>
      <w:r>
        <w:rPr>
          <w:rFonts w:ascii="Bookman Old Style" w:hAnsi="Bookman Old Style"/>
          <w:b/>
          <w:i/>
        </w:rPr>
        <w:lastRenderedPageBreak/>
        <w:t xml:space="preserve">Property </w:t>
      </w:r>
      <w:r w:rsidRPr="00C14D77">
        <w:rPr>
          <w:rFonts w:ascii="Bookman Old Style" w:hAnsi="Bookman Old Style"/>
          <w:b/>
          <w:i/>
        </w:rPr>
        <w:t>Insurance information</w:t>
      </w:r>
      <w:r>
        <w:rPr>
          <w:rFonts w:ascii="Bookman Old Style" w:hAnsi="Bookman Old Style"/>
        </w:rPr>
        <w:t xml:space="preserve"> </w:t>
      </w:r>
    </w:p>
    <w:p w:rsidR="000A3B9A" w:rsidRDefault="00EA0BEF" w:rsidP="00C14D77">
      <w:pPr>
        <w:jc w:val="both"/>
        <w:rPr>
          <w:rFonts w:ascii="Bookman Old Style" w:hAnsi="Bookman Old Style"/>
        </w:rPr>
      </w:pPr>
      <w:r>
        <w:rPr>
          <w:rFonts w:ascii="Bookman Old Style" w:hAnsi="Bookman Old Style"/>
        </w:rPr>
        <w:t>The chart below graphically represents data obtained f</w:t>
      </w:r>
      <w:r w:rsidR="00C14D77">
        <w:rPr>
          <w:rFonts w:ascii="Bookman Old Style" w:hAnsi="Bookman Old Style"/>
        </w:rPr>
        <w:t>rom</w:t>
      </w:r>
      <w:r w:rsidR="000A3B9A">
        <w:rPr>
          <w:rFonts w:ascii="Bookman Old Style" w:hAnsi="Bookman Old Style"/>
        </w:rPr>
        <w:t xml:space="preserve"> </w:t>
      </w:r>
      <w:r w:rsidR="00C14D77">
        <w:rPr>
          <w:rFonts w:ascii="Bookman Old Style" w:hAnsi="Bookman Old Style"/>
        </w:rPr>
        <w:t xml:space="preserve">the </w:t>
      </w:r>
      <w:r w:rsidR="000A3B9A">
        <w:rPr>
          <w:rFonts w:ascii="Bookman Old Style" w:hAnsi="Bookman Old Style"/>
        </w:rPr>
        <w:t xml:space="preserve">office of financial </w:t>
      </w:r>
      <w:r w:rsidR="00FB71FF">
        <w:rPr>
          <w:rFonts w:ascii="Bookman Old Style" w:hAnsi="Bookman Old Style"/>
        </w:rPr>
        <w:t>management</w:t>
      </w:r>
      <w:r w:rsidR="000A3B9A">
        <w:rPr>
          <w:rFonts w:ascii="Bookman Old Style" w:hAnsi="Bookman Old Style"/>
        </w:rPr>
        <w:t xml:space="preserve"> of Washington</w:t>
      </w:r>
      <w:r w:rsidR="00C14D77">
        <w:rPr>
          <w:rFonts w:ascii="Bookman Old Style" w:hAnsi="Bookman Old Style"/>
        </w:rPr>
        <w:t xml:space="preserve"> S</w:t>
      </w:r>
      <w:r w:rsidR="000A3B9A">
        <w:rPr>
          <w:rFonts w:ascii="Bookman Old Style" w:hAnsi="Bookman Old Style"/>
        </w:rPr>
        <w:t>tate.</w:t>
      </w:r>
      <w:r w:rsidR="00C14D77">
        <w:rPr>
          <w:rFonts w:ascii="Bookman Old Style" w:hAnsi="Bookman Old Style"/>
        </w:rPr>
        <w:t xml:space="preserve"> The chart below shows the insurance information for Pasco from 2015. </w:t>
      </w:r>
      <w:r w:rsidR="000A3B9A">
        <w:rPr>
          <w:rFonts w:ascii="Bookman Old Style" w:hAnsi="Bookman Old Style"/>
        </w:rPr>
        <w:t xml:space="preserve"> Red indicates insufficient insurance coverage</w:t>
      </w:r>
      <w:r w:rsidR="00C14D77">
        <w:rPr>
          <w:rFonts w:ascii="Bookman Old Style" w:hAnsi="Bookman Old Style"/>
        </w:rPr>
        <w:t>,</w:t>
      </w:r>
      <w:r w:rsidR="000A3B9A">
        <w:rPr>
          <w:rFonts w:ascii="Bookman Old Style" w:hAnsi="Bookman Old Style"/>
        </w:rPr>
        <w:t xml:space="preserve"> blue indicates sufficient insurance coverage.</w:t>
      </w:r>
    </w:p>
    <w:p w:rsidR="006D0990" w:rsidRDefault="000A3B9A" w:rsidP="00AC3398">
      <w:pPr>
        <w:spacing w:line="240" w:lineRule="auto"/>
        <w:contextualSpacing/>
        <w:jc w:val="both"/>
        <w:rPr>
          <w:rFonts w:ascii="Bookman Old Style" w:hAnsi="Bookman Old Style"/>
          <w:color w:val="000000" w:themeColor="text1"/>
        </w:rPr>
      </w:pPr>
      <w:r>
        <w:rPr>
          <w:rFonts w:ascii="Bookman Old Style" w:hAnsi="Bookman Old Style"/>
          <w:noProof/>
          <w:color w:val="000000" w:themeColor="text1"/>
        </w:rPr>
        <w:drawing>
          <wp:inline distT="0" distB="0" distL="0" distR="0" wp14:anchorId="6104D957" wp14:editId="1212DB11">
            <wp:extent cx="5943600" cy="3291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urance coverag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291840"/>
                    </a:xfrm>
                    <a:prstGeom prst="rect">
                      <a:avLst/>
                    </a:prstGeom>
                  </pic:spPr>
                </pic:pic>
              </a:graphicData>
            </a:graphic>
          </wp:inline>
        </w:drawing>
      </w:r>
    </w:p>
    <w:p w:rsidR="006D0990" w:rsidRDefault="006D0990" w:rsidP="00AC3398">
      <w:pPr>
        <w:spacing w:line="240" w:lineRule="auto"/>
        <w:contextualSpacing/>
        <w:jc w:val="both"/>
        <w:rPr>
          <w:rFonts w:ascii="Bookman Old Style" w:hAnsi="Bookman Old Style"/>
          <w:color w:val="000000" w:themeColor="text1"/>
        </w:rPr>
      </w:pPr>
    </w:p>
    <w:p w:rsidR="00FB71FF" w:rsidRPr="00B27664" w:rsidRDefault="00C14D77" w:rsidP="00AC3398">
      <w:pPr>
        <w:spacing w:line="240" w:lineRule="auto"/>
        <w:contextualSpacing/>
        <w:jc w:val="both"/>
        <w:rPr>
          <w:rFonts w:ascii="Bookman Old Style" w:hAnsi="Bookman Old Style"/>
          <w:i/>
          <w:color w:val="000000" w:themeColor="text1"/>
        </w:rPr>
      </w:pPr>
      <w:r>
        <w:rPr>
          <w:rFonts w:ascii="Bookman Old Style" w:hAnsi="Bookman Old Style"/>
          <w:color w:val="000000" w:themeColor="text1"/>
        </w:rPr>
        <w:t xml:space="preserve">This is significant in that it shows that half of Pasco is underinsured against loss from fire.  </w:t>
      </w:r>
      <w:r w:rsidR="00FB71FF">
        <w:rPr>
          <w:rFonts w:ascii="Bookman Old Style" w:hAnsi="Bookman Old Style"/>
          <w:color w:val="000000" w:themeColor="text1"/>
        </w:rPr>
        <w:t xml:space="preserve">When a fire happens and the occupant is not insured against loss, they have to rely on community resources to keep them stable. </w:t>
      </w:r>
      <w:r w:rsidR="006F1948">
        <w:rPr>
          <w:rFonts w:ascii="Bookman Old Style" w:hAnsi="Bookman Old Style"/>
          <w:color w:val="000000" w:themeColor="text1"/>
        </w:rPr>
        <w:t xml:space="preserve">If the building is not covered for </w:t>
      </w:r>
      <w:r w:rsidR="00332D39">
        <w:rPr>
          <w:rFonts w:ascii="Bookman Old Style" w:hAnsi="Bookman Old Style"/>
          <w:color w:val="000000" w:themeColor="text1"/>
        </w:rPr>
        <w:t xml:space="preserve">the full </w:t>
      </w:r>
      <w:r w:rsidR="006F1948">
        <w:rPr>
          <w:rFonts w:ascii="Bookman Old Style" w:hAnsi="Bookman Old Style"/>
          <w:color w:val="000000" w:themeColor="text1"/>
        </w:rPr>
        <w:t>loss</w:t>
      </w:r>
      <w:r w:rsidR="00332D39">
        <w:rPr>
          <w:rFonts w:ascii="Bookman Old Style" w:hAnsi="Bookman Old Style"/>
          <w:color w:val="000000" w:themeColor="text1"/>
        </w:rPr>
        <w:t>,</w:t>
      </w:r>
      <w:r w:rsidR="006F1948">
        <w:rPr>
          <w:rFonts w:ascii="Bookman Old Style" w:hAnsi="Bookman Old Style"/>
          <w:color w:val="000000" w:themeColor="text1"/>
        </w:rPr>
        <w:t xml:space="preserve"> the building sits as an eyesore even longer. </w:t>
      </w:r>
      <w:r w:rsidR="00EA0BEF" w:rsidRPr="00B27664">
        <w:rPr>
          <w:rFonts w:ascii="Bookman Old Style" w:hAnsi="Bookman Old Style"/>
          <w:b/>
          <w:color w:val="000000" w:themeColor="text1"/>
        </w:rPr>
        <w:t>“</w:t>
      </w:r>
      <w:commentRangeStart w:id="8"/>
      <w:r w:rsidR="00332D39" w:rsidRPr="00B27664">
        <w:rPr>
          <w:rFonts w:ascii="Bookman Old Style" w:hAnsi="Bookman Old Style"/>
          <w:b/>
          <w:i/>
          <w:color w:val="000000" w:themeColor="text1"/>
        </w:rPr>
        <w:t>In Pasco, most buildings sit vacant for at least 18 months before repairs are made</w:t>
      </w:r>
      <w:r w:rsidR="00B27664">
        <w:rPr>
          <w:rFonts w:ascii="Bookman Old Style" w:hAnsi="Bookman Old Style"/>
          <w:b/>
          <w:i/>
          <w:color w:val="000000" w:themeColor="text1"/>
        </w:rPr>
        <w:t xml:space="preserve"> and </w:t>
      </w:r>
      <w:proofErr w:type="spellStart"/>
      <w:r w:rsidR="00B27664">
        <w:rPr>
          <w:rFonts w:ascii="Bookman Old Style" w:hAnsi="Bookman Old Style"/>
          <w:b/>
          <w:i/>
          <w:color w:val="000000" w:themeColor="text1"/>
        </w:rPr>
        <w:t>reinhabited</w:t>
      </w:r>
      <w:proofErr w:type="spellEnd"/>
      <w:r w:rsidR="00EA0BEF" w:rsidRPr="00B27664">
        <w:rPr>
          <w:rFonts w:ascii="Bookman Old Style" w:hAnsi="Bookman Old Style"/>
          <w:b/>
          <w:i/>
          <w:color w:val="000000" w:themeColor="text1"/>
        </w:rPr>
        <w:t>”</w:t>
      </w:r>
      <w:r w:rsidR="00332D39" w:rsidRPr="00B27664">
        <w:rPr>
          <w:rFonts w:ascii="Bookman Old Style" w:hAnsi="Bookman Old Style"/>
          <w:b/>
          <w:i/>
          <w:color w:val="000000" w:themeColor="text1"/>
        </w:rPr>
        <w:t xml:space="preserve">. </w:t>
      </w:r>
      <w:commentRangeEnd w:id="8"/>
      <w:r w:rsidR="00240E65" w:rsidRPr="00B27664">
        <w:rPr>
          <w:rStyle w:val="CommentReference"/>
          <w:b/>
          <w:i/>
        </w:rPr>
        <w:commentReference w:id="8"/>
      </w:r>
      <w:r w:rsidR="00EA0BEF" w:rsidRPr="00B27664">
        <w:rPr>
          <w:rFonts w:ascii="Bookman Old Style" w:hAnsi="Bookman Old Style"/>
          <w:i/>
          <w:color w:val="000000" w:themeColor="text1"/>
        </w:rPr>
        <w:t>Troy Hendren, City of Pasco Fire Marshall.</w:t>
      </w:r>
    </w:p>
    <w:p w:rsidR="00C14D77" w:rsidRDefault="00C14D77"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C14D77" w:rsidRDefault="00C14D77" w:rsidP="00AC3398">
      <w:pPr>
        <w:spacing w:line="240" w:lineRule="auto"/>
        <w:contextualSpacing/>
        <w:jc w:val="both"/>
        <w:rPr>
          <w:rFonts w:ascii="Bookman Old Style" w:hAnsi="Bookman Old Style"/>
          <w:color w:val="000000" w:themeColor="text1"/>
        </w:rPr>
      </w:pPr>
    </w:p>
    <w:p w:rsidR="00AC3398" w:rsidRPr="00AC3398" w:rsidRDefault="00AC3398" w:rsidP="00AC3398">
      <w:pPr>
        <w:spacing w:line="240" w:lineRule="auto"/>
        <w:contextualSpacing/>
        <w:jc w:val="both"/>
        <w:rPr>
          <w:rFonts w:ascii="Bookman Old Style" w:hAnsi="Bookman Old Style"/>
          <w:b/>
          <w:i/>
          <w:color w:val="000000" w:themeColor="text1"/>
        </w:rPr>
      </w:pPr>
      <w:r w:rsidRPr="00464D4F">
        <w:rPr>
          <w:rFonts w:ascii="Bookman Old Style" w:hAnsi="Bookman Old Style"/>
          <w:b/>
          <w:i/>
          <w:color w:val="000000" w:themeColor="text1"/>
        </w:rPr>
        <w:lastRenderedPageBreak/>
        <w:t>Medica</w:t>
      </w:r>
      <w:r>
        <w:rPr>
          <w:rFonts w:ascii="Bookman Old Style" w:hAnsi="Bookman Old Style"/>
          <w:b/>
          <w:i/>
          <w:color w:val="000000" w:themeColor="text1"/>
        </w:rPr>
        <w:t>l Services Statistical Analysis</w:t>
      </w:r>
    </w:p>
    <w:p w:rsidR="00AC3398" w:rsidRDefault="00AC3398" w:rsidP="00AC3398">
      <w:pPr>
        <w:spacing w:line="240" w:lineRule="auto"/>
        <w:contextualSpacing/>
        <w:jc w:val="both"/>
        <w:rPr>
          <w:rFonts w:ascii="Bookman Old Style" w:hAnsi="Bookman Old Style"/>
          <w:color w:val="000000" w:themeColor="text1"/>
        </w:rPr>
      </w:pPr>
    </w:p>
    <w:p w:rsidR="00AC3398" w:rsidRPr="00AC3398" w:rsidRDefault="00AC3398" w:rsidP="00AC3398">
      <w:pPr>
        <w:spacing w:line="240" w:lineRule="auto"/>
        <w:contextualSpacing/>
        <w:jc w:val="both"/>
        <w:rPr>
          <w:rFonts w:ascii="Bookman Old Style" w:hAnsi="Bookman Old Style"/>
          <w:color w:val="000000" w:themeColor="text1"/>
        </w:rPr>
      </w:pPr>
      <w:r w:rsidRPr="006119B5">
        <w:rPr>
          <w:rFonts w:ascii="Bookman Old Style" w:hAnsi="Bookman Old Style"/>
        </w:rPr>
        <w:t>EMS calls also fall into the high risk category primarily due to the increased frequency and thus the increased exposure risk</w:t>
      </w:r>
      <w:r w:rsidR="0099206B">
        <w:rPr>
          <w:rFonts w:ascii="Bookman Old Style" w:hAnsi="Bookman Old Style"/>
        </w:rPr>
        <w:t xml:space="preserve"> to crews and lower unit availability times</w:t>
      </w:r>
      <w:r w:rsidRPr="006119B5">
        <w:rPr>
          <w:rFonts w:ascii="Bookman Old Style" w:hAnsi="Bookman Old Style"/>
        </w:rPr>
        <w:t xml:space="preserve">.  </w:t>
      </w:r>
      <w:r>
        <w:rPr>
          <w:rFonts w:ascii="Bookman Old Style" w:hAnsi="Bookman Old Style"/>
          <w:color w:val="000000" w:themeColor="text1"/>
        </w:rPr>
        <w:t xml:space="preserve">The department percentage of EMS calls as compared to total call volume average 78.7% per year.   The Pasco Fire Department assisted 34830 patients during the sample time period.  </w:t>
      </w:r>
      <w:r w:rsidR="00430A02">
        <w:rPr>
          <w:rFonts w:ascii="Bookman Old Style" w:hAnsi="Bookman Old Style"/>
          <w:color w:val="000000" w:themeColor="text1"/>
        </w:rPr>
        <w:t xml:space="preserve">Individual </w:t>
      </w:r>
      <w:r w:rsidRPr="006119B5">
        <w:rPr>
          <w:rFonts w:ascii="Bookman Old Style" w:hAnsi="Bookman Old Style"/>
        </w:rPr>
        <w:t>EMS calls typically place a relatively low resou</w:t>
      </w:r>
      <w:r w:rsidR="00430A02">
        <w:rPr>
          <w:rFonts w:ascii="Bookman Old Style" w:hAnsi="Bookman Old Style"/>
        </w:rPr>
        <w:t>rce demand on the department as m</w:t>
      </w:r>
      <w:r w:rsidRPr="006119B5">
        <w:rPr>
          <w:rFonts w:ascii="Bookman Old Style" w:hAnsi="Bookman Old Style"/>
        </w:rPr>
        <w:t xml:space="preserve">ost EMS calls require the response of only one or two units.  As the incident complexity increases (due to patient disposition and manpower requirements) more units are dispatched to assist in patient care. </w:t>
      </w:r>
      <w:r w:rsidR="00430A02">
        <w:rPr>
          <w:rFonts w:ascii="Bookman Old Style" w:hAnsi="Bookman Old Style"/>
        </w:rPr>
        <w:t>With increasing call volumes, the “over-lapping” of calls (as described above) negatively impacts unit availabilities.</w:t>
      </w:r>
      <w:r w:rsidRPr="006119B5">
        <w:rPr>
          <w:rFonts w:ascii="Bookman Old Style" w:hAnsi="Bookman Old Style"/>
        </w:rPr>
        <w:t xml:space="preserve"> The risk of EMS calls is usually contained to the responding crews (injury and disease exposure) and can be minimized with proper training and equipment.  The greater risk to the community is the resource drawdowns that occu</w:t>
      </w:r>
      <w:r w:rsidR="00D11F08">
        <w:rPr>
          <w:rFonts w:ascii="Bookman Old Style" w:hAnsi="Bookman Old Style"/>
        </w:rPr>
        <w:t>r with increased service demand and unit availability.</w:t>
      </w:r>
    </w:p>
    <w:p w:rsidR="00AC3398" w:rsidRDefault="00AC3398" w:rsidP="00AC3398">
      <w:pPr>
        <w:spacing w:line="240" w:lineRule="auto"/>
        <w:contextualSpacing/>
        <w:jc w:val="both"/>
        <w:rPr>
          <w:rFonts w:ascii="Bookman Old Style" w:hAnsi="Bookman Old Style"/>
          <w:color w:val="000000" w:themeColor="text1"/>
        </w:rPr>
      </w:pPr>
      <w:r>
        <w:rPr>
          <w:rFonts w:ascii="Bookman Old Style" w:hAnsi="Bookman Old Style"/>
          <w:color w:val="000000" w:themeColor="text1"/>
        </w:rPr>
        <w:t xml:space="preserve">  </w:t>
      </w:r>
    </w:p>
    <w:p w:rsidR="00AC3398" w:rsidRDefault="00AC3398" w:rsidP="00AC3398">
      <w:pPr>
        <w:spacing w:line="240" w:lineRule="auto"/>
        <w:contextualSpacing/>
        <w:jc w:val="both"/>
        <w:rPr>
          <w:rFonts w:ascii="Bookman Old Style" w:hAnsi="Bookman Old Style"/>
          <w:color w:val="000000" w:themeColor="text1"/>
        </w:rPr>
      </w:pPr>
      <w:r>
        <w:rPr>
          <w:rFonts w:ascii="Bookman Old Style" w:hAnsi="Bookman Old Style"/>
          <w:color w:val="000000" w:themeColor="text1"/>
        </w:rPr>
        <w:t xml:space="preserve">Female patients represent </w:t>
      </w:r>
      <w:r w:rsidR="0099206B">
        <w:rPr>
          <w:rFonts w:ascii="Bookman Old Style" w:hAnsi="Bookman Old Style"/>
          <w:color w:val="000000" w:themeColor="text1"/>
        </w:rPr>
        <w:t xml:space="preserve">48% of the population demographics and yet represent </w:t>
      </w:r>
      <w:r>
        <w:rPr>
          <w:rFonts w:ascii="Bookman Old Style" w:hAnsi="Bookman Old Style"/>
          <w:color w:val="000000" w:themeColor="text1"/>
        </w:rPr>
        <w:t xml:space="preserve">52% of the total </w:t>
      </w:r>
      <w:r w:rsidR="00430A02">
        <w:rPr>
          <w:rFonts w:ascii="Bookman Old Style" w:hAnsi="Bookman Old Style"/>
          <w:color w:val="000000" w:themeColor="text1"/>
        </w:rPr>
        <w:t xml:space="preserve">EMS </w:t>
      </w:r>
      <w:r>
        <w:rPr>
          <w:rFonts w:ascii="Bookman Old Style" w:hAnsi="Bookman Old Style"/>
          <w:color w:val="000000" w:themeColor="text1"/>
        </w:rPr>
        <w:t>response demographics.  The average age by gender for EMS patients is indicated in the chart below.</w:t>
      </w:r>
    </w:p>
    <w:p w:rsidR="00AC3398" w:rsidRDefault="00AC3398" w:rsidP="00AC3398">
      <w:pPr>
        <w:spacing w:line="240" w:lineRule="auto"/>
        <w:contextualSpacing/>
        <w:jc w:val="both"/>
        <w:rPr>
          <w:rFonts w:ascii="Bookman Old Style" w:hAnsi="Bookman Old Style"/>
          <w:color w:val="000000" w:themeColor="text1"/>
        </w:rPr>
      </w:pPr>
    </w:p>
    <w:p w:rsidR="00AC3398" w:rsidRDefault="005D21C5" w:rsidP="00AC3398">
      <w:pPr>
        <w:spacing w:line="240" w:lineRule="auto"/>
        <w:contextualSpacing/>
        <w:jc w:val="center"/>
        <w:rPr>
          <w:rFonts w:ascii="Bookman Old Style" w:hAnsi="Bookman Old Style"/>
          <w:color w:val="000000" w:themeColor="text1"/>
        </w:rPr>
      </w:pPr>
      <w:r>
        <w:rPr>
          <w:rFonts w:ascii="Bookman Old Style" w:hAnsi="Bookman Old Style"/>
          <w:noProof/>
          <w:color w:val="000000" w:themeColor="text1"/>
        </w:rPr>
        <w:drawing>
          <wp:inline distT="0" distB="0" distL="0" distR="0">
            <wp:extent cx="4324350" cy="2610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A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4350" cy="2610640"/>
                    </a:xfrm>
                    <a:prstGeom prst="rect">
                      <a:avLst/>
                    </a:prstGeom>
                  </pic:spPr>
                </pic:pic>
              </a:graphicData>
            </a:graphic>
          </wp:inline>
        </w:drawing>
      </w:r>
    </w:p>
    <w:p w:rsidR="00AC3398" w:rsidRDefault="00AC3398" w:rsidP="00AC3398">
      <w:pPr>
        <w:spacing w:line="240" w:lineRule="auto"/>
        <w:contextualSpacing/>
        <w:jc w:val="both"/>
        <w:rPr>
          <w:rFonts w:ascii="Bookman Old Style" w:hAnsi="Bookman Old Style"/>
        </w:rPr>
      </w:pPr>
    </w:p>
    <w:p w:rsidR="006D0990" w:rsidRDefault="006D0990" w:rsidP="00AC3398">
      <w:pPr>
        <w:spacing w:line="240" w:lineRule="auto"/>
        <w:contextualSpacing/>
        <w:jc w:val="both"/>
        <w:rPr>
          <w:rFonts w:ascii="Bookman Old Style" w:hAnsi="Bookman Old Style"/>
        </w:rPr>
      </w:pPr>
    </w:p>
    <w:p w:rsidR="006D0990" w:rsidRPr="006119B5" w:rsidRDefault="006D0990" w:rsidP="00AC3398">
      <w:pPr>
        <w:spacing w:line="240" w:lineRule="auto"/>
        <w:contextualSpacing/>
        <w:jc w:val="both"/>
        <w:rPr>
          <w:rFonts w:ascii="Bookman Old Style" w:hAnsi="Bookman Old Style"/>
        </w:rPr>
      </w:pPr>
    </w:p>
    <w:p w:rsidR="006D0990" w:rsidRPr="006F1948" w:rsidRDefault="0099206B" w:rsidP="00AC3398">
      <w:pPr>
        <w:spacing w:line="240" w:lineRule="auto"/>
        <w:contextualSpacing/>
        <w:jc w:val="both"/>
        <w:rPr>
          <w:rFonts w:ascii="Bookman Old Style" w:hAnsi="Bookman Old Style"/>
          <w:color w:val="000000" w:themeColor="text1"/>
        </w:rPr>
      </w:pPr>
      <w:r>
        <w:rPr>
          <w:rFonts w:ascii="Bookman Old Style" w:hAnsi="Bookman Old Style"/>
          <w:color w:val="000000" w:themeColor="text1"/>
        </w:rPr>
        <w:t xml:space="preserve">The median age of the population in the City of Pasco is 28.6 years, and the average age of patients served by the Pasco Fire Department is 50.75 years of age. </w:t>
      </w:r>
    </w:p>
    <w:p w:rsidR="006D0990" w:rsidRPr="00605CC3" w:rsidRDefault="006D0990" w:rsidP="00AC3398">
      <w:pPr>
        <w:spacing w:line="240" w:lineRule="auto"/>
        <w:contextualSpacing/>
        <w:jc w:val="both"/>
        <w:rPr>
          <w:rFonts w:ascii="Bookman Old Style" w:hAnsi="Bookman Old Style"/>
          <w:color w:val="000000" w:themeColor="text1"/>
          <w:sz w:val="14"/>
        </w:rPr>
      </w:pPr>
    </w:p>
    <w:p w:rsidR="0099206B" w:rsidRDefault="00605CC3" w:rsidP="00AC3398">
      <w:pPr>
        <w:spacing w:line="240" w:lineRule="auto"/>
        <w:contextualSpacing/>
        <w:jc w:val="both"/>
        <w:rPr>
          <w:rFonts w:ascii="Bookman Old Style" w:hAnsi="Bookman Old Style"/>
          <w:color w:val="000000" w:themeColor="text1"/>
        </w:rPr>
      </w:pPr>
      <w:r>
        <w:rPr>
          <w:rFonts w:ascii="Bookman Old Style" w:hAnsi="Bookman Old Style"/>
          <w:color w:val="000000" w:themeColor="text1"/>
        </w:rPr>
        <w:t>In November of 2015, The FCS Group completed an ambulance services rate study.  The study considered response data from several years.  The following table considers response data from 2014</w:t>
      </w:r>
      <w:r w:rsidR="009741C1">
        <w:rPr>
          <w:rFonts w:ascii="Bookman Old Style" w:hAnsi="Bookman Old Style"/>
          <w:color w:val="000000" w:themeColor="text1"/>
        </w:rPr>
        <w:t xml:space="preserve"> only</w:t>
      </w:r>
      <w:r>
        <w:rPr>
          <w:rFonts w:ascii="Bookman Old Style" w:hAnsi="Bookman Old Style"/>
          <w:color w:val="000000" w:themeColor="text1"/>
        </w:rPr>
        <w:t>.</w:t>
      </w: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B27664" w:rsidRDefault="00B27664" w:rsidP="00AC3398">
      <w:pPr>
        <w:spacing w:line="240" w:lineRule="auto"/>
        <w:contextualSpacing/>
        <w:jc w:val="both"/>
        <w:rPr>
          <w:rFonts w:ascii="Bookman Old Style" w:hAnsi="Bookman Old Style"/>
          <w:color w:val="000000" w:themeColor="text1"/>
        </w:rPr>
      </w:pPr>
    </w:p>
    <w:p w:rsidR="008F2AF6" w:rsidRDefault="008F2AF6" w:rsidP="00AC3398">
      <w:pPr>
        <w:spacing w:line="240" w:lineRule="auto"/>
        <w:contextualSpacing/>
        <w:jc w:val="both"/>
        <w:rPr>
          <w:rFonts w:ascii="Bookman Old Style" w:hAnsi="Bookman Old Style"/>
          <w:color w:val="000000" w:themeColor="text1"/>
        </w:rPr>
      </w:pPr>
    </w:p>
    <w:p w:rsidR="00605CC3" w:rsidRDefault="00605CC3" w:rsidP="00AC3398">
      <w:pPr>
        <w:spacing w:line="240" w:lineRule="auto"/>
        <w:contextualSpacing/>
        <w:jc w:val="both"/>
        <w:rPr>
          <w:rFonts w:ascii="Bookman Old Style" w:hAnsi="Bookman Old Style"/>
          <w:color w:val="000000" w:themeColor="text1"/>
        </w:rPr>
      </w:pPr>
    </w:p>
    <w:tbl>
      <w:tblPr>
        <w:tblStyle w:val="TableGrid"/>
        <w:tblW w:w="0" w:type="auto"/>
        <w:jc w:val="center"/>
        <w:tblLook w:val="04A0" w:firstRow="1" w:lastRow="0" w:firstColumn="1" w:lastColumn="0" w:noHBand="0" w:noVBand="1"/>
      </w:tblPr>
      <w:tblGrid>
        <w:gridCol w:w="3285"/>
        <w:gridCol w:w="2133"/>
        <w:gridCol w:w="2340"/>
      </w:tblGrid>
      <w:tr w:rsidR="00605CC3" w:rsidTr="008F2AF6">
        <w:trPr>
          <w:trHeight w:val="305"/>
          <w:jc w:val="center"/>
        </w:trPr>
        <w:tc>
          <w:tcPr>
            <w:tcW w:w="3285" w:type="dxa"/>
            <w:shd w:val="clear" w:color="auto" w:fill="BFBFBF" w:themeFill="background1" w:themeFillShade="BF"/>
          </w:tcPr>
          <w:p w:rsidR="00605CC3" w:rsidRPr="008F2AF6" w:rsidRDefault="00605CC3" w:rsidP="00605CC3">
            <w:pPr>
              <w:contextualSpacing/>
              <w:jc w:val="center"/>
              <w:rPr>
                <w:rFonts w:ascii="Bookman Old Style" w:hAnsi="Bookman Old Style"/>
                <w:b/>
                <w:color w:val="000000" w:themeColor="text1"/>
                <w:highlight w:val="lightGray"/>
              </w:rPr>
            </w:pPr>
            <w:r w:rsidRPr="008F2AF6">
              <w:rPr>
                <w:rFonts w:ascii="Bookman Old Style" w:hAnsi="Bookman Old Style"/>
                <w:b/>
                <w:color w:val="000000" w:themeColor="text1"/>
                <w:highlight w:val="lightGray"/>
              </w:rPr>
              <w:t>Customer Class</w:t>
            </w:r>
          </w:p>
        </w:tc>
        <w:tc>
          <w:tcPr>
            <w:tcW w:w="2133" w:type="dxa"/>
            <w:shd w:val="clear" w:color="auto" w:fill="BFBFBF" w:themeFill="background1" w:themeFillShade="BF"/>
          </w:tcPr>
          <w:p w:rsidR="00605CC3" w:rsidRPr="008F2AF6" w:rsidRDefault="00605CC3" w:rsidP="00605CC3">
            <w:pPr>
              <w:contextualSpacing/>
              <w:jc w:val="center"/>
              <w:rPr>
                <w:rFonts w:ascii="Bookman Old Style" w:hAnsi="Bookman Old Style"/>
                <w:b/>
                <w:color w:val="000000" w:themeColor="text1"/>
                <w:highlight w:val="lightGray"/>
              </w:rPr>
            </w:pPr>
            <w:r w:rsidRPr="008F2AF6">
              <w:rPr>
                <w:rFonts w:ascii="Bookman Old Style" w:hAnsi="Bookman Old Style"/>
                <w:b/>
                <w:color w:val="000000" w:themeColor="text1"/>
                <w:highlight w:val="lightGray"/>
              </w:rPr>
              <w:t xml:space="preserve">Number of Calls </w:t>
            </w:r>
          </w:p>
        </w:tc>
        <w:tc>
          <w:tcPr>
            <w:tcW w:w="2340" w:type="dxa"/>
            <w:shd w:val="clear" w:color="auto" w:fill="BFBFBF" w:themeFill="background1" w:themeFillShade="BF"/>
          </w:tcPr>
          <w:p w:rsidR="00605CC3" w:rsidRPr="008F2AF6" w:rsidRDefault="00605CC3" w:rsidP="00605CC3">
            <w:pPr>
              <w:contextualSpacing/>
              <w:jc w:val="center"/>
              <w:rPr>
                <w:rFonts w:ascii="Bookman Old Style" w:hAnsi="Bookman Old Style"/>
                <w:b/>
                <w:color w:val="000000" w:themeColor="text1"/>
                <w:highlight w:val="lightGray"/>
              </w:rPr>
            </w:pPr>
            <w:r w:rsidRPr="008F2AF6">
              <w:rPr>
                <w:rFonts w:ascii="Bookman Old Style" w:hAnsi="Bookman Old Style"/>
                <w:b/>
                <w:color w:val="000000" w:themeColor="text1"/>
                <w:highlight w:val="lightGray"/>
              </w:rPr>
              <w:t>Percentage of Calls</w:t>
            </w:r>
          </w:p>
        </w:tc>
      </w:tr>
      <w:tr w:rsidR="00605CC3" w:rsidTr="008F2AF6">
        <w:trPr>
          <w:jc w:val="center"/>
        </w:trPr>
        <w:tc>
          <w:tcPr>
            <w:tcW w:w="3285" w:type="dxa"/>
            <w:vAlign w:val="bottom"/>
          </w:tcPr>
          <w:p w:rsidR="00605CC3" w:rsidRDefault="00605CC3" w:rsidP="008F2AF6">
            <w:pPr>
              <w:contextualSpacing/>
              <w:rPr>
                <w:rFonts w:ascii="Bookman Old Style" w:hAnsi="Bookman Old Style"/>
                <w:color w:val="000000" w:themeColor="text1"/>
              </w:rPr>
            </w:pPr>
            <w:r>
              <w:rPr>
                <w:rFonts w:ascii="Bookman Old Style" w:hAnsi="Bookman Old Style"/>
                <w:color w:val="000000" w:themeColor="text1"/>
              </w:rPr>
              <w:t>Single Family</w:t>
            </w:r>
          </w:p>
        </w:tc>
        <w:tc>
          <w:tcPr>
            <w:tcW w:w="2133" w:type="dxa"/>
          </w:tcPr>
          <w:p w:rsidR="00605CC3" w:rsidRDefault="00605CC3" w:rsidP="00605CC3">
            <w:pPr>
              <w:contextualSpacing/>
              <w:jc w:val="center"/>
              <w:rPr>
                <w:rFonts w:ascii="Bookman Old Style" w:hAnsi="Bookman Old Style"/>
                <w:color w:val="000000" w:themeColor="text1"/>
              </w:rPr>
            </w:pPr>
            <w:r>
              <w:rPr>
                <w:rFonts w:ascii="Bookman Old Style" w:hAnsi="Bookman Old Style"/>
                <w:color w:val="000000" w:themeColor="text1"/>
              </w:rPr>
              <w:t>1362</w:t>
            </w:r>
          </w:p>
        </w:tc>
        <w:tc>
          <w:tcPr>
            <w:tcW w:w="2340" w:type="dxa"/>
          </w:tcPr>
          <w:p w:rsidR="00605CC3" w:rsidRDefault="00605CC3" w:rsidP="00605CC3">
            <w:pPr>
              <w:contextualSpacing/>
              <w:jc w:val="center"/>
              <w:rPr>
                <w:rFonts w:ascii="Bookman Old Style" w:hAnsi="Bookman Old Style"/>
                <w:color w:val="000000" w:themeColor="text1"/>
              </w:rPr>
            </w:pPr>
            <w:r>
              <w:rPr>
                <w:rFonts w:ascii="Bookman Old Style" w:hAnsi="Bookman Old Style"/>
                <w:color w:val="000000" w:themeColor="text1"/>
              </w:rPr>
              <w:t>39%</w:t>
            </w:r>
          </w:p>
        </w:tc>
      </w:tr>
      <w:tr w:rsidR="00605CC3" w:rsidTr="008F2AF6">
        <w:trPr>
          <w:jc w:val="center"/>
        </w:trPr>
        <w:tc>
          <w:tcPr>
            <w:tcW w:w="3285" w:type="dxa"/>
            <w:vAlign w:val="bottom"/>
          </w:tcPr>
          <w:p w:rsidR="00605CC3" w:rsidRDefault="00605CC3" w:rsidP="008F2AF6">
            <w:pPr>
              <w:contextualSpacing/>
              <w:rPr>
                <w:rFonts w:ascii="Bookman Old Style" w:hAnsi="Bookman Old Style"/>
                <w:color w:val="000000" w:themeColor="text1"/>
              </w:rPr>
            </w:pPr>
            <w:r>
              <w:rPr>
                <w:rFonts w:ascii="Bookman Old Style" w:hAnsi="Bookman Old Style"/>
                <w:color w:val="000000" w:themeColor="text1"/>
              </w:rPr>
              <w:t>Multi-Family</w:t>
            </w:r>
          </w:p>
        </w:tc>
        <w:tc>
          <w:tcPr>
            <w:tcW w:w="2133" w:type="dxa"/>
          </w:tcPr>
          <w:p w:rsidR="00605CC3" w:rsidRDefault="00605CC3" w:rsidP="00605CC3">
            <w:pPr>
              <w:contextualSpacing/>
              <w:jc w:val="center"/>
              <w:rPr>
                <w:rFonts w:ascii="Bookman Old Style" w:hAnsi="Bookman Old Style"/>
                <w:color w:val="000000" w:themeColor="text1"/>
              </w:rPr>
            </w:pPr>
            <w:r>
              <w:rPr>
                <w:rFonts w:ascii="Bookman Old Style" w:hAnsi="Bookman Old Style"/>
                <w:color w:val="000000" w:themeColor="text1"/>
              </w:rPr>
              <w:t>815</w:t>
            </w:r>
          </w:p>
        </w:tc>
        <w:tc>
          <w:tcPr>
            <w:tcW w:w="2340"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24%</w:t>
            </w:r>
          </w:p>
        </w:tc>
      </w:tr>
      <w:tr w:rsidR="00605CC3" w:rsidTr="008F2AF6">
        <w:trPr>
          <w:jc w:val="center"/>
        </w:trPr>
        <w:tc>
          <w:tcPr>
            <w:tcW w:w="3285" w:type="dxa"/>
            <w:vAlign w:val="bottom"/>
          </w:tcPr>
          <w:p w:rsidR="00605CC3" w:rsidRDefault="008F2AF6" w:rsidP="008F2AF6">
            <w:pPr>
              <w:contextualSpacing/>
              <w:rPr>
                <w:rFonts w:ascii="Bookman Old Style" w:hAnsi="Bookman Old Style"/>
                <w:color w:val="000000" w:themeColor="text1"/>
              </w:rPr>
            </w:pPr>
            <w:r>
              <w:rPr>
                <w:rFonts w:ascii="Bookman Old Style" w:hAnsi="Bookman Old Style"/>
                <w:color w:val="000000" w:themeColor="text1"/>
              </w:rPr>
              <w:t>Commercial/Business</w:t>
            </w:r>
          </w:p>
        </w:tc>
        <w:tc>
          <w:tcPr>
            <w:tcW w:w="2133"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577</w:t>
            </w:r>
          </w:p>
        </w:tc>
        <w:tc>
          <w:tcPr>
            <w:tcW w:w="2340"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17%</w:t>
            </w:r>
          </w:p>
        </w:tc>
      </w:tr>
      <w:tr w:rsidR="00605CC3" w:rsidTr="008F2AF6">
        <w:trPr>
          <w:jc w:val="center"/>
        </w:trPr>
        <w:tc>
          <w:tcPr>
            <w:tcW w:w="3285" w:type="dxa"/>
            <w:vAlign w:val="bottom"/>
          </w:tcPr>
          <w:p w:rsidR="00605CC3" w:rsidRDefault="008F2AF6" w:rsidP="008F2AF6">
            <w:pPr>
              <w:contextualSpacing/>
              <w:rPr>
                <w:rFonts w:ascii="Bookman Old Style" w:hAnsi="Bookman Old Style"/>
                <w:color w:val="000000" w:themeColor="text1"/>
              </w:rPr>
            </w:pPr>
            <w:r>
              <w:rPr>
                <w:rFonts w:ascii="Bookman Old Style" w:hAnsi="Bookman Old Style"/>
                <w:color w:val="000000" w:themeColor="text1"/>
              </w:rPr>
              <w:t>Nursing Homes</w:t>
            </w:r>
          </w:p>
        </w:tc>
        <w:tc>
          <w:tcPr>
            <w:tcW w:w="2133"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109</w:t>
            </w:r>
          </w:p>
        </w:tc>
        <w:tc>
          <w:tcPr>
            <w:tcW w:w="2340"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3%</w:t>
            </w:r>
          </w:p>
        </w:tc>
      </w:tr>
      <w:tr w:rsidR="00605CC3" w:rsidTr="008F2AF6">
        <w:trPr>
          <w:jc w:val="center"/>
        </w:trPr>
        <w:tc>
          <w:tcPr>
            <w:tcW w:w="3285" w:type="dxa"/>
            <w:vAlign w:val="bottom"/>
          </w:tcPr>
          <w:p w:rsidR="00605CC3" w:rsidRDefault="008F2AF6" w:rsidP="008F2AF6">
            <w:pPr>
              <w:contextualSpacing/>
              <w:rPr>
                <w:rFonts w:ascii="Bookman Old Style" w:hAnsi="Bookman Old Style"/>
                <w:color w:val="000000" w:themeColor="text1"/>
              </w:rPr>
            </w:pPr>
            <w:r>
              <w:rPr>
                <w:rFonts w:ascii="Bookman Old Style" w:hAnsi="Bookman Old Style"/>
                <w:color w:val="000000" w:themeColor="text1"/>
              </w:rPr>
              <w:t>Public</w:t>
            </w:r>
          </w:p>
        </w:tc>
        <w:tc>
          <w:tcPr>
            <w:tcW w:w="2133"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541</w:t>
            </w:r>
          </w:p>
        </w:tc>
        <w:tc>
          <w:tcPr>
            <w:tcW w:w="2340"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16%</w:t>
            </w:r>
          </w:p>
        </w:tc>
      </w:tr>
      <w:tr w:rsidR="00605CC3" w:rsidTr="008F2AF6">
        <w:trPr>
          <w:jc w:val="center"/>
        </w:trPr>
        <w:tc>
          <w:tcPr>
            <w:tcW w:w="3285" w:type="dxa"/>
            <w:vAlign w:val="bottom"/>
          </w:tcPr>
          <w:p w:rsidR="00605CC3" w:rsidRDefault="008F2AF6" w:rsidP="008F2AF6">
            <w:pPr>
              <w:contextualSpacing/>
              <w:rPr>
                <w:rFonts w:ascii="Bookman Old Style" w:hAnsi="Bookman Old Style"/>
                <w:color w:val="000000" w:themeColor="text1"/>
              </w:rPr>
            </w:pPr>
            <w:r>
              <w:rPr>
                <w:rFonts w:ascii="Bookman Old Style" w:hAnsi="Bookman Old Style"/>
                <w:color w:val="000000" w:themeColor="text1"/>
              </w:rPr>
              <w:t>Miscellaneous</w:t>
            </w:r>
          </w:p>
        </w:tc>
        <w:tc>
          <w:tcPr>
            <w:tcW w:w="2133"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61</w:t>
            </w:r>
          </w:p>
        </w:tc>
        <w:tc>
          <w:tcPr>
            <w:tcW w:w="2340" w:type="dxa"/>
          </w:tcPr>
          <w:p w:rsidR="00605CC3" w:rsidRDefault="008F2AF6" w:rsidP="00605CC3">
            <w:pPr>
              <w:contextualSpacing/>
              <w:jc w:val="center"/>
              <w:rPr>
                <w:rFonts w:ascii="Bookman Old Style" w:hAnsi="Bookman Old Style"/>
                <w:color w:val="000000" w:themeColor="text1"/>
              </w:rPr>
            </w:pPr>
            <w:r>
              <w:rPr>
                <w:rFonts w:ascii="Bookman Old Style" w:hAnsi="Bookman Old Style"/>
                <w:color w:val="000000" w:themeColor="text1"/>
              </w:rPr>
              <w:t>2%</w:t>
            </w:r>
          </w:p>
        </w:tc>
      </w:tr>
    </w:tbl>
    <w:p w:rsidR="008F2AF6" w:rsidRDefault="008F2AF6" w:rsidP="008F2AF6">
      <w:pPr>
        <w:spacing w:line="240" w:lineRule="auto"/>
        <w:contextualSpacing/>
        <w:rPr>
          <w:rFonts w:ascii="Bookman Old Style" w:hAnsi="Bookman Old Style"/>
          <w:color w:val="000000" w:themeColor="text1"/>
        </w:rPr>
      </w:pPr>
    </w:p>
    <w:p w:rsidR="008F2AF6" w:rsidRDefault="008F2AF6" w:rsidP="008F2AF6">
      <w:pPr>
        <w:spacing w:line="240" w:lineRule="auto"/>
        <w:contextualSpacing/>
        <w:rPr>
          <w:rFonts w:ascii="Bookman Old Style" w:hAnsi="Bookman Old Style"/>
          <w:color w:val="000000" w:themeColor="text1"/>
        </w:rPr>
      </w:pPr>
      <w:r>
        <w:rPr>
          <w:rFonts w:ascii="Bookman Old Style" w:hAnsi="Bookman Old Style"/>
          <w:color w:val="000000" w:themeColor="text1"/>
        </w:rPr>
        <w:t xml:space="preserve">Given the current and projected population growth rate of the City of Pasco, The FCS Group estimates that the demand for EMS services will increase at a rate of 2% per year for the foreseeable future.  This would equate to an </w:t>
      </w:r>
      <w:r w:rsidR="009741C1">
        <w:rPr>
          <w:rFonts w:ascii="Bookman Old Style" w:hAnsi="Bookman Old Style"/>
          <w:color w:val="000000" w:themeColor="text1"/>
        </w:rPr>
        <w:t xml:space="preserve">annual </w:t>
      </w:r>
      <w:r>
        <w:rPr>
          <w:rFonts w:ascii="Bookman Old Style" w:hAnsi="Bookman Old Style"/>
          <w:color w:val="000000" w:themeColor="text1"/>
        </w:rPr>
        <w:t>increase of 80-100 addit</w:t>
      </w:r>
      <w:r w:rsidR="009741C1">
        <w:rPr>
          <w:rFonts w:ascii="Bookman Old Style" w:hAnsi="Bookman Old Style"/>
          <w:color w:val="000000" w:themeColor="text1"/>
        </w:rPr>
        <w:t>ional calls for service</w:t>
      </w:r>
      <w:r>
        <w:rPr>
          <w:rFonts w:ascii="Bookman Old Style" w:hAnsi="Bookman Old Style"/>
          <w:color w:val="000000" w:themeColor="text1"/>
        </w:rPr>
        <w:t>.</w:t>
      </w:r>
    </w:p>
    <w:p w:rsidR="009741C1" w:rsidRDefault="009741C1" w:rsidP="008F2AF6">
      <w:pPr>
        <w:spacing w:line="240" w:lineRule="auto"/>
        <w:contextualSpacing/>
        <w:rPr>
          <w:rFonts w:ascii="Bookman Old Style" w:hAnsi="Bookman Old Style"/>
          <w:color w:val="000000" w:themeColor="text1"/>
        </w:rPr>
      </w:pPr>
    </w:p>
    <w:p w:rsidR="008F2AF6" w:rsidRDefault="009741C1" w:rsidP="008F2AF6">
      <w:pPr>
        <w:spacing w:line="240" w:lineRule="auto"/>
        <w:contextualSpacing/>
        <w:rPr>
          <w:rFonts w:ascii="Bookman Old Style" w:hAnsi="Bookman Old Style"/>
          <w:color w:val="000000" w:themeColor="text1"/>
        </w:rPr>
      </w:pPr>
      <w:r>
        <w:rPr>
          <w:rFonts w:ascii="Bookman Old Style" w:hAnsi="Bookman Old Style"/>
          <w:color w:val="000000" w:themeColor="text1"/>
        </w:rPr>
        <w:t xml:space="preserve">As noted in the fire problem analysis, EMS calls to multi-family residents represent a statistically significant issue in that the call volume per </w:t>
      </w:r>
      <w:r w:rsidR="00430A02">
        <w:rPr>
          <w:rFonts w:ascii="Bookman Old Style" w:hAnsi="Bookman Old Style"/>
          <w:color w:val="000000" w:themeColor="text1"/>
        </w:rPr>
        <w:t xml:space="preserve">multi-family </w:t>
      </w:r>
      <w:r>
        <w:rPr>
          <w:rFonts w:ascii="Bookman Old Style" w:hAnsi="Bookman Old Style"/>
          <w:color w:val="000000" w:themeColor="text1"/>
        </w:rPr>
        <w:t xml:space="preserve">occupancy tends to be higher than that of the single family resident. </w:t>
      </w:r>
    </w:p>
    <w:p w:rsidR="008F2AF6" w:rsidRDefault="008F2AF6" w:rsidP="00605CC3">
      <w:pPr>
        <w:spacing w:line="240" w:lineRule="auto"/>
        <w:contextualSpacing/>
        <w:jc w:val="center"/>
        <w:rPr>
          <w:rFonts w:ascii="Bookman Old Style" w:hAnsi="Bookman Old Style"/>
          <w:color w:val="000000" w:themeColor="text1"/>
        </w:rPr>
      </w:pPr>
    </w:p>
    <w:p w:rsidR="00EA0BEF" w:rsidRDefault="000C540F" w:rsidP="00EA0BEF">
      <w:pPr>
        <w:spacing w:line="240" w:lineRule="auto"/>
        <w:contextualSpacing/>
        <w:jc w:val="both"/>
        <w:rPr>
          <w:rFonts w:ascii="Bookman Old Style" w:hAnsi="Bookman Old Style"/>
          <w:color w:val="000000" w:themeColor="text1"/>
        </w:rPr>
      </w:pPr>
      <w:r>
        <w:rPr>
          <w:rFonts w:ascii="Bookman Old Style" w:hAnsi="Bookman Old Style"/>
          <w:color w:val="000000" w:themeColor="text1"/>
        </w:rPr>
        <w:t xml:space="preserve">The table below indicates the </w:t>
      </w:r>
      <w:r w:rsidR="00D50B58">
        <w:rPr>
          <w:rFonts w:ascii="Bookman Old Style" w:hAnsi="Bookman Old Style"/>
          <w:color w:val="000000" w:themeColor="text1"/>
        </w:rPr>
        <w:t>primary patient complaints to the dispatch center.</w:t>
      </w:r>
    </w:p>
    <w:p w:rsidR="00D50B58" w:rsidRDefault="00EA0BEF" w:rsidP="00E07F76">
      <w:pPr>
        <w:spacing w:line="240" w:lineRule="auto"/>
        <w:contextualSpacing/>
        <w:rPr>
          <w:rFonts w:ascii="Bookman Old Style" w:hAnsi="Bookman Old Style"/>
          <w:color w:val="000000" w:themeColor="text1"/>
        </w:rPr>
      </w:pPr>
      <w:r w:rsidRPr="00D50B58">
        <w:rPr>
          <w:noProof/>
        </w:rPr>
        <w:drawing>
          <wp:anchor distT="0" distB="0" distL="114300" distR="114300" simplePos="0" relativeHeight="251658752" behindDoc="0" locked="0" layoutInCell="1" allowOverlap="1" wp14:anchorId="073CD8CA" wp14:editId="445578F3">
            <wp:simplePos x="0" y="0"/>
            <wp:positionH relativeFrom="column">
              <wp:posOffset>1943100</wp:posOffset>
            </wp:positionH>
            <wp:positionV relativeFrom="paragraph">
              <wp:posOffset>71120</wp:posOffset>
            </wp:positionV>
            <wp:extent cx="2362200" cy="53054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5305425"/>
                    </a:xfrm>
                    <a:prstGeom prst="rect">
                      <a:avLst/>
                    </a:prstGeom>
                    <a:noFill/>
                    <a:ln>
                      <a:noFill/>
                    </a:ln>
                  </pic:spPr>
                </pic:pic>
              </a:graphicData>
            </a:graphic>
          </wp:anchor>
        </w:drawing>
      </w:r>
      <w:r w:rsidR="00E07F76">
        <w:rPr>
          <w:rFonts w:ascii="Bookman Old Style" w:hAnsi="Bookman Old Style"/>
          <w:color w:val="000000" w:themeColor="text1"/>
        </w:rPr>
        <w:br w:type="textWrapping" w:clear="all"/>
      </w:r>
    </w:p>
    <w:p w:rsidR="00666D6A" w:rsidRDefault="00666D6A" w:rsidP="00D50B58">
      <w:pPr>
        <w:spacing w:line="240" w:lineRule="auto"/>
        <w:contextualSpacing/>
        <w:jc w:val="center"/>
        <w:rPr>
          <w:rFonts w:ascii="Bookman Old Style" w:hAnsi="Bookman Old Style"/>
          <w:color w:val="000000" w:themeColor="text1"/>
        </w:rPr>
      </w:pPr>
    </w:p>
    <w:p w:rsidR="00666D6A" w:rsidRDefault="00666D6A" w:rsidP="00D50B58">
      <w:pPr>
        <w:spacing w:line="240" w:lineRule="auto"/>
        <w:contextualSpacing/>
        <w:jc w:val="center"/>
        <w:rPr>
          <w:rFonts w:ascii="Bookman Old Style" w:hAnsi="Bookman Old Style"/>
          <w:color w:val="000000" w:themeColor="text1"/>
        </w:rPr>
      </w:pPr>
    </w:p>
    <w:p w:rsidR="00DF0515" w:rsidRDefault="00DF0515" w:rsidP="00666D6A">
      <w:pPr>
        <w:spacing w:line="240" w:lineRule="auto"/>
        <w:contextualSpacing/>
        <w:rPr>
          <w:rFonts w:ascii="Bookman Old Style" w:hAnsi="Bookman Old Style"/>
          <w:color w:val="000000" w:themeColor="text1"/>
        </w:rPr>
      </w:pPr>
      <w:r>
        <w:rPr>
          <w:rFonts w:ascii="Bookman Old Style" w:hAnsi="Bookman Old Style"/>
          <w:color w:val="000000" w:themeColor="text1"/>
        </w:rPr>
        <w:t xml:space="preserve">Review of the EMS </w:t>
      </w:r>
      <w:r w:rsidR="000A3B9A">
        <w:rPr>
          <w:rFonts w:ascii="Bookman Old Style" w:hAnsi="Bookman Old Style"/>
          <w:color w:val="000000" w:themeColor="text1"/>
        </w:rPr>
        <w:t>responder’s</w:t>
      </w:r>
      <w:r>
        <w:rPr>
          <w:rFonts w:ascii="Bookman Old Style" w:hAnsi="Bookman Old Style"/>
          <w:color w:val="000000" w:themeColor="text1"/>
        </w:rPr>
        <w:t xml:space="preserve"> impression of patient chief complaints indicate that 70.51% of all transported patients fall into one of six categories; traumatic injury, abdominal pain/problem, chest pain/discomfort, altered level of consciousness, respiratory distress, and seizure disorder.  The chart below indicates the </w:t>
      </w:r>
      <w:r w:rsidR="00D11F08">
        <w:rPr>
          <w:rFonts w:ascii="Bookman Old Style" w:hAnsi="Bookman Old Style"/>
          <w:color w:val="000000" w:themeColor="text1"/>
        </w:rPr>
        <w:t>responder’s</w:t>
      </w:r>
      <w:r>
        <w:rPr>
          <w:rFonts w:ascii="Bookman Old Style" w:hAnsi="Bookman Old Style"/>
          <w:color w:val="000000" w:themeColor="text1"/>
        </w:rPr>
        <w:t xml:space="preserve"> impression.</w:t>
      </w:r>
    </w:p>
    <w:p w:rsidR="00DF0515" w:rsidRDefault="00DF0515" w:rsidP="00DF0515">
      <w:pPr>
        <w:spacing w:line="240" w:lineRule="auto"/>
        <w:contextualSpacing/>
        <w:jc w:val="center"/>
        <w:rPr>
          <w:rFonts w:ascii="Bookman Old Style" w:hAnsi="Bookman Old Style"/>
          <w:color w:val="000000" w:themeColor="text1"/>
        </w:rPr>
      </w:pPr>
    </w:p>
    <w:p w:rsidR="00DF0515" w:rsidRDefault="00DF0515" w:rsidP="00DF0515">
      <w:pPr>
        <w:spacing w:line="240" w:lineRule="auto"/>
        <w:contextualSpacing/>
        <w:jc w:val="center"/>
        <w:rPr>
          <w:rFonts w:ascii="Bookman Old Style" w:hAnsi="Bookman Old Style"/>
          <w:color w:val="000000" w:themeColor="text1"/>
        </w:rPr>
      </w:pPr>
      <w:r>
        <w:rPr>
          <w:rFonts w:ascii="Bookman Old Style" w:hAnsi="Bookman Old Style"/>
          <w:noProof/>
          <w:color w:val="000000" w:themeColor="text1"/>
        </w:rPr>
        <w:drawing>
          <wp:inline distT="0" distB="0" distL="0" distR="0" wp14:anchorId="41377636" wp14:editId="07BEBA1B">
            <wp:extent cx="3849550" cy="2299731"/>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664" t="1730" r="2242" b="2769"/>
                    <a:stretch/>
                  </pic:blipFill>
                  <pic:spPr bwMode="auto">
                    <a:xfrm>
                      <a:off x="0" y="0"/>
                      <a:ext cx="3861766" cy="2307029"/>
                    </a:xfrm>
                    <a:prstGeom prst="rect">
                      <a:avLst/>
                    </a:prstGeom>
                    <a:noFill/>
                    <a:ln>
                      <a:noFill/>
                    </a:ln>
                    <a:extLst>
                      <a:ext uri="{53640926-AAD7-44D8-BBD7-CCE9431645EC}">
                        <a14:shadowObscured xmlns:a14="http://schemas.microsoft.com/office/drawing/2010/main"/>
                      </a:ext>
                    </a:extLst>
                  </pic:spPr>
                </pic:pic>
              </a:graphicData>
            </a:graphic>
          </wp:inline>
        </w:drawing>
      </w:r>
    </w:p>
    <w:p w:rsidR="00605CC3" w:rsidRPr="00605CC3" w:rsidRDefault="00605CC3" w:rsidP="00605CC3">
      <w:pPr>
        <w:widowControl w:val="0"/>
        <w:spacing w:after="0" w:line="240" w:lineRule="auto"/>
        <w:ind w:right="159"/>
        <w:rPr>
          <w:rFonts w:ascii="Bookman Old Style" w:eastAsia="Times New Roman" w:hAnsi="Bookman Old Style" w:cs="Times New Roman"/>
        </w:rPr>
      </w:pPr>
      <w:r w:rsidRPr="00605CC3">
        <w:rPr>
          <w:rFonts w:ascii="Bookman Old Style" w:eastAsia="Times New Roman" w:hAnsi="Bookman Old Style" w:cs="Times New Roman"/>
          <w:spacing w:val="4"/>
        </w:rPr>
        <w:t>T</w:t>
      </w:r>
      <w:r w:rsidRPr="00605CC3">
        <w:rPr>
          <w:rFonts w:ascii="Bookman Old Style" w:eastAsia="Times New Roman" w:hAnsi="Bookman Old Style" w:cs="Times New Roman"/>
          <w:spacing w:val="5"/>
        </w:rPr>
        <w:t>h</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5"/>
        </w:rPr>
        <w:t xml:space="preserve"> a</w:t>
      </w:r>
      <w:r w:rsidRPr="00605CC3">
        <w:rPr>
          <w:rFonts w:ascii="Bookman Old Style" w:eastAsia="Times New Roman" w:hAnsi="Bookman Old Style" w:cs="Times New Roman"/>
          <w:spacing w:val="2"/>
        </w:rPr>
        <w:t>v</w:t>
      </w:r>
      <w:r w:rsidRPr="00605CC3">
        <w:rPr>
          <w:rFonts w:ascii="Bookman Old Style" w:eastAsia="Times New Roman" w:hAnsi="Bookman Old Style" w:cs="Times New Roman"/>
          <w:spacing w:val="5"/>
        </w:rPr>
        <w:t>e</w:t>
      </w:r>
      <w:r w:rsidRPr="00605CC3">
        <w:rPr>
          <w:rFonts w:ascii="Bookman Old Style" w:eastAsia="Times New Roman" w:hAnsi="Bookman Old Style" w:cs="Times New Roman"/>
          <w:spacing w:val="3"/>
        </w:rPr>
        <w:t>r</w:t>
      </w:r>
      <w:r w:rsidRPr="00605CC3">
        <w:rPr>
          <w:rFonts w:ascii="Bookman Old Style" w:eastAsia="Times New Roman" w:hAnsi="Bookman Old Style" w:cs="Times New Roman"/>
          <w:spacing w:val="5"/>
        </w:rPr>
        <w:t>a</w:t>
      </w:r>
      <w:r w:rsidRPr="00605CC3">
        <w:rPr>
          <w:rFonts w:ascii="Bookman Old Style" w:eastAsia="Times New Roman" w:hAnsi="Bookman Old Style" w:cs="Times New Roman"/>
          <w:spacing w:val="2"/>
        </w:rPr>
        <w:t>g</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c</w:t>
      </w:r>
      <w:r w:rsidRPr="00605CC3">
        <w:rPr>
          <w:rFonts w:ascii="Bookman Old Style" w:eastAsia="Times New Roman" w:hAnsi="Bookman Old Style" w:cs="Times New Roman"/>
          <w:spacing w:val="5"/>
        </w:rPr>
        <w:t>o</w:t>
      </w:r>
      <w:r w:rsidRPr="00605CC3">
        <w:rPr>
          <w:rFonts w:ascii="Bookman Old Style" w:eastAsia="Times New Roman" w:hAnsi="Bookman Old Style" w:cs="Times New Roman"/>
          <w:spacing w:val="3"/>
        </w:rPr>
        <w:t>s</w:t>
      </w:r>
      <w:r w:rsidRPr="00605CC3">
        <w:rPr>
          <w:rFonts w:ascii="Bookman Old Style" w:eastAsia="Times New Roman" w:hAnsi="Bookman Old Style" w:cs="Times New Roman"/>
        </w:rPr>
        <w:t>t</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2"/>
        </w:rPr>
        <w:t>p</w:t>
      </w:r>
      <w:r w:rsidRPr="00605CC3">
        <w:rPr>
          <w:rFonts w:ascii="Bookman Old Style" w:eastAsia="Times New Roman" w:hAnsi="Bookman Old Style" w:cs="Times New Roman"/>
          <w:spacing w:val="3"/>
        </w:rPr>
        <w:t>e</w:t>
      </w:r>
      <w:r w:rsidRPr="00605CC3">
        <w:rPr>
          <w:rFonts w:ascii="Bookman Old Style" w:eastAsia="Times New Roman" w:hAnsi="Bookman Old Style" w:cs="Times New Roman"/>
        </w:rPr>
        <w:t>r</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6"/>
        </w:rPr>
        <w:t>i</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spacing w:val="3"/>
        </w:rPr>
        <w:t>c</w:t>
      </w:r>
      <w:r w:rsidRPr="00605CC3">
        <w:rPr>
          <w:rFonts w:ascii="Bookman Old Style" w:eastAsia="Times New Roman" w:hAnsi="Bookman Old Style" w:cs="Times New Roman"/>
          <w:spacing w:val="6"/>
        </w:rPr>
        <w:t>i</w:t>
      </w:r>
      <w:r w:rsidRPr="00605CC3">
        <w:rPr>
          <w:rFonts w:ascii="Bookman Old Style" w:eastAsia="Times New Roman" w:hAnsi="Bookman Old Style" w:cs="Times New Roman"/>
          <w:spacing w:val="2"/>
        </w:rPr>
        <w:t>d</w:t>
      </w:r>
      <w:r w:rsidRPr="00605CC3">
        <w:rPr>
          <w:rFonts w:ascii="Bookman Old Style" w:eastAsia="Times New Roman" w:hAnsi="Bookman Old Style" w:cs="Times New Roman"/>
          <w:spacing w:val="5"/>
        </w:rPr>
        <w:t>e</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rPr>
        <w:t>t</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3"/>
        </w:rPr>
        <w:t>f</w:t>
      </w:r>
      <w:r w:rsidRPr="00605CC3">
        <w:rPr>
          <w:rFonts w:ascii="Bookman Old Style" w:eastAsia="Times New Roman" w:hAnsi="Bookman Old Style" w:cs="Times New Roman"/>
          <w:spacing w:val="2"/>
        </w:rPr>
        <w:t>o</w:t>
      </w:r>
      <w:r w:rsidRPr="00605CC3">
        <w:rPr>
          <w:rFonts w:ascii="Bookman Old Style" w:eastAsia="Times New Roman" w:hAnsi="Bookman Old Style" w:cs="Times New Roman"/>
        </w:rPr>
        <w:t>r</w:t>
      </w:r>
      <w:r w:rsidRPr="00605CC3">
        <w:rPr>
          <w:rFonts w:ascii="Bookman Old Style" w:eastAsia="Times New Roman" w:hAnsi="Bookman Old Style" w:cs="Times New Roman"/>
          <w:spacing w:val="10"/>
        </w:rPr>
        <w:t xml:space="preserve"> </w:t>
      </w:r>
      <w:r w:rsidRPr="00605CC3">
        <w:rPr>
          <w:rFonts w:ascii="Bookman Old Style" w:eastAsia="Times New Roman" w:hAnsi="Bookman Old Style" w:cs="Times New Roman"/>
          <w:spacing w:val="1"/>
        </w:rPr>
        <w:t>I</w:t>
      </w:r>
      <w:r w:rsidRPr="00605CC3">
        <w:rPr>
          <w:rFonts w:ascii="Bookman Old Style" w:eastAsia="Times New Roman" w:hAnsi="Bookman Old Style" w:cs="Times New Roman"/>
        </w:rPr>
        <w:t>n</w:t>
      </w:r>
      <w:r w:rsidRPr="00605CC3">
        <w:rPr>
          <w:rFonts w:ascii="Bookman Old Style" w:eastAsia="Times New Roman" w:hAnsi="Bookman Old Style" w:cs="Times New Roman"/>
          <w:spacing w:val="9"/>
        </w:rPr>
        <w:t xml:space="preserve"> </w:t>
      </w:r>
      <w:r w:rsidRPr="00605CC3">
        <w:rPr>
          <w:rFonts w:ascii="Bookman Old Style" w:eastAsia="Times New Roman" w:hAnsi="Bookman Old Style" w:cs="Times New Roman"/>
          <w:spacing w:val="1"/>
        </w:rPr>
        <w:t>C</w:t>
      </w:r>
      <w:r w:rsidRPr="00605CC3">
        <w:rPr>
          <w:rFonts w:ascii="Bookman Old Style" w:eastAsia="Times New Roman" w:hAnsi="Bookman Old Style" w:cs="Times New Roman"/>
          <w:spacing w:val="3"/>
        </w:rPr>
        <w:t>i</w:t>
      </w:r>
      <w:r w:rsidRPr="00605CC3">
        <w:rPr>
          <w:rFonts w:ascii="Bookman Old Style" w:eastAsia="Times New Roman" w:hAnsi="Bookman Old Style" w:cs="Times New Roman"/>
          <w:spacing w:val="6"/>
        </w:rPr>
        <w:t>t</w:t>
      </w:r>
      <w:r w:rsidRPr="00605CC3">
        <w:rPr>
          <w:rFonts w:ascii="Bookman Old Style" w:eastAsia="Times New Roman" w:hAnsi="Bookman Old Style" w:cs="Times New Roman"/>
        </w:rPr>
        <w:t>y</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i</w:t>
      </w:r>
      <w:r w:rsidRPr="00605CC3">
        <w:rPr>
          <w:rFonts w:ascii="Bookman Old Style" w:eastAsia="Times New Roman" w:hAnsi="Bookman Old Style" w:cs="Times New Roman"/>
          <w:spacing w:val="5"/>
        </w:rPr>
        <w:t>n</w:t>
      </w:r>
      <w:r w:rsidRPr="00605CC3">
        <w:rPr>
          <w:rFonts w:ascii="Bookman Old Style" w:eastAsia="Times New Roman" w:hAnsi="Bookman Old Style" w:cs="Times New Roman"/>
          <w:spacing w:val="3"/>
        </w:rPr>
        <w:t>ci</w:t>
      </w:r>
      <w:r w:rsidRPr="00605CC3">
        <w:rPr>
          <w:rFonts w:ascii="Bookman Old Style" w:eastAsia="Times New Roman" w:hAnsi="Bookman Old Style" w:cs="Times New Roman"/>
          <w:spacing w:val="5"/>
        </w:rPr>
        <w:t>d</w:t>
      </w:r>
      <w:r w:rsidRPr="00605CC3">
        <w:rPr>
          <w:rFonts w:ascii="Bookman Old Style" w:eastAsia="Times New Roman" w:hAnsi="Bookman Old Style" w:cs="Times New Roman"/>
          <w:spacing w:val="3"/>
        </w:rPr>
        <w:t>e</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spacing w:val="3"/>
        </w:rPr>
        <w:t>t</w:t>
      </w:r>
      <w:r w:rsidRPr="00605CC3">
        <w:rPr>
          <w:rFonts w:ascii="Bookman Old Style" w:eastAsia="Times New Roman" w:hAnsi="Bookman Old Style" w:cs="Times New Roman"/>
        </w:rPr>
        <w:t>s</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6"/>
        </w:rPr>
        <w:t>i</w:t>
      </w:r>
      <w:r w:rsidRPr="00605CC3">
        <w:rPr>
          <w:rFonts w:ascii="Bookman Old Style" w:eastAsia="Times New Roman" w:hAnsi="Bookman Old Style" w:cs="Times New Roman"/>
        </w:rPr>
        <w:t>s</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5"/>
        </w:rPr>
        <w:t>$</w:t>
      </w:r>
      <w:r w:rsidRPr="00605CC3">
        <w:rPr>
          <w:rFonts w:ascii="Bookman Old Style" w:eastAsia="Times New Roman" w:hAnsi="Bookman Old Style" w:cs="Times New Roman"/>
          <w:spacing w:val="2"/>
        </w:rPr>
        <w:t>1</w:t>
      </w:r>
      <w:r w:rsidRPr="00605CC3">
        <w:rPr>
          <w:rFonts w:ascii="Bookman Old Style" w:eastAsia="Times New Roman" w:hAnsi="Bookman Old Style" w:cs="Times New Roman"/>
          <w:spacing w:val="5"/>
        </w:rPr>
        <w:t>,</w:t>
      </w:r>
      <w:r w:rsidRPr="00605CC3">
        <w:rPr>
          <w:rFonts w:ascii="Bookman Old Style" w:eastAsia="Times New Roman" w:hAnsi="Bookman Old Style" w:cs="Times New Roman"/>
          <w:spacing w:val="2"/>
        </w:rPr>
        <w:t>9</w:t>
      </w:r>
      <w:r w:rsidRPr="00605CC3">
        <w:rPr>
          <w:rFonts w:ascii="Bookman Old Style" w:eastAsia="Times New Roman" w:hAnsi="Bookman Old Style" w:cs="Times New Roman"/>
          <w:spacing w:val="5"/>
        </w:rPr>
        <w:t>4</w:t>
      </w:r>
      <w:r w:rsidRPr="00605CC3">
        <w:rPr>
          <w:rFonts w:ascii="Bookman Old Style" w:eastAsia="Times New Roman" w:hAnsi="Bookman Old Style" w:cs="Times New Roman"/>
          <w:spacing w:val="2"/>
        </w:rPr>
        <w:t>3</w:t>
      </w:r>
      <w:r w:rsidRPr="00605CC3">
        <w:rPr>
          <w:rFonts w:ascii="Bookman Old Style" w:eastAsia="Times New Roman" w:hAnsi="Bookman Old Style" w:cs="Times New Roman"/>
        </w:rPr>
        <w:t>,</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5"/>
        </w:rPr>
        <w:t>a</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rPr>
        <w:t>d</w:t>
      </w:r>
      <w:r w:rsidRPr="00605CC3">
        <w:rPr>
          <w:rFonts w:ascii="Bookman Old Style" w:eastAsia="Times New Roman" w:hAnsi="Bookman Old Style" w:cs="Times New Roman"/>
          <w:spacing w:val="22"/>
        </w:rPr>
        <w:t xml:space="preserve"> </w:t>
      </w:r>
      <w:r w:rsidRPr="00605CC3">
        <w:rPr>
          <w:rFonts w:ascii="Bookman Old Style" w:eastAsia="Times New Roman" w:hAnsi="Bookman Old Style" w:cs="Times New Roman"/>
          <w:spacing w:val="5"/>
        </w:rPr>
        <w:t>c</w:t>
      </w:r>
      <w:r w:rsidRPr="00605CC3">
        <w:rPr>
          <w:rFonts w:ascii="Bookman Old Style" w:eastAsia="Times New Roman" w:hAnsi="Bookman Old Style" w:cs="Times New Roman"/>
          <w:spacing w:val="2"/>
        </w:rPr>
        <w:t>u</w:t>
      </w:r>
      <w:r w:rsidRPr="00605CC3">
        <w:rPr>
          <w:rFonts w:ascii="Bookman Old Style" w:eastAsia="Times New Roman" w:hAnsi="Bookman Old Style" w:cs="Times New Roman"/>
          <w:spacing w:val="3"/>
        </w:rPr>
        <w:t>rr</w:t>
      </w:r>
      <w:r w:rsidRPr="00605CC3">
        <w:rPr>
          <w:rFonts w:ascii="Bookman Old Style" w:eastAsia="Times New Roman" w:hAnsi="Bookman Old Style" w:cs="Times New Roman"/>
          <w:spacing w:val="5"/>
        </w:rPr>
        <w:t>e</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spacing w:val="3"/>
        </w:rPr>
        <w:t>t</w:t>
      </w:r>
      <w:r w:rsidRPr="00605CC3">
        <w:rPr>
          <w:rFonts w:ascii="Bookman Old Style" w:eastAsia="Times New Roman" w:hAnsi="Bookman Old Style" w:cs="Times New Roman"/>
          <w:spacing w:val="6"/>
        </w:rPr>
        <w:t>l</w:t>
      </w:r>
      <w:r w:rsidRPr="00605CC3">
        <w:rPr>
          <w:rFonts w:ascii="Bookman Old Style" w:eastAsia="Times New Roman" w:hAnsi="Bookman Old Style" w:cs="Times New Roman"/>
          <w:spacing w:val="2"/>
        </w:rPr>
        <w:t>y</w:t>
      </w:r>
      <w:r w:rsidRPr="00605CC3">
        <w:rPr>
          <w:rFonts w:ascii="Bookman Old Style" w:eastAsia="Times New Roman" w:hAnsi="Bookman Old Style" w:cs="Times New Roman"/>
        </w:rPr>
        <w:t>,</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t</w:t>
      </w:r>
      <w:r w:rsidRPr="00605CC3">
        <w:rPr>
          <w:rFonts w:ascii="Bookman Old Style" w:eastAsia="Times New Roman" w:hAnsi="Bookman Old Style" w:cs="Times New Roman"/>
          <w:spacing w:val="5"/>
        </w:rPr>
        <w:t>h</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5"/>
        </w:rPr>
        <w:t>a</w:t>
      </w:r>
      <w:r w:rsidRPr="00605CC3">
        <w:rPr>
          <w:rFonts w:ascii="Bookman Old Style" w:eastAsia="Times New Roman" w:hAnsi="Bookman Old Style" w:cs="Times New Roman"/>
          <w:spacing w:val="2"/>
        </w:rPr>
        <w:t>v</w:t>
      </w:r>
      <w:r w:rsidRPr="00605CC3">
        <w:rPr>
          <w:rFonts w:ascii="Bookman Old Style" w:eastAsia="Times New Roman" w:hAnsi="Bookman Old Style" w:cs="Times New Roman"/>
          <w:spacing w:val="3"/>
        </w:rPr>
        <w:t>er</w:t>
      </w:r>
      <w:r w:rsidRPr="00605CC3">
        <w:rPr>
          <w:rFonts w:ascii="Bookman Old Style" w:eastAsia="Times New Roman" w:hAnsi="Bookman Old Style" w:cs="Times New Roman"/>
          <w:spacing w:val="5"/>
        </w:rPr>
        <w:t>a</w:t>
      </w:r>
      <w:r w:rsidRPr="00605CC3">
        <w:rPr>
          <w:rFonts w:ascii="Bookman Old Style" w:eastAsia="Times New Roman" w:hAnsi="Bookman Old Style" w:cs="Times New Roman"/>
          <w:spacing w:val="2"/>
        </w:rPr>
        <w:t>g</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13"/>
        </w:rPr>
        <w:t xml:space="preserve"> </w:t>
      </w:r>
      <w:r w:rsidRPr="00605CC3">
        <w:rPr>
          <w:rFonts w:ascii="Bookman Old Style" w:eastAsia="Times New Roman" w:hAnsi="Bookman Old Style" w:cs="Times New Roman"/>
          <w:spacing w:val="3"/>
        </w:rPr>
        <w:t>tr</w:t>
      </w:r>
      <w:r w:rsidRPr="00605CC3">
        <w:rPr>
          <w:rFonts w:ascii="Bookman Old Style" w:eastAsia="Times New Roman" w:hAnsi="Bookman Old Style" w:cs="Times New Roman"/>
          <w:spacing w:val="5"/>
        </w:rPr>
        <w:t>a</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spacing w:val="5"/>
        </w:rPr>
        <w:t>s</w:t>
      </w:r>
      <w:r w:rsidRPr="00605CC3">
        <w:rPr>
          <w:rFonts w:ascii="Bookman Old Style" w:eastAsia="Times New Roman" w:hAnsi="Bookman Old Style" w:cs="Times New Roman"/>
          <w:spacing w:val="2"/>
        </w:rPr>
        <w:t>p</w:t>
      </w:r>
      <w:r w:rsidRPr="00605CC3">
        <w:rPr>
          <w:rFonts w:ascii="Bookman Old Style" w:eastAsia="Times New Roman" w:hAnsi="Bookman Old Style" w:cs="Times New Roman"/>
          <w:spacing w:val="5"/>
        </w:rPr>
        <w:t>o</w:t>
      </w:r>
      <w:r w:rsidRPr="00605CC3">
        <w:rPr>
          <w:rFonts w:ascii="Bookman Old Style" w:eastAsia="Times New Roman" w:hAnsi="Bookman Old Style" w:cs="Times New Roman"/>
          <w:spacing w:val="3"/>
        </w:rPr>
        <w:t>r</w:t>
      </w:r>
      <w:r w:rsidRPr="00605CC3">
        <w:rPr>
          <w:rFonts w:ascii="Bookman Old Style" w:eastAsia="Times New Roman" w:hAnsi="Bookman Old Style" w:cs="Times New Roman"/>
        </w:rPr>
        <w:t>t</w:t>
      </w:r>
      <w:r w:rsidRPr="00605CC3">
        <w:rPr>
          <w:rFonts w:ascii="Bookman Old Style" w:eastAsia="Times New Roman" w:hAnsi="Bookman Old Style" w:cs="Times New Roman"/>
          <w:spacing w:val="5"/>
        </w:rPr>
        <w:t xml:space="preserve"> </w:t>
      </w:r>
      <w:r w:rsidRPr="00605CC3">
        <w:rPr>
          <w:rFonts w:ascii="Bookman Old Style" w:eastAsia="Times New Roman" w:hAnsi="Bookman Old Style" w:cs="Times New Roman"/>
          <w:spacing w:val="6"/>
        </w:rPr>
        <w:t>f</w:t>
      </w:r>
      <w:r w:rsidRPr="00605CC3">
        <w:rPr>
          <w:rFonts w:ascii="Bookman Old Style" w:eastAsia="Times New Roman" w:hAnsi="Bookman Old Style" w:cs="Times New Roman"/>
          <w:spacing w:val="3"/>
        </w:rPr>
        <w:t>e</w:t>
      </w:r>
      <w:r w:rsidRPr="00605CC3">
        <w:rPr>
          <w:rFonts w:ascii="Bookman Old Style" w:eastAsia="Times New Roman" w:hAnsi="Bookman Old Style" w:cs="Times New Roman"/>
        </w:rPr>
        <w:t xml:space="preserve">e </w:t>
      </w:r>
      <w:r w:rsidRPr="00605CC3">
        <w:rPr>
          <w:rFonts w:ascii="Bookman Old Style" w:eastAsia="Times New Roman" w:hAnsi="Bookman Old Style" w:cs="Times New Roman"/>
          <w:spacing w:val="5"/>
        </w:rPr>
        <w:t>a</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rPr>
        <w:t>d</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5"/>
        </w:rPr>
        <w:t>u</w:t>
      </w:r>
      <w:r w:rsidRPr="00605CC3">
        <w:rPr>
          <w:rFonts w:ascii="Bookman Old Style" w:eastAsia="Times New Roman" w:hAnsi="Bookman Old Style" w:cs="Times New Roman"/>
          <w:spacing w:val="3"/>
        </w:rPr>
        <w:t>tili</w:t>
      </w:r>
      <w:r w:rsidRPr="00605CC3">
        <w:rPr>
          <w:rFonts w:ascii="Bookman Old Style" w:eastAsia="Times New Roman" w:hAnsi="Bookman Old Style" w:cs="Times New Roman"/>
          <w:spacing w:val="6"/>
        </w:rPr>
        <w:t>t</w:t>
      </w:r>
      <w:r w:rsidRPr="00605CC3">
        <w:rPr>
          <w:rFonts w:ascii="Bookman Old Style" w:eastAsia="Times New Roman" w:hAnsi="Bookman Old Style" w:cs="Times New Roman"/>
        </w:rPr>
        <w:t>y</w:t>
      </w:r>
      <w:r w:rsidRPr="00605CC3">
        <w:rPr>
          <w:rFonts w:ascii="Bookman Old Style" w:eastAsia="Times New Roman" w:hAnsi="Bookman Old Style" w:cs="Times New Roman"/>
          <w:spacing w:val="5"/>
        </w:rPr>
        <w:t xml:space="preserve"> </w:t>
      </w:r>
      <w:r w:rsidRPr="00605CC3">
        <w:rPr>
          <w:rFonts w:ascii="Bookman Old Style" w:eastAsia="Times New Roman" w:hAnsi="Bookman Old Style" w:cs="Times New Roman"/>
          <w:spacing w:val="6"/>
        </w:rPr>
        <w:t>r</w:t>
      </w:r>
      <w:r w:rsidRPr="00605CC3">
        <w:rPr>
          <w:rFonts w:ascii="Bookman Old Style" w:eastAsia="Times New Roman" w:hAnsi="Bookman Old Style" w:cs="Times New Roman"/>
          <w:spacing w:val="3"/>
        </w:rPr>
        <w:t>at</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r</w:t>
      </w:r>
      <w:r w:rsidRPr="00605CC3">
        <w:rPr>
          <w:rFonts w:ascii="Bookman Old Style" w:eastAsia="Times New Roman" w:hAnsi="Bookman Old Style" w:cs="Times New Roman"/>
          <w:spacing w:val="5"/>
        </w:rPr>
        <w:t>e</w:t>
      </w:r>
      <w:r w:rsidRPr="00605CC3">
        <w:rPr>
          <w:rFonts w:ascii="Bookman Old Style" w:eastAsia="Times New Roman" w:hAnsi="Bookman Old Style" w:cs="Times New Roman"/>
          <w:spacing w:val="2"/>
        </w:rPr>
        <w:t>v</w:t>
      </w:r>
      <w:r w:rsidRPr="00605CC3">
        <w:rPr>
          <w:rFonts w:ascii="Bookman Old Style" w:eastAsia="Times New Roman" w:hAnsi="Bookman Old Style" w:cs="Times New Roman"/>
          <w:spacing w:val="5"/>
        </w:rPr>
        <w:t>e</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spacing w:val="5"/>
        </w:rPr>
        <w:t>u</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2"/>
        </w:rPr>
        <w:t>on</w:t>
      </w:r>
      <w:r w:rsidRPr="00605CC3">
        <w:rPr>
          <w:rFonts w:ascii="Bookman Old Style" w:eastAsia="Times New Roman" w:hAnsi="Bookman Old Style" w:cs="Times New Roman"/>
          <w:spacing w:val="6"/>
        </w:rPr>
        <w:t>l</w:t>
      </w:r>
      <w:r w:rsidRPr="00605CC3">
        <w:rPr>
          <w:rFonts w:ascii="Bookman Old Style" w:eastAsia="Times New Roman" w:hAnsi="Bookman Old Style" w:cs="Times New Roman"/>
        </w:rPr>
        <w:t>y</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s</w:t>
      </w:r>
      <w:r w:rsidRPr="00605CC3">
        <w:rPr>
          <w:rFonts w:ascii="Bookman Old Style" w:eastAsia="Times New Roman" w:hAnsi="Bookman Old Style" w:cs="Times New Roman"/>
          <w:spacing w:val="5"/>
        </w:rPr>
        <w:t>u</w:t>
      </w:r>
      <w:r w:rsidRPr="00605CC3">
        <w:rPr>
          <w:rFonts w:ascii="Bookman Old Style" w:eastAsia="Times New Roman" w:hAnsi="Bookman Old Style" w:cs="Times New Roman"/>
          <w:spacing w:val="2"/>
        </w:rPr>
        <w:t>p</w:t>
      </w:r>
      <w:r w:rsidRPr="00605CC3">
        <w:rPr>
          <w:rFonts w:ascii="Bookman Old Style" w:eastAsia="Times New Roman" w:hAnsi="Bookman Old Style" w:cs="Times New Roman"/>
          <w:spacing w:val="5"/>
        </w:rPr>
        <w:t>p</w:t>
      </w:r>
      <w:r w:rsidRPr="00605CC3">
        <w:rPr>
          <w:rFonts w:ascii="Bookman Old Style" w:eastAsia="Times New Roman" w:hAnsi="Bookman Old Style" w:cs="Times New Roman"/>
          <w:spacing w:val="2"/>
        </w:rPr>
        <w:t>o</w:t>
      </w:r>
      <w:r w:rsidRPr="00605CC3">
        <w:rPr>
          <w:rFonts w:ascii="Bookman Old Style" w:eastAsia="Times New Roman" w:hAnsi="Bookman Old Style" w:cs="Times New Roman"/>
          <w:spacing w:val="3"/>
        </w:rPr>
        <w:t>r</w:t>
      </w:r>
      <w:r w:rsidRPr="00605CC3">
        <w:rPr>
          <w:rFonts w:ascii="Bookman Old Style" w:eastAsia="Times New Roman" w:hAnsi="Bookman Old Style" w:cs="Times New Roman"/>
        </w:rPr>
        <w:t>t</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5"/>
        </w:rPr>
        <w:t>$</w:t>
      </w:r>
      <w:r w:rsidRPr="00605CC3">
        <w:rPr>
          <w:rFonts w:ascii="Bookman Old Style" w:eastAsia="Times New Roman" w:hAnsi="Bookman Old Style" w:cs="Times New Roman"/>
          <w:spacing w:val="2"/>
        </w:rPr>
        <w:t>9</w:t>
      </w:r>
      <w:r w:rsidRPr="00605CC3">
        <w:rPr>
          <w:rFonts w:ascii="Bookman Old Style" w:eastAsia="Times New Roman" w:hAnsi="Bookman Old Style" w:cs="Times New Roman"/>
          <w:spacing w:val="5"/>
        </w:rPr>
        <w:t>5</w:t>
      </w:r>
      <w:r w:rsidRPr="00605CC3">
        <w:rPr>
          <w:rFonts w:ascii="Bookman Old Style" w:eastAsia="Times New Roman" w:hAnsi="Bookman Old Style" w:cs="Times New Roman"/>
        </w:rPr>
        <w:t>2</w:t>
      </w:r>
      <w:r w:rsidRPr="00605CC3">
        <w:rPr>
          <w:rFonts w:ascii="Bookman Old Style" w:eastAsia="Times New Roman" w:hAnsi="Bookman Old Style" w:cs="Times New Roman"/>
          <w:spacing w:val="17"/>
        </w:rPr>
        <w:t xml:space="preserve"> </w:t>
      </w:r>
      <w:r w:rsidRPr="00605CC3">
        <w:rPr>
          <w:rFonts w:ascii="Bookman Old Style" w:eastAsia="Times New Roman" w:hAnsi="Bookman Old Style" w:cs="Times New Roman"/>
          <w:spacing w:val="2"/>
        </w:rPr>
        <w:t>o</w:t>
      </w:r>
      <w:r w:rsidRPr="00605CC3">
        <w:rPr>
          <w:rFonts w:ascii="Bookman Old Style" w:eastAsia="Times New Roman" w:hAnsi="Bookman Old Style" w:cs="Times New Roman"/>
        </w:rPr>
        <w:t>f</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3"/>
        </w:rPr>
        <w:t>t</w:t>
      </w:r>
      <w:r w:rsidRPr="00605CC3">
        <w:rPr>
          <w:rFonts w:ascii="Bookman Old Style" w:eastAsia="Times New Roman" w:hAnsi="Bookman Old Style" w:cs="Times New Roman"/>
          <w:spacing w:val="2"/>
        </w:rPr>
        <w:t>h</w:t>
      </w:r>
      <w:r w:rsidRPr="00605CC3">
        <w:rPr>
          <w:rFonts w:ascii="Bookman Old Style" w:eastAsia="Times New Roman" w:hAnsi="Bookman Old Style" w:cs="Times New Roman"/>
        </w:rPr>
        <w:t>e</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5"/>
        </w:rPr>
        <w:t>c</w:t>
      </w:r>
      <w:r w:rsidRPr="00605CC3">
        <w:rPr>
          <w:rFonts w:ascii="Bookman Old Style" w:eastAsia="Times New Roman" w:hAnsi="Bookman Old Style" w:cs="Times New Roman"/>
          <w:spacing w:val="2"/>
        </w:rPr>
        <w:t>o</w:t>
      </w:r>
      <w:r w:rsidRPr="00605CC3">
        <w:rPr>
          <w:rFonts w:ascii="Bookman Old Style" w:eastAsia="Times New Roman" w:hAnsi="Bookman Old Style" w:cs="Times New Roman"/>
          <w:spacing w:val="3"/>
        </w:rPr>
        <w:t>s</w:t>
      </w:r>
      <w:r w:rsidRPr="00605CC3">
        <w:rPr>
          <w:rFonts w:ascii="Bookman Old Style" w:eastAsia="Times New Roman" w:hAnsi="Bookman Old Style" w:cs="Times New Roman"/>
          <w:spacing w:val="9"/>
        </w:rPr>
        <w:t>t</w:t>
      </w:r>
      <w:r w:rsidRPr="00605CC3">
        <w:rPr>
          <w:rFonts w:ascii="Bookman Old Style" w:eastAsia="Times New Roman" w:hAnsi="Bookman Old Style" w:cs="Times New Roman"/>
        </w:rPr>
        <w:t>.</w:t>
      </w:r>
      <w:r w:rsidRPr="00605CC3">
        <w:rPr>
          <w:rFonts w:ascii="Bookman Old Style" w:eastAsia="Times New Roman" w:hAnsi="Bookman Old Style" w:cs="Times New Roman"/>
          <w:spacing w:val="5"/>
        </w:rPr>
        <w:t xml:space="preserve"> </w:t>
      </w:r>
      <w:r w:rsidRPr="00605CC3">
        <w:rPr>
          <w:rFonts w:ascii="Bookman Old Style" w:eastAsia="Times New Roman" w:hAnsi="Bookman Old Style" w:cs="Times New Roman"/>
          <w:spacing w:val="4"/>
        </w:rPr>
        <w:t>T</w:t>
      </w:r>
      <w:r w:rsidRPr="00605CC3">
        <w:rPr>
          <w:rFonts w:ascii="Bookman Old Style" w:eastAsia="Times New Roman" w:hAnsi="Bookman Old Style" w:cs="Times New Roman"/>
          <w:spacing w:val="5"/>
        </w:rPr>
        <w:t>h</w:t>
      </w:r>
      <w:r w:rsidRPr="00605CC3">
        <w:rPr>
          <w:rFonts w:ascii="Bookman Old Style" w:eastAsia="Times New Roman" w:hAnsi="Bookman Old Style" w:cs="Times New Roman"/>
          <w:spacing w:val="3"/>
        </w:rPr>
        <w:t>i</w:t>
      </w:r>
      <w:r w:rsidRPr="00605CC3">
        <w:rPr>
          <w:rFonts w:ascii="Bookman Old Style" w:eastAsia="Times New Roman" w:hAnsi="Bookman Old Style" w:cs="Times New Roman"/>
        </w:rPr>
        <w:t>s</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i</w:t>
      </w:r>
      <w:r w:rsidRPr="00605CC3">
        <w:rPr>
          <w:rFonts w:ascii="Bookman Old Style" w:eastAsia="Times New Roman" w:hAnsi="Bookman Old Style" w:cs="Times New Roman"/>
        </w:rPr>
        <w:t>s</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3"/>
        </w:rPr>
        <w:t>a</w:t>
      </w:r>
      <w:r w:rsidRPr="00605CC3">
        <w:rPr>
          <w:rFonts w:ascii="Bookman Old Style" w:eastAsia="Times New Roman" w:hAnsi="Bookman Old Style" w:cs="Times New Roman"/>
          <w:spacing w:val="5"/>
        </w:rPr>
        <w:t>b</w:t>
      </w:r>
      <w:r w:rsidRPr="00605CC3">
        <w:rPr>
          <w:rFonts w:ascii="Bookman Old Style" w:eastAsia="Times New Roman" w:hAnsi="Bookman Old Style" w:cs="Times New Roman"/>
          <w:spacing w:val="2"/>
        </w:rPr>
        <w:t>o</w:t>
      </w:r>
      <w:r w:rsidRPr="00605CC3">
        <w:rPr>
          <w:rFonts w:ascii="Bookman Old Style" w:eastAsia="Times New Roman" w:hAnsi="Bookman Old Style" w:cs="Times New Roman"/>
          <w:spacing w:val="5"/>
        </w:rPr>
        <w:t>u</w:t>
      </w:r>
      <w:r w:rsidRPr="00605CC3">
        <w:rPr>
          <w:rFonts w:ascii="Bookman Old Style" w:eastAsia="Times New Roman" w:hAnsi="Bookman Old Style" w:cs="Times New Roman"/>
        </w:rPr>
        <w:t>t</w:t>
      </w:r>
      <w:r w:rsidRPr="00605CC3">
        <w:rPr>
          <w:rFonts w:ascii="Bookman Old Style" w:eastAsia="Times New Roman" w:hAnsi="Bookman Old Style" w:cs="Times New Roman"/>
          <w:spacing w:val="11"/>
        </w:rPr>
        <w:t xml:space="preserve"> </w:t>
      </w:r>
      <w:r w:rsidRPr="00605CC3">
        <w:rPr>
          <w:rFonts w:ascii="Bookman Old Style" w:eastAsia="Times New Roman" w:hAnsi="Bookman Old Style" w:cs="Times New Roman"/>
        </w:rPr>
        <w:t>a</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2"/>
        </w:rPr>
        <w:t>49</w:t>
      </w:r>
      <w:r w:rsidRPr="00605CC3">
        <w:rPr>
          <w:rFonts w:ascii="Bookman Old Style" w:eastAsia="Times New Roman" w:hAnsi="Bookman Old Style" w:cs="Times New Roman"/>
        </w:rPr>
        <w:t>%</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5"/>
        </w:rPr>
        <w:t>c</w:t>
      </w:r>
      <w:r w:rsidRPr="00605CC3">
        <w:rPr>
          <w:rFonts w:ascii="Bookman Old Style" w:eastAsia="Times New Roman" w:hAnsi="Bookman Old Style" w:cs="Times New Roman"/>
          <w:spacing w:val="2"/>
        </w:rPr>
        <w:t>o</w:t>
      </w:r>
      <w:r w:rsidRPr="00605CC3">
        <w:rPr>
          <w:rFonts w:ascii="Bookman Old Style" w:eastAsia="Times New Roman" w:hAnsi="Bookman Old Style" w:cs="Times New Roman"/>
          <w:spacing w:val="3"/>
        </w:rPr>
        <w:t>s</w:t>
      </w:r>
      <w:r w:rsidRPr="00605CC3">
        <w:rPr>
          <w:rFonts w:ascii="Bookman Old Style" w:eastAsia="Times New Roman" w:hAnsi="Bookman Old Style" w:cs="Times New Roman"/>
        </w:rPr>
        <w:t>t</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3"/>
        </w:rPr>
        <w:t>re</w:t>
      </w:r>
      <w:r w:rsidRPr="00605CC3">
        <w:rPr>
          <w:rFonts w:ascii="Bookman Old Style" w:eastAsia="Times New Roman" w:hAnsi="Bookman Old Style" w:cs="Times New Roman"/>
          <w:spacing w:val="5"/>
        </w:rPr>
        <w:t>co</w:t>
      </w:r>
      <w:r w:rsidRPr="00605CC3">
        <w:rPr>
          <w:rFonts w:ascii="Bookman Old Style" w:eastAsia="Times New Roman" w:hAnsi="Bookman Old Style" w:cs="Times New Roman"/>
          <w:spacing w:val="2"/>
        </w:rPr>
        <w:t>v</w:t>
      </w:r>
      <w:r w:rsidRPr="00605CC3">
        <w:rPr>
          <w:rFonts w:ascii="Bookman Old Style" w:eastAsia="Times New Roman" w:hAnsi="Bookman Old Style" w:cs="Times New Roman"/>
          <w:spacing w:val="3"/>
        </w:rPr>
        <w:t>e</w:t>
      </w:r>
      <w:r w:rsidRPr="00605CC3">
        <w:rPr>
          <w:rFonts w:ascii="Bookman Old Style" w:eastAsia="Times New Roman" w:hAnsi="Bookman Old Style" w:cs="Times New Roman"/>
          <w:spacing w:val="6"/>
        </w:rPr>
        <w:t>r</w:t>
      </w:r>
      <w:r w:rsidRPr="00605CC3">
        <w:rPr>
          <w:rFonts w:ascii="Bookman Old Style" w:eastAsia="Times New Roman" w:hAnsi="Bookman Old Style" w:cs="Times New Roman"/>
        </w:rPr>
        <w:t>y</w:t>
      </w:r>
      <w:r w:rsidRPr="00605CC3">
        <w:rPr>
          <w:rFonts w:ascii="Bookman Old Style" w:eastAsia="Times New Roman" w:hAnsi="Bookman Old Style" w:cs="Times New Roman"/>
          <w:spacing w:val="7"/>
        </w:rPr>
        <w:t xml:space="preserve"> </w:t>
      </w:r>
      <w:r w:rsidRPr="00605CC3">
        <w:rPr>
          <w:rFonts w:ascii="Bookman Old Style" w:eastAsia="Times New Roman" w:hAnsi="Bookman Old Style" w:cs="Times New Roman"/>
          <w:spacing w:val="2"/>
        </w:rPr>
        <w:t>p</w:t>
      </w:r>
      <w:r w:rsidRPr="00605CC3">
        <w:rPr>
          <w:rFonts w:ascii="Bookman Old Style" w:eastAsia="Times New Roman" w:hAnsi="Bookman Old Style" w:cs="Times New Roman"/>
          <w:spacing w:val="3"/>
        </w:rPr>
        <w:t>e</w:t>
      </w:r>
      <w:r w:rsidRPr="00605CC3">
        <w:rPr>
          <w:rFonts w:ascii="Bookman Old Style" w:eastAsia="Times New Roman" w:hAnsi="Bookman Old Style" w:cs="Times New Roman"/>
        </w:rPr>
        <w:t>r</w:t>
      </w:r>
      <w:r w:rsidRPr="00605CC3">
        <w:rPr>
          <w:rFonts w:ascii="Bookman Old Style" w:eastAsia="Times New Roman" w:hAnsi="Bookman Old Style" w:cs="Times New Roman"/>
          <w:spacing w:val="8"/>
        </w:rPr>
        <w:t xml:space="preserve"> </w:t>
      </w:r>
      <w:r w:rsidRPr="00605CC3">
        <w:rPr>
          <w:rFonts w:ascii="Bookman Old Style" w:eastAsia="Times New Roman" w:hAnsi="Bookman Old Style" w:cs="Times New Roman"/>
          <w:spacing w:val="3"/>
        </w:rPr>
        <w:t>i</w:t>
      </w:r>
      <w:r w:rsidRPr="00605CC3">
        <w:rPr>
          <w:rFonts w:ascii="Bookman Old Style" w:eastAsia="Times New Roman" w:hAnsi="Bookman Old Style" w:cs="Times New Roman"/>
          <w:spacing w:val="5"/>
        </w:rPr>
        <w:t>n</w:t>
      </w:r>
      <w:r w:rsidRPr="00605CC3">
        <w:rPr>
          <w:rFonts w:ascii="Bookman Old Style" w:eastAsia="Times New Roman" w:hAnsi="Bookman Old Style" w:cs="Times New Roman"/>
          <w:spacing w:val="3"/>
        </w:rPr>
        <w:t>ci</w:t>
      </w:r>
      <w:r w:rsidRPr="00605CC3">
        <w:rPr>
          <w:rFonts w:ascii="Bookman Old Style" w:eastAsia="Times New Roman" w:hAnsi="Bookman Old Style" w:cs="Times New Roman"/>
          <w:spacing w:val="5"/>
        </w:rPr>
        <w:t>d</w:t>
      </w:r>
      <w:r w:rsidRPr="00605CC3">
        <w:rPr>
          <w:rFonts w:ascii="Bookman Old Style" w:eastAsia="Times New Roman" w:hAnsi="Bookman Old Style" w:cs="Times New Roman"/>
          <w:spacing w:val="3"/>
        </w:rPr>
        <w:t>e</w:t>
      </w:r>
      <w:r w:rsidRPr="00605CC3">
        <w:rPr>
          <w:rFonts w:ascii="Bookman Old Style" w:eastAsia="Times New Roman" w:hAnsi="Bookman Old Style" w:cs="Times New Roman"/>
          <w:spacing w:val="2"/>
        </w:rPr>
        <w:t>n</w:t>
      </w:r>
      <w:r w:rsidRPr="00605CC3">
        <w:rPr>
          <w:rFonts w:ascii="Bookman Old Style" w:eastAsia="Times New Roman" w:hAnsi="Bookman Old Style" w:cs="Times New Roman"/>
          <w:spacing w:val="6"/>
        </w:rPr>
        <w:t>t</w:t>
      </w:r>
      <w:r w:rsidRPr="00605CC3">
        <w:rPr>
          <w:rFonts w:ascii="Bookman Old Style" w:eastAsia="Times New Roman" w:hAnsi="Bookman Old Style" w:cs="Times New Roman"/>
        </w:rPr>
        <w:t>.</w:t>
      </w:r>
    </w:p>
    <w:p w:rsidR="00605CC3" w:rsidRPr="00605CC3" w:rsidRDefault="00605CC3" w:rsidP="00605CC3">
      <w:pPr>
        <w:widowControl w:val="0"/>
        <w:spacing w:after="0" w:line="240" w:lineRule="auto"/>
        <w:ind w:right="4298"/>
        <w:rPr>
          <w:rFonts w:ascii="Times New Roman" w:eastAsia="Times New Roman" w:hAnsi="Times New Roman" w:cs="Times New Roman"/>
        </w:rPr>
      </w:pPr>
    </w:p>
    <w:p w:rsidR="003116C2" w:rsidRPr="006119B5" w:rsidRDefault="003116C2" w:rsidP="003116C2">
      <w:pPr>
        <w:spacing w:line="240" w:lineRule="auto"/>
        <w:contextualSpacing/>
        <w:jc w:val="both"/>
        <w:rPr>
          <w:rFonts w:ascii="Bookman Old Style" w:hAnsi="Bookman Old Style"/>
        </w:rPr>
      </w:pPr>
    </w:p>
    <w:p w:rsidR="00DF0515" w:rsidRDefault="00DF0515" w:rsidP="00DF0515">
      <w:pPr>
        <w:rPr>
          <w:rFonts w:ascii="Bookman Old Style" w:hAnsi="Bookman Old Style"/>
          <w:b/>
          <w:i/>
        </w:rPr>
      </w:pPr>
      <w:bookmarkStart w:id="9" w:name="_Toc474159557"/>
      <w:bookmarkStart w:id="10" w:name="_Toc475003860"/>
      <w:r>
        <w:rPr>
          <w:rFonts w:ascii="Bookman Old Style" w:hAnsi="Bookman Old Style"/>
          <w:b/>
          <w:i/>
        </w:rPr>
        <w:t>EMS</w:t>
      </w:r>
      <w:r w:rsidRPr="003116C2">
        <w:rPr>
          <w:rFonts w:ascii="Bookman Old Style" w:hAnsi="Bookman Old Style"/>
          <w:b/>
          <w:i/>
        </w:rPr>
        <w:t xml:space="preserve"> Analysis</w:t>
      </w:r>
    </w:p>
    <w:p w:rsidR="00DF0515" w:rsidRDefault="00DF0515" w:rsidP="008F2AF6">
      <w:pPr>
        <w:numPr>
          <w:ilvl w:val="0"/>
          <w:numId w:val="2"/>
        </w:numPr>
        <w:spacing w:line="240" w:lineRule="auto"/>
        <w:contextualSpacing/>
        <w:jc w:val="both"/>
        <w:rPr>
          <w:rFonts w:ascii="Bookman Old Style" w:hAnsi="Bookman Old Style"/>
          <w:color w:val="000000" w:themeColor="text1"/>
        </w:rPr>
      </w:pPr>
      <w:r w:rsidRPr="006D0990">
        <w:rPr>
          <w:rFonts w:ascii="Bookman Old Style" w:hAnsi="Bookman Old Style"/>
          <w:b/>
          <w:color w:val="000000" w:themeColor="text1"/>
        </w:rPr>
        <w:t>Low impact/High probability</w:t>
      </w:r>
      <w:r>
        <w:rPr>
          <w:rFonts w:ascii="Bookman Old Style" w:hAnsi="Bookman Old Style"/>
          <w:color w:val="000000" w:themeColor="text1"/>
        </w:rPr>
        <w:t xml:space="preserve"> –</w:t>
      </w:r>
      <w:r w:rsidRPr="006119B5">
        <w:rPr>
          <w:rFonts w:ascii="Bookman Old Style" w:hAnsi="Bookman Old Style"/>
          <w:color w:val="000000" w:themeColor="text1"/>
        </w:rPr>
        <w:t xml:space="preserve"> if the incident happens, the fire department can usually handle it with existing resources.  However, effort should be given to reduce the likelihood that these incidents occur.  </w:t>
      </w:r>
    </w:p>
    <w:p w:rsidR="00230449" w:rsidRDefault="00230449" w:rsidP="008F2AF6">
      <w:pPr>
        <w:numPr>
          <w:ilvl w:val="0"/>
          <w:numId w:val="2"/>
        </w:numPr>
        <w:spacing w:line="240" w:lineRule="auto"/>
        <w:contextualSpacing/>
        <w:jc w:val="both"/>
        <w:rPr>
          <w:rFonts w:ascii="Bookman Old Style" w:hAnsi="Bookman Old Style"/>
          <w:color w:val="000000" w:themeColor="text1"/>
        </w:rPr>
      </w:pPr>
      <w:r>
        <w:rPr>
          <w:rFonts w:ascii="Bookman Old Style" w:hAnsi="Bookman Old Style"/>
          <w:color w:val="000000" w:themeColor="text1"/>
        </w:rPr>
        <w:t>Multi-family residential occupancies represent 2% of the total occupancies within the City, but represent 24% of the EMS call frequency.</w:t>
      </w:r>
    </w:p>
    <w:p w:rsidR="009741C1" w:rsidRDefault="009741C1"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B27664" w:rsidRDefault="00B27664" w:rsidP="009741C1">
      <w:pPr>
        <w:spacing w:line="240" w:lineRule="auto"/>
        <w:contextualSpacing/>
        <w:jc w:val="both"/>
        <w:rPr>
          <w:rFonts w:ascii="Bookman Old Style" w:hAnsi="Bookman Old Style"/>
          <w:color w:val="000000" w:themeColor="text1"/>
        </w:rPr>
      </w:pPr>
    </w:p>
    <w:p w:rsidR="008F2AF6" w:rsidRPr="008F2AF6" w:rsidRDefault="008F2AF6" w:rsidP="008F2AF6">
      <w:pPr>
        <w:spacing w:line="240" w:lineRule="auto"/>
        <w:ind w:left="720"/>
        <w:contextualSpacing/>
        <w:jc w:val="both"/>
        <w:rPr>
          <w:rFonts w:ascii="Bookman Old Style" w:hAnsi="Bookman Old Style"/>
          <w:color w:val="000000" w:themeColor="text1"/>
        </w:rPr>
      </w:pPr>
    </w:p>
    <w:p w:rsidR="003116C2" w:rsidRPr="00B27664" w:rsidRDefault="00B27664" w:rsidP="003116C2">
      <w:pPr>
        <w:keepNext/>
        <w:keepLines/>
        <w:outlineLvl w:val="4"/>
        <w:rPr>
          <w:rFonts w:ascii="Bookman Old Style" w:eastAsiaTheme="majorEastAsia" w:hAnsi="Bookman Old Style" w:cstheme="majorBidi"/>
          <w:b/>
          <w:i/>
          <w:sz w:val="32"/>
          <w:szCs w:val="24"/>
        </w:rPr>
      </w:pPr>
      <w:r w:rsidRPr="00B27664">
        <w:rPr>
          <w:rFonts w:ascii="Bookman Old Style" w:hAnsi="Bookman Old Style"/>
          <w:noProof/>
          <w:sz w:val="28"/>
        </w:rPr>
        <w:drawing>
          <wp:anchor distT="0" distB="0" distL="114300" distR="114300" simplePos="0" relativeHeight="251671552" behindDoc="0" locked="0" layoutInCell="1" allowOverlap="1" wp14:anchorId="2C415CFD" wp14:editId="629910CD">
            <wp:simplePos x="0" y="0"/>
            <wp:positionH relativeFrom="margin">
              <wp:posOffset>3502025</wp:posOffset>
            </wp:positionH>
            <wp:positionV relativeFrom="margin">
              <wp:posOffset>419100</wp:posOffset>
            </wp:positionV>
            <wp:extent cx="2482850" cy="33337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2850" cy="3333750"/>
                    </a:xfrm>
                    <a:prstGeom prst="rect">
                      <a:avLst/>
                    </a:prstGeom>
                    <a:noFill/>
                    <a:ln>
                      <a:noFill/>
                    </a:ln>
                  </pic:spPr>
                </pic:pic>
              </a:graphicData>
            </a:graphic>
          </wp:anchor>
        </w:drawing>
      </w:r>
      <w:r w:rsidRPr="00B27664">
        <w:rPr>
          <w:rFonts w:ascii="Bookman Old Style" w:eastAsiaTheme="majorEastAsia" w:hAnsi="Bookman Old Style" w:cstheme="majorBidi"/>
          <w:b/>
          <w:i/>
          <w:sz w:val="32"/>
          <w:szCs w:val="24"/>
        </w:rPr>
        <w:t xml:space="preserve">Event </w:t>
      </w:r>
      <w:r w:rsidR="003116C2" w:rsidRPr="00B27664">
        <w:rPr>
          <w:rFonts w:ascii="Bookman Old Style" w:eastAsiaTheme="majorEastAsia" w:hAnsi="Bookman Old Style" w:cstheme="majorBidi"/>
          <w:b/>
          <w:i/>
          <w:sz w:val="32"/>
          <w:szCs w:val="24"/>
        </w:rPr>
        <w:t>Probability of Occurrence</w:t>
      </w:r>
      <w:bookmarkEnd w:id="9"/>
      <w:bookmarkEnd w:id="10"/>
    </w:p>
    <w:p w:rsidR="003116C2" w:rsidRDefault="003116C2" w:rsidP="00EA0BEF">
      <w:p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 xml:space="preserve">There are various methods for calculating the probability of occurrence.  For the purposes of this document percentage of event types were averaged over a </w:t>
      </w:r>
      <w:r w:rsidR="00240E65" w:rsidRPr="006119B5">
        <w:rPr>
          <w:rFonts w:ascii="Bookman Old Style" w:hAnsi="Bookman Old Style"/>
          <w:color w:val="000000" w:themeColor="text1"/>
        </w:rPr>
        <w:t>five-year</w:t>
      </w:r>
      <w:r w:rsidRPr="006119B5">
        <w:rPr>
          <w:rFonts w:ascii="Bookman Old Style" w:hAnsi="Bookman Old Style"/>
          <w:color w:val="000000" w:themeColor="text1"/>
        </w:rPr>
        <w:t xml:space="preserve"> time frame (2011-2015).  The event type percentage used to calculate probability of events for this deployment standard is described in the following charts.</w:t>
      </w:r>
      <w:r w:rsidR="00B27664" w:rsidRPr="00B27664">
        <w:rPr>
          <w:noProof/>
        </w:rPr>
        <w:t xml:space="preserve"> </w:t>
      </w:r>
    </w:p>
    <w:p w:rsidR="00EA0BEF" w:rsidRPr="00EA0BEF" w:rsidRDefault="00EA0BEF" w:rsidP="00EA0BEF">
      <w:pPr>
        <w:spacing w:line="240" w:lineRule="auto"/>
        <w:contextualSpacing/>
        <w:jc w:val="both"/>
        <w:rPr>
          <w:rFonts w:ascii="Bookman Old Style" w:hAnsi="Bookman Old Style"/>
          <w:color w:val="000000" w:themeColor="text1"/>
        </w:rPr>
      </w:pPr>
    </w:p>
    <w:p w:rsidR="003116C2" w:rsidRPr="006119B5" w:rsidRDefault="003116C2" w:rsidP="003116C2">
      <w:pPr>
        <w:spacing w:line="240" w:lineRule="auto"/>
        <w:contextualSpacing/>
        <w:jc w:val="both"/>
        <w:rPr>
          <w:rFonts w:ascii="Bookman Old Style" w:hAnsi="Bookman Old Style"/>
          <w:color w:val="000000" w:themeColor="text1"/>
        </w:rPr>
      </w:pPr>
      <w:r w:rsidRPr="006119B5">
        <w:rPr>
          <w:rFonts w:ascii="Bookman Old Style" w:hAnsi="Bookman Old Style"/>
          <w:color w:val="000000" w:themeColor="text1"/>
        </w:rPr>
        <w:t>Based upon the historical trends presented thus far, it is reasonable to extrapolate that calls for service will c</w:t>
      </w:r>
      <w:r w:rsidR="00430A02">
        <w:rPr>
          <w:rFonts w:ascii="Bookman Old Style" w:hAnsi="Bookman Old Style"/>
          <w:color w:val="000000" w:themeColor="text1"/>
        </w:rPr>
        <w:t>ontinue to trend upwards</w:t>
      </w:r>
      <w:r w:rsidRPr="006119B5">
        <w:rPr>
          <w:rFonts w:ascii="Bookman Old Style" w:hAnsi="Bookman Old Style"/>
          <w:color w:val="000000" w:themeColor="text1"/>
        </w:rPr>
        <w:t>.  We can assume that the event type probability will remain fairly constant, and that based upon historical, geographical and temporal analysis that the calls will continue to occur in the central corridor and northwest portions of the city and be fairly consistent with the activity level of the population.    It is also reasonable to project that the primary event categories will be EMS, Service Calls (which include lift assists, burning complaints, etc.), False/Other (which include inadvertent alarm activations, vicinity alarms, etc.) and Fires which can be sub-categorized as structural, wildland, and vehicle.</w:t>
      </w:r>
    </w:p>
    <w:p w:rsidR="003116C2" w:rsidRPr="006119B5" w:rsidRDefault="003116C2" w:rsidP="003116C2">
      <w:pPr>
        <w:spacing w:line="240" w:lineRule="auto"/>
        <w:contextualSpacing/>
        <w:jc w:val="both"/>
        <w:rPr>
          <w:rFonts w:ascii="Bookman Old Style" w:hAnsi="Bookman Old Style"/>
          <w:color w:val="000000" w:themeColor="text1"/>
        </w:rPr>
      </w:pPr>
    </w:p>
    <w:p w:rsidR="009741C1" w:rsidRPr="00112BA9" w:rsidRDefault="00B27664" w:rsidP="00112BA9">
      <w:pPr>
        <w:spacing w:line="240" w:lineRule="auto"/>
        <w:contextualSpacing/>
        <w:jc w:val="both"/>
        <w:rPr>
          <w:rFonts w:ascii="Bookman Old Style" w:hAnsi="Bookman Old Style"/>
          <w:color w:val="000000" w:themeColor="text1"/>
        </w:rPr>
      </w:pPr>
      <w:r w:rsidRPr="006119B5">
        <w:rPr>
          <w:noProof/>
        </w:rPr>
        <w:drawing>
          <wp:anchor distT="0" distB="0" distL="114300" distR="114300" simplePos="0" relativeHeight="251670528" behindDoc="0" locked="0" layoutInCell="1" allowOverlap="1" wp14:anchorId="280468C7" wp14:editId="4C345E54">
            <wp:simplePos x="0" y="0"/>
            <wp:positionH relativeFrom="margin">
              <wp:posOffset>1981200</wp:posOffset>
            </wp:positionH>
            <wp:positionV relativeFrom="margin">
              <wp:posOffset>5658485</wp:posOffset>
            </wp:positionV>
            <wp:extent cx="2219960" cy="2714625"/>
            <wp:effectExtent l="0" t="0" r="889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960" cy="2714625"/>
                    </a:xfrm>
                    <a:prstGeom prst="rect">
                      <a:avLst/>
                    </a:prstGeom>
                    <a:noFill/>
                    <a:ln>
                      <a:noFill/>
                    </a:ln>
                  </pic:spPr>
                </pic:pic>
              </a:graphicData>
            </a:graphic>
          </wp:anchor>
        </w:drawing>
      </w:r>
      <w:r w:rsidR="003116C2" w:rsidRPr="006119B5">
        <w:rPr>
          <w:rFonts w:ascii="Bookman Old Style" w:hAnsi="Bookman Old Style"/>
          <w:color w:val="000000" w:themeColor="text1"/>
        </w:rPr>
        <w:t>Calls for service utilize available resources.  This resource draw must be considered in the risk analysis.  The following chart identifies the average number of</w:t>
      </w:r>
      <w:r w:rsidR="00112BA9">
        <w:rPr>
          <w:rFonts w:ascii="Bookman Old Style" w:hAnsi="Bookman Old Style"/>
          <w:color w:val="000000" w:themeColor="text1"/>
        </w:rPr>
        <w:t xml:space="preserve"> responders to the event types.</w:t>
      </w: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Default="00B27664" w:rsidP="009741C1">
      <w:pPr>
        <w:spacing w:after="0" w:line="240" w:lineRule="auto"/>
        <w:jc w:val="center"/>
        <w:rPr>
          <w:color w:val="000000" w:themeColor="text1"/>
        </w:rPr>
      </w:pPr>
    </w:p>
    <w:p w:rsidR="00B27664" w:rsidRPr="009741C1" w:rsidRDefault="00B27664" w:rsidP="009741C1">
      <w:pPr>
        <w:spacing w:after="0" w:line="240" w:lineRule="auto"/>
        <w:jc w:val="center"/>
        <w:rPr>
          <w:color w:val="000000" w:themeColor="text1"/>
        </w:rPr>
      </w:pPr>
    </w:p>
    <w:p w:rsidR="00A46441" w:rsidRPr="00B27664" w:rsidRDefault="00A46441" w:rsidP="00A46441">
      <w:pPr>
        <w:spacing w:line="240" w:lineRule="auto"/>
        <w:contextualSpacing/>
        <w:jc w:val="both"/>
        <w:rPr>
          <w:rFonts w:ascii="Bookman Old Style" w:hAnsi="Bookman Old Style"/>
          <w:b/>
          <w:i/>
          <w:sz w:val="32"/>
        </w:rPr>
      </w:pPr>
      <w:r w:rsidRPr="00B27664">
        <w:rPr>
          <w:rFonts w:ascii="Bookman Old Style" w:hAnsi="Bookman Old Style"/>
          <w:b/>
          <w:i/>
          <w:sz w:val="32"/>
        </w:rPr>
        <w:t>Target Hazard Assessment</w:t>
      </w:r>
    </w:p>
    <w:p w:rsidR="00A46441" w:rsidRPr="006119B5" w:rsidRDefault="00A46441" w:rsidP="00A46441">
      <w:pPr>
        <w:spacing w:line="240" w:lineRule="auto"/>
        <w:contextualSpacing/>
        <w:jc w:val="both"/>
        <w:rPr>
          <w:rFonts w:ascii="Bookman Old Style" w:hAnsi="Bookman Old Style"/>
        </w:rPr>
      </w:pPr>
    </w:p>
    <w:p w:rsidR="00A46441" w:rsidRPr="006119B5" w:rsidRDefault="00A46441" w:rsidP="00A46441">
      <w:pPr>
        <w:spacing w:line="240" w:lineRule="auto"/>
        <w:contextualSpacing/>
        <w:rPr>
          <w:rFonts w:ascii="Bookman Old Style" w:hAnsi="Bookman Old Style"/>
        </w:rPr>
      </w:pPr>
      <w:r w:rsidRPr="006119B5">
        <w:rPr>
          <w:rFonts w:ascii="Bookman Old Style" w:hAnsi="Bookman Old Style"/>
        </w:rPr>
        <w:t>Target hazards are locally defined occupancies that pose specific risks to occupants and the fire service responders.  Critical infrastructure is a term used by governments to describe assets that are essential for the functioning of a society and economy.  The City of Pasco has identified several target hazards and critical infrastructures within its boundaries.  The table below identifies the number of facilities that are considered critical to the functioning of the community and/or that present a significant risk to responders or occupants.</w:t>
      </w:r>
    </w:p>
    <w:p w:rsidR="00A46441" w:rsidRPr="006119B5" w:rsidRDefault="00A46441" w:rsidP="00A46441">
      <w:pPr>
        <w:spacing w:line="240" w:lineRule="auto"/>
        <w:contextualSpacing/>
        <w:jc w:val="both"/>
        <w:rPr>
          <w:rFonts w:ascii="Bookman Old Style" w:hAnsi="Bookman Old Style"/>
        </w:rPr>
      </w:pPr>
    </w:p>
    <w:tbl>
      <w:tblPr>
        <w:tblStyle w:val="TableGrid1"/>
        <w:tblW w:w="0" w:type="auto"/>
        <w:tblLook w:val="04A0" w:firstRow="1" w:lastRow="0" w:firstColumn="1" w:lastColumn="0" w:noHBand="0" w:noVBand="1"/>
      </w:tblPr>
      <w:tblGrid>
        <w:gridCol w:w="7938"/>
        <w:gridCol w:w="1638"/>
      </w:tblGrid>
      <w:tr w:rsidR="000928E8" w:rsidRPr="000928E8" w:rsidTr="00F4618B">
        <w:tc>
          <w:tcPr>
            <w:tcW w:w="7938" w:type="dxa"/>
            <w:shd w:val="clear" w:color="auto" w:fill="BFBFBF" w:themeFill="background1" w:themeFillShade="BF"/>
          </w:tcPr>
          <w:p w:rsidR="000928E8" w:rsidRPr="000928E8" w:rsidRDefault="000928E8" w:rsidP="000928E8">
            <w:pPr>
              <w:jc w:val="center"/>
              <w:rPr>
                <w:rFonts w:ascii="Bookman Old Style" w:hAnsi="Bookman Old Style"/>
                <w:b/>
              </w:rPr>
            </w:pPr>
            <w:r w:rsidRPr="000928E8">
              <w:rPr>
                <w:rFonts w:ascii="Bookman Old Style" w:hAnsi="Bookman Old Style"/>
                <w:b/>
              </w:rPr>
              <w:t>Target Hazard/Critical Infrastructure</w:t>
            </w:r>
          </w:p>
        </w:tc>
        <w:tc>
          <w:tcPr>
            <w:tcW w:w="1638" w:type="dxa"/>
            <w:shd w:val="clear" w:color="auto" w:fill="BFBFBF" w:themeFill="background1" w:themeFillShade="BF"/>
          </w:tcPr>
          <w:p w:rsidR="000928E8" w:rsidRPr="000928E8" w:rsidRDefault="000928E8" w:rsidP="000928E8">
            <w:pPr>
              <w:jc w:val="center"/>
              <w:rPr>
                <w:rFonts w:ascii="Bookman Old Style" w:hAnsi="Bookman Old Style"/>
                <w:b/>
              </w:rPr>
            </w:pPr>
            <w:r w:rsidRPr="000928E8">
              <w:rPr>
                <w:rFonts w:ascii="Bookman Old Style" w:hAnsi="Bookman Old Style"/>
                <w:b/>
              </w:rPr>
              <w:t>Number</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Governmental Facilities – Includes local, county, federal and Port</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11</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Assisted Living Centers/Under Age Day Care</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124</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Community Shelter</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2</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Schools – includes elementary, secondary, and College</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23</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Transportation – Airports, Rail, Barge, Bus</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6</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Water/Sewage Treatment Facilities</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4</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Communications</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5</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Emergency Operations Center</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1</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Public Utilities</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2</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Hazardous Materials Bulk Storage</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5</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Healthcare (Not including Private Practice)</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2</w:t>
            </w:r>
          </w:p>
        </w:tc>
      </w:tr>
      <w:tr w:rsidR="000928E8" w:rsidRPr="000928E8" w:rsidTr="00F4618B">
        <w:tc>
          <w:tcPr>
            <w:tcW w:w="7938" w:type="dxa"/>
            <w:vAlign w:val="bottom"/>
          </w:tcPr>
          <w:p w:rsidR="000928E8" w:rsidRPr="000928E8" w:rsidRDefault="000928E8" w:rsidP="000928E8">
            <w:pPr>
              <w:rPr>
                <w:rFonts w:ascii="Bookman Old Style" w:hAnsi="Bookman Old Style"/>
              </w:rPr>
            </w:pPr>
            <w:proofErr w:type="spellStart"/>
            <w:r w:rsidRPr="000928E8">
              <w:rPr>
                <w:rFonts w:ascii="Bookman Old Style" w:hAnsi="Bookman Old Style"/>
              </w:rPr>
              <w:t>Highrise</w:t>
            </w:r>
            <w:proofErr w:type="spellEnd"/>
            <w:r w:rsidRPr="000928E8">
              <w:rPr>
                <w:rFonts w:ascii="Bookman Old Style" w:hAnsi="Bookman Old Style"/>
              </w:rPr>
              <w:t xml:space="preserve"> (75 ft. or greater)</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3</w:t>
            </w:r>
          </w:p>
        </w:tc>
      </w:tr>
      <w:tr w:rsidR="000928E8" w:rsidRPr="000928E8" w:rsidTr="00F4618B">
        <w:tc>
          <w:tcPr>
            <w:tcW w:w="7938" w:type="dxa"/>
            <w:vAlign w:val="bottom"/>
          </w:tcPr>
          <w:p w:rsidR="000928E8" w:rsidRPr="000928E8" w:rsidRDefault="000928E8" w:rsidP="000928E8">
            <w:pPr>
              <w:rPr>
                <w:rFonts w:ascii="Bookman Old Style" w:hAnsi="Bookman Old Style"/>
              </w:rPr>
            </w:pPr>
            <w:r w:rsidRPr="000928E8">
              <w:rPr>
                <w:rFonts w:ascii="Bookman Old Style" w:hAnsi="Bookman Old Style"/>
              </w:rPr>
              <w:t>Multi-Family Residential</w:t>
            </w:r>
          </w:p>
        </w:tc>
        <w:tc>
          <w:tcPr>
            <w:tcW w:w="1638" w:type="dxa"/>
            <w:vAlign w:val="bottom"/>
          </w:tcPr>
          <w:p w:rsidR="000928E8" w:rsidRPr="000928E8" w:rsidRDefault="000928E8" w:rsidP="000928E8">
            <w:pPr>
              <w:jc w:val="right"/>
              <w:rPr>
                <w:rFonts w:ascii="Bookman Old Style" w:hAnsi="Bookman Old Style"/>
              </w:rPr>
            </w:pPr>
            <w:r w:rsidRPr="000928E8">
              <w:rPr>
                <w:rFonts w:ascii="Bookman Old Style" w:hAnsi="Bookman Old Style"/>
              </w:rPr>
              <w:t>430</w:t>
            </w:r>
          </w:p>
        </w:tc>
      </w:tr>
    </w:tbl>
    <w:p w:rsidR="00A46441" w:rsidRPr="006119B5" w:rsidRDefault="00A46441" w:rsidP="000928E8">
      <w:pPr>
        <w:spacing w:after="0" w:line="240" w:lineRule="auto"/>
        <w:rPr>
          <w:rFonts w:ascii="Bookman Old Style" w:hAnsi="Bookman Old Style"/>
        </w:rPr>
      </w:pPr>
    </w:p>
    <w:p w:rsidR="00A46441" w:rsidRDefault="00A46441" w:rsidP="00A46441">
      <w:pPr>
        <w:spacing w:line="240" w:lineRule="auto"/>
        <w:contextualSpacing/>
        <w:jc w:val="both"/>
        <w:rPr>
          <w:rFonts w:ascii="Bookman Old Style" w:hAnsi="Bookman Old Style"/>
        </w:rPr>
      </w:pPr>
      <w:r w:rsidRPr="006119B5">
        <w:rPr>
          <w:rFonts w:ascii="Bookman Old Style" w:hAnsi="Bookman Old Style"/>
        </w:rPr>
        <w:t xml:space="preserve">Single family residential units represent the highest percentage of buildings </w:t>
      </w:r>
      <w:r w:rsidR="00DE10C9">
        <w:rPr>
          <w:rFonts w:ascii="Bookman Old Style" w:hAnsi="Bookman Old Style"/>
        </w:rPr>
        <w:t>within the City of Pasco (16,715</w:t>
      </w:r>
      <w:r w:rsidRPr="006119B5">
        <w:rPr>
          <w:rFonts w:ascii="Bookman Old Style" w:hAnsi="Bookman Old Style"/>
        </w:rPr>
        <w:t xml:space="preserve">).  </w:t>
      </w:r>
      <w:r w:rsidR="00230449">
        <w:rPr>
          <w:rFonts w:ascii="Bookman Old Style" w:hAnsi="Bookman Old Style"/>
        </w:rPr>
        <w:t xml:space="preserve">There are 430 multi-family residences located within the City. </w:t>
      </w:r>
      <w:r w:rsidRPr="006119B5">
        <w:rPr>
          <w:rFonts w:ascii="Bookman Old Style" w:hAnsi="Bookman Old Style"/>
        </w:rPr>
        <w:t>The City of Pasco has issued an average of 2600 building permits over the last five years (2011-2016) and most of the building permits have been for single family residential units.</w:t>
      </w: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Default="00EA0BEF" w:rsidP="00A46441">
      <w:pPr>
        <w:spacing w:line="240" w:lineRule="auto"/>
        <w:contextualSpacing/>
        <w:jc w:val="both"/>
        <w:rPr>
          <w:rFonts w:ascii="Bookman Old Style" w:hAnsi="Bookman Old Style"/>
        </w:rPr>
      </w:pPr>
    </w:p>
    <w:p w:rsidR="00EA0BEF" w:rsidRPr="006119B5" w:rsidRDefault="00EA0BEF" w:rsidP="00A46441">
      <w:pPr>
        <w:spacing w:line="240" w:lineRule="auto"/>
        <w:contextualSpacing/>
        <w:jc w:val="both"/>
        <w:rPr>
          <w:rFonts w:ascii="Bookman Old Style" w:hAnsi="Bookman Old Style"/>
        </w:rPr>
      </w:pPr>
    </w:p>
    <w:p w:rsidR="00A46441" w:rsidRPr="006119B5" w:rsidRDefault="00A46441" w:rsidP="00A46441">
      <w:pPr>
        <w:spacing w:after="0" w:line="240" w:lineRule="auto"/>
        <w:rPr>
          <w:rFonts w:ascii="Bookman Old Style" w:hAnsi="Bookman Old Style"/>
        </w:rPr>
      </w:pPr>
    </w:p>
    <w:p w:rsidR="005A6F5E" w:rsidRPr="00B27664" w:rsidRDefault="005A6F5E" w:rsidP="005A6F5E">
      <w:pPr>
        <w:jc w:val="both"/>
        <w:rPr>
          <w:rFonts w:ascii="Bookman Old Style" w:hAnsi="Bookman Old Style"/>
          <w:b/>
          <w:bCs/>
          <w:i/>
          <w:sz w:val="28"/>
        </w:rPr>
      </w:pPr>
      <w:r w:rsidRPr="00B27664">
        <w:rPr>
          <w:rFonts w:ascii="Bookman Old Style" w:hAnsi="Bookman Old Style"/>
          <w:b/>
          <w:bCs/>
          <w:i/>
          <w:sz w:val="28"/>
        </w:rPr>
        <w:t>Community Risk Priorities</w:t>
      </w:r>
    </w:p>
    <w:p w:rsidR="006119B5" w:rsidRPr="00B27664" w:rsidRDefault="005A6F5E" w:rsidP="005A6F5E">
      <w:pPr>
        <w:jc w:val="both"/>
        <w:rPr>
          <w:rFonts w:ascii="Bookman Old Style" w:hAnsi="Bookman Old Style"/>
        </w:rPr>
      </w:pPr>
      <w:r w:rsidRPr="00B27664">
        <w:rPr>
          <w:rFonts w:ascii="Bookman Old Style" w:hAnsi="Bookman Old Style"/>
        </w:rPr>
        <w:t xml:space="preserve">Based on the assessment of incident and demographic data from </w:t>
      </w:r>
      <w:r w:rsidR="00FD135E" w:rsidRPr="00B27664">
        <w:rPr>
          <w:rFonts w:ascii="Bookman Old Style" w:hAnsi="Bookman Old Style"/>
        </w:rPr>
        <w:t>t</w:t>
      </w:r>
      <w:r w:rsidR="00EA0BEF" w:rsidRPr="00B27664">
        <w:rPr>
          <w:rFonts w:ascii="Bookman Old Style" w:hAnsi="Bookman Old Style"/>
        </w:rPr>
        <w:t>he last ten years</w:t>
      </w:r>
      <w:r w:rsidRPr="00B27664">
        <w:rPr>
          <w:rFonts w:ascii="Bookman Old Style" w:hAnsi="Bookman Old Style"/>
        </w:rPr>
        <w:t xml:space="preserve"> the top </w:t>
      </w:r>
      <w:r w:rsidR="0073619B" w:rsidRPr="00B27664">
        <w:rPr>
          <w:rFonts w:ascii="Bookman Old Style" w:hAnsi="Bookman Old Style"/>
        </w:rPr>
        <w:t xml:space="preserve">three </w:t>
      </w:r>
      <w:r w:rsidRPr="00B27664">
        <w:rPr>
          <w:rFonts w:ascii="Bookman Old Style" w:hAnsi="Bookman Old Style"/>
        </w:rPr>
        <w:t>priorities for community risk have been identified. These are potential risks</w:t>
      </w:r>
      <w:r w:rsidR="00025E09" w:rsidRPr="00B27664">
        <w:rPr>
          <w:rFonts w:ascii="Bookman Old Style" w:hAnsi="Bookman Old Style"/>
        </w:rPr>
        <w:t xml:space="preserve"> and community impacts</w:t>
      </w:r>
      <w:r w:rsidRPr="00B27664">
        <w:rPr>
          <w:rFonts w:ascii="Bookman Old Style" w:hAnsi="Bookman Old Style"/>
        </w:rPr>
        <w:t xml:space="preserve"> that can ultimately be </w:t>
      </w:r>
      <w:r w:rsidR="00EA0BEF" w:rsidRPr="00B27664">
        <w:rPr>
          <w:rFonts w:ascii="Bookman Old Style" w:hAnsi="Bookman Old Style"/>
        </w:rPr>
        <w:t>reduced/</w:t>
      </w:r>
      <w:r w:rsidRPr="00B27664">
        <w:rPr>
          <w:rFonts w:ascii="Bookman Old Style" w:hAnsi="Bookman Old Style"/>
        </w:rPr>
        <w:t xml:space="preserve">mitigated through </w:t>
      </w:r>
      <w:r w:rsidR="00FD135E" w:rsidRPr="00B27664">
        <w:rPr>
          <w:rFonts w:ascii="Bookman Old Style" w:hAnsi="Bookman Old Style"/>
        </w:rPr>
        <w:t xml:space="preserve">the implementation of </w:t>
      </w:r>
      <w:r w:rsidRPr="00B27664">
        <w:rPr>
          <w:rFonts w:ascii="Bookman Old Style" w:hAnsi="Bookman Old Style"/>
        </w:rPr>
        <w:t>various strategies; which will be addressed through a comprehensive community risk reduction plan.</w:t>
      </w:r>
    </w:p>
    <w:p w:rsidR="005A6F5E" w:rsidRPr="00B27664" w:rsidRDefault="005A6F5E" w:rsidP="005A6F5E">
      <w:pPr>
        <w:jc w:val="both"/>
        <w:rPr>
          <w:rFonts w:ascii="Bookman Old Style" w:hAnsi="Bookman Old Style"/>
          <w:b/>
        </w:rPr>
      </w:pPr>
      <w:r w:rsidRPr="00B27664">
        <w:rPr>
          <w:rFonts w:ascii="Bookman Old Style" w:hAnsi="Bookman Old Style"/>
          <w:b/>
        </w:rPr>
        <w:t>Risk One – Cooking Fires</w:t>
      </w:r>
    </w:p>
    <w:p w:rsidR="00ED07E2" w:rsidRPr="00B27664" w:rsidRDefault="005A6F5E" w:rsidP="005A6F5E">
      <w:pPr>
        <w:jc w:val="both"/>
        <w:rPr>
          <w:rFonts w:ascii="Bookman Old Style" w:hAnsi="Bookman Old Style"/>
        </w:rPr>
      </w:pPr>
      <w:r w:rsidRPr="00B27664">
        <w:rPr>
          <w:rFonts w:ascii="Bookman Old Style" w:hAnsi="Bookman Old Style"/>
        </w:rPr>
        <w:t xml:space="preserve">The number one fire risk based on </w:t>
      </w:r>
      <w:r w:rsidR="00FD135E" w:rsidRPr="00B27664">
        <w:rPr>
          <w:rFonts w:ascii="Bookman Old Style" w:hAnsi="Bookman Old Style"/>
        </w:rPr>
        <w:t xml:space="preserve">probability and impact to the community, </w:t>
      </w:r>
      <w:r w:rsidRPr="00B27664">
        <w:rPr>
          <w:rFonts w:ascii="Bookman Old Style" w:hAnsi="Bookman Old Style"/>
        </w:rPr>
        <w:t xml:space="preserve">is cooking related fires. Many these calls were confined to the kitchen area. However, in residences without smoke alarms or incidents were the occupant had left the cooking </w:t>
      </w:r>
      <w:proofErr w:type="gramStart"/>
      <w:r w:rsidRPr="00B27664">
        <w:rPr>
          <w:rFonts w:ascii="Bookman Old Style" w:hAnsi="Bookman Old Style"/>
        </w:rPr>
        <w:t>area,</w:t>
      </w:r>
      <w:proofErr w:type="gramEnd"/>
      <w:r w:rsidRPr="00B27664">
        <w:rPr>
          <w:rFonts w:ascii="Bookman Old Style" w:hAnsi="Bookman Old Style"/>
        </w:rPr>
        <w:t xml:space="preserve"> there was a much higher </w:t>
      </w:r>
      <w:r w:rsidR="00FD135E" w:rsidRPr="00B27664">
        <w:rPr>
          <w:rFonts w:ascii="Bookman Old Style" w:hAnsi="Bookman Old Style"/>
        </w:rPr>
        <w:t xml:space="preserve">magnitude of </w:t>
      </w:r>
      <w:r w:rsidRPr="00B27664">
        <w:rPr>
          <w:rFonts w:ascii="Bookman Old Style" w:hAnsi="Bookman Old Style"/>
        </w:rPr>
        <w:t xml:space="preserve">damage to the occupancy. </w:t>
      </w:r>
      <w:r w:rsidR="00ED07E2" w:rsidRPr="00B27664">
        <w:rPr>
          <w:rFonts w:ascii="Bookman Old Style" w:hAnsi="Bookman Old Style"/>
        </w:rPr>
        <w:t>It s</w:t>
      </w:r>
      <w:r w:rsidR="00025E09" w:rsidRPr="00B27664">
        <w:rPr>
          <w:rFonts w:ascii="Bookman Old Style" w:hAnsi="Bookman Old Style"/>
        </w:rPr>
        <w:t>hould be noted that this confirms</w:t>
      </w:r>
      <w:r w:rsidR="008779E7" w:rsidRPr="00B27664">
        <w:rPr>
          <w:rFonts w:ascii="Bookman Old Style" w:hAnsi="Bookman Old Style"/>
        </w:rPr>
        <w:t xml:space="preserve"> the national statistics, in which kitchen fires statistically lead</w:t>
      </w:r>
      <w:r w:rsidR="00ED07E2" w:rsidRPr="00B27664">
        <w:rPr>
          <w:rFonts w:ascii="Bookman Old Style" w:hAnsi="Bookman Old Style"/>
        </w:rPr>
        <w:t xml:space="preserve"> the nation for fire resp</w:t>
      </w:r>
      <w:r w:rsidR="008779E7" w:rsidRPr="00B27664">
        <w:rPr>
          <w:rFonts w:ascii="Bookman Old Style" w:hAnsi="Bookman Old Style"/>
        </w:rPr>
        <w:t>onses.</w:t>
      </w:r>
      <w:r w:rsidR="00ED07E2" w:rsidRPr="00B27664">
        <w:rPr>
          <w:rFonts w:ascii="Bookman Old Style" w:hAnsi="Bookman Old Style"/>
        </w:rPr>
        <w:t xml:space="preserve"> </w:t>
      </w:r>
    </w:p>
    <w:p w:rsidR="00ED07E2" w:rsidRPr="00B27664" w:rsidRDefault="008779E7" w:rsidP="005A6F5E">
      <w:pPr>
        <w:jc w:val="both"/>
        <w:rPr>
          <w:rFonts w:ascii="Bookman Old Style" w:hAnsi="Bookman Old Style"/>
        </w:rPr>
      </w:pPr>
      <w:r w:rsidRPr="00B27664">
        <w:rPr>
          <w:rFonts w:ascii="Bookman Old Style" w:hAnsi="Bookman Old Style"/>
        </w:rPr>
        <w:t>In Pasco, a</w:t>
      </w:r>
      <w:r w:rsidR="00ED07E2" w:rsidRPr="00B27664">
        <w:rPr>
          <w:rFonts w:ascii="Bookman Old Style" w:hAnsi="Bookman Old Style"/>
        </w:rPr>
        <w:t xml:space="preserve"> disproportionate number of </w:t>
      </w:r>
      <w:r w:rsidRPr="00B27664">
        <w:rPr>
          <w:rFonts w:ascii="Bookman Old Style" w:hAnsi="Bookman Old Style"/>
        </w:rPr>
        <w:t xml:space="preserve">cooking </w:t>
      </w:r>
      <w:r w:rsidR="00ED07E2" w:rsidRPr="00B27664">
        <w:rPr>
          <w:rFonts w:ascii="Bookman Old Style" w:hAnsi="Bookman Old Style"/>
        </w:rPr>
        <w:t>fires happened in multi-family housing</w:t>
      </w:r>
      <w:r w:rsidR="00FD135E" w:rsidRPr="00B27664">
        <w:rPr>
          <w:rFonts w:ascii="Bookman Old Style" w:hAnsi="Bookman Old Style"/>
        </w:rPr>
        <w:t xml:space="preserve"> as compared to single family residences</w:t>
      </w:r>
      <w:r w:rsidR="00ED07E2" w:rsidRPr="00B27664">
        <w:rPr>
          <w:rFonts w:ascii="Bookman Old Style" w:hAnsi="Bookman Old Style"/>
        </w:rPr>
        <w:t xml:space="preserve">.  </w:t>
      </w:r>
      <w:r w:rsidR="00D345A9" w:rsidRPr="00B27664">
        <w:rPr>
          <w:rFonts w:ascii="Bookman Old Style" w:hAnsi="Bookman Old Style"/>
        </w:rPr>
        <w:t>Data from the last ten years suggests that t</w:t>
      </w:r>
      <w:r w:rsidR="00ED07E2" w:rsidRPr="00B27664">
        <w:rPr>
          <w:rFonts w:ascii="Bookman Old Style" w:hAnsi="Bookman Old Style"/>
        </w:rPr>
        <w:t xml:space="preserve">hirty </w:t>
      </w:r>
      <w:r w:rsidR="00D345A9" w:rsidRPr="00B27664">
        <w:rPr>
          <w:rFonts w:ascii="Bookman Old Style" w:hAnsi="Bookman Old Style"/>
        </w:rPr>
        <w:t xml:space="preserve">percent of </w:t>
      </w:r>
      <w:r w:rsidR="00ED07E2" w:rsidRPr="00B27664">
        <w:rPr>
          <w:rFonts w:ascii="Bookman Old Style" w:hAnsi="Bookman Old Style"/>
        </w:rPr>
        <w:t>fire call</w:t>
      </w:r>
      <w:r w:rsidR="005E5617" w:rsidRPr="00B27664">
        <w:rPr>
          <w:rFonts w:ascii="Bookman Old Style" w:hAnsi="Bookman Old Style"/>
        </w:rPr>
        <w:t xml:space="preserve">s </w:t>
      </w:r>
      <w:r w:rsidR="009F1F35" w:rsidRPr="00B27664">
        <w:rPr>
          <w:rFonts w:ascii="Bookman Old Style" w:hAnsi="Bookman Old Style"/>
        </w:rPr>
        <w:t>involved</w:t>
      </w:r>
      <w:r w:rsidR="005E5617" w:rsidRPr="00B27664">
        <w:rPr>
          <w:rFonts w:ascii="Bookman Old Style" w:hAnsi="Bookman Old Style"/>
        </w:rPr>
        <w:t xml:space="preserve"> multi-family housing, and for forty-five percent of our cooking fires.  </w:t>
      </w:r>
    </w:p>
    <w:p w:rsidR="005E5617" w:rsidRPr="00B27664" w:rsidRDefault="00D345A9" w:rsidP="005A6F5E">
      <w:pPr>
        <w:jc w:val="both"/>
        <w:rPr>
          <w:rFonts w:ascii="Bookman Old Style" w:hAnsi="Bookman Old Style"/>
          <w:b/>
        </w:rPr>
      </w:pPr>
      <w:r w:rsidRPr="00B27664">
        <w:rPr>
          <w:rFonts w:ascii="Bookman Old Style" w:hAnsi="Bookman Old Style"/>
          <w:b/>
        </w:rPr>
        <w:t xml:space="preserve">Risk Two- EMS calls for Slip, Trip, and </w:t>
      </w:r>
      <w:proofErr w:type="gramStart"/>
      <w:r w:rsidRPr="00B27664">
        <w:rPr>
          <w:rFonts w:ascii="Bookman Old Style" w:hAnsi="Bookman Old Style"/>
          <w:b/>
        </w:rPr>
        <w:t>Falls</w:t>
      </w:r>
      <w:proofErr w:type="gramEnd"/>
      <w:r w:rsidR="005E5617" w:rsidRPr="00B27664">
        <w:rPr>
          <w:rFonts w:ascii="Bookman Old Style" w:hAnsi="Bookman Old Style"/>
          <w:b/>
        </w:rPr>
        <w:t xml:space="preserve"> </w:t>
      </w:r>
    </w:p>
    <w:p w:rsidR="005A6F5E" w:rsidRPr="00B27664" w:rsidRDefault="009F1F35" w:rsidP="005A6F5E">
      <w:pPr>
        <w:jc w:val="both"/>
        <w:rPr>
          <w:rFonts w:ascii="Bookman Old Style" w:hAnsi="Bookman Old Style"/>
        </w:rPr>
      </w:pPr>
      <w:r w:rsidRPr="00B27664">
        <w:rPr>
          <w:rFonts w:ascii="Bookman Old Style" w:hAnsi="Bookman Old Style"/>
        </w:rPr>
        <w:t>T</w:t>
      </w:r>
      <w:r w:rsidR="004A5F2D" w:rsidRPr="00B27664">
        <w:rPr>
          <w:rFonts w:ascii="Bookman Old Style" w:hAnsi="Bookman Old Style"/>
        </w:rPr>
        <w:t xml:space="preserve">he data </w:t>
      </w:r>
      <w:r w:rsidRPr="00B27664">
        <w:rPr>
          <w:rFonts w:ascii="Bookman Old Style" w:hAnsi="Bookman Old Style"/>
        </w:rPr>
        <w:t>indicates that</w:t>
      </w:r>
      <w:r w:rsidR="004A5F2D" w:rsidRPr="00B27664">
        <w:rPr>
          <w:rFonts w:ascii="Bookman Old Style" w:hAnsi="Bookman Old Style"/>
        </w:rPr>
        <w:t xml:space="preserve"> severa</w:t>
      </w:r>
      <w:r w:rsidR="00D345A9" w:rsidRPr="00B27664">
        <w:rPr>
          <w:rFonts w:ascii="Bookman Old Style" w:hAnsi="Bookman Old Style"/>
        </w:rPr>
        <w:t xml:space="preserve">l </w:t>
      </w:r>
      <w:r w:rsidR="0073619B" w:rsidRPr="00B27664">
        <w:rPr>
          <w:rFonts w:ascii="Bookman Old Style" w:hAnsi="Bookman Old Style"/>
        </w:rPr>
        <w:t xml:space="preserve">event </w:t>
      </w:r>
      <w:r w:rsidR="00D345A9" w:rsidRPr="00B27664">
        <w:rPr>
          <w:rFonts w:ascii="Bookman Old Style" w:hAnsi="Bookman Old Style"/>
        </w:rPr>
        <w:t xml:space="preserve">categories </w:t>
      </w:r>
      <w:r w:rsidRPr="00B27664">
        <w:rPr>
          <w:rFonts w:ascii="Bookman Old Style" w:hAnsi="Bookman Old Style"/>
        </w:rPr>
        <w:t>represent</w:t>
      </w:r>
      <w:r w:rsidR="004A5F2D" w:rsidRPr="00B27664">
        <w:rPr>
          <w:rFonts w:ascii="Bookman Old Style" w:hAnsi="Bookman Old Style"/>
        </w:rPr>
        <w:t xml:space="preserve"> </w:t>
      </w:r>
      <w:r w:rsidRPr="00B27664">
        <w:rPr>
          <w:rFonts w:ascii="Bookman Old Style" w:hAnsi="Bookman Old Style"/>
        </w:rPr>
        <w:t xml:space="preserve">a </w:t>
      </w:r>
      <w:r w:rsidR="00D345A9" w:rsidRPr="00B27664">
        <w:rPr>
          <w:rFonts w:ascii="Bookman Old Style" w:hAnsi="Bookman Old Style"/>
        </w:rPr>
        <w:t xml:space="preserve">high percentage of the total </w:t>
      </w:r>
      <w:r w:rsidR="0073619B" w:rsidRPr="00B27664">
        <w:rPr>
          <w:rFonts w:ascii="Bookman Old Style" w:hAnsi="Bookman Old Style"/>
        </w:rPr>
        <w:t xml:space="preserve">EMS </w:t>
      </w:r>
      <w:r w:rsidR="00D345A9" w:rsidRPr="00B27664">
        <w:rPr>
          <w:rFonts w:ascii="Bookman Old Style" w:hAnsi="Bookman Old Style"/>
        </w:rPr>
        <w:t>call volume. However,</w:t>
      </w:r>
      <w:r w:rsidR="004A5F2D" w:rsidRPr="00B27664">
        <w:rPr>
          <w:rFonts w:ascii="Bookman Old Style" w:hAnsi="Bookman Old Style"/>
        </w:rPr>
        <w:t xml:space="preserve"> most of these categories are very </w:t>
      </w:r>
      <w:r w:rsidR="00D345A9" w:rsidRPr="00B27664">
        <w:rPr>
          <w:rFonts w:ascii="Bookman Old Style" w:hAnsi="Bookman Old Style"/>
        </w:rPr>
        <w:t xml:space="preserve">broad and </w:t>
      </w:r>
      <w:r w:rsidR="004A5F2D" w:rsidRPr="00B27664">
        <w:rPr>
          <w:rFonts w:ascii="Bookman Old Style" w:hAnsi="Bookman Old Style"/>
        </w:rPr>
        <w:t>general</w:t>
      </w:r>
      <w:r w:rsidR="005C1BD2" w:rsidRPr="00B27664">
        <w:rPr>
          <w:rFonts w:ascii="Bookman Old Style" w:hAnsi="Bookman Old Style"/>
        </w:rPr>
        <w:t>ized</w:t>
      </w:r>
      <w:r w:rsidRPr="00B27664">
        <w:rPr>
          <w:rFonts w:ascii="Bookman Old Style" w:hAnsi="Bookman Old Style"/>
        </w:rPr>
        <w:t xml:space="preserve"> </w:t>
      </w:r>
      <w:r w:rsidR="00D345A9" w:rsidRPr="00B27664">
        <w:rPr>
          <w:rFonts w:ascii="Bookman Old Style" w:hAnsi="Bookman Old Style"/>
        </w:rPr>
        <w:t xml:space="preserve">for example; </w:t>
      </w:r>
      <w:r w:rsidR="008779E7" w:rsidRPr="00B27664">
        <w:rPr>
          <w:rFonts w:ascii="Bookman Old Style" w:hAnsi="Bookman Old Style"/>
        </w:rPr>
        <w:t>sick or</w:t>
      </w:r>
      <w:r w:rsidR="00D345A9" w:rsidRPr="00B27664">
        <w:rPr>
          <w:rFonts w:ascii="Bookman Old Style" w:hAnsi="Bookman Old Style"/>
        </w:rPr>
        <w:t xml:space="preserve"> breathing problems</w:t>
      </w:r>
      <w:r w:rsidRPr="00B27664">
        <w:rPr>
          <w:rFonts w:ascii="Bookman Old Style" w:hAnsi="Bookman Old Style"/>
        </w:rPr>
        <w:t xml:space="preserve">.  </w:t>
      </w:r>
      <w:r w:rsidR="008779E7" w:rsidRPr="00B27664">
        <w:rPr>
          <w:rFonts w:ascii="Bookman Old Style" w:hAnsi="Bookman Old Style"/>
        </w:rPr>
        <w:t>I</w:t>
      </w:r>
      <w:r w:rsidR="00BE2524" w:rsidRPr="00B27664">
        <w:rPr>
          <w:rFonts w:ascii="Bookman Old Style" w:hAnsi="Bookman Old Style"/>
        </w:rPr>
        <w:t>t</w:t>
      </w:r>
      <w:r w:rsidR="008779E7" w:rsidRPr="00B27664">
        <w:rPr>
          <w:rFonts w:ascii="Bookman Old Style" w:hAnsi="Bookman Old Style"/>
        </w:rPr>
        <w:t xml:space="preserve"> is difficult</w:t>
      </w:r>
      <w:r w:rsidR="009579E2" w:rsidRPr="00B27664">
        <w:rPr>
          <w:rFonts w:ascii="Bookman Old Style" w:hAnsi="Bookman Old Style"/>
        </w:rPr>
        <w:t xml:space="preserve"> to develop</w:t>
      </w:r>
      <w:r w:rsidR="008779E7" w:rsidRPr="00B27664">
        <w:rPr>
          <w:rFonts w:ascii="Bookman Old Style" w:hAnsi="Bookman Old Style"/>
        </w:rPr>
        <w:t xml:space="preserve"> a plan for reducing these event types</w:t>
      </w:r>
      <w:r w:rsidR="009579E2" w:rsidRPr="00B27664">
        <w:rPr>
          <w:rFonts w:ascii="Bookman Old Style" w:hAnsi="Bookman Old Style"/>
        </w:rPr>
        <w:t xml:space="preserve">.  The category of falls can be </w:t>
      </w:r>
      <w:r w:rsidR="008779E7" w:rsidRPr="00B27664">
        <w:rPr>
          <w:rFonts w:ascii="Bookman Old Style" w:hAnsi="Bookman Old Style"/>
        </w:rPr>
        <w:t xml:space="preserve">successfully </w:t>
      </w:r>
      <w:r w:rsidR="009579E2" w:rsidRPr="00B27664">
        <w:rPr>
          <w:rFonts w:ascii="Bookman Old Style" w:hAnsi="Bookman Old Style"/>
        </w:rPr>
        <w:t>addressed.</w:t>
      </w:r>
    </w:p>
    <w:p w:rsidR="00AD4516" w:rsidRPr="00B27664" w:rsidRDefault="00D345A9" w:rsidP="005A6F5E">
      <w:pPr>
        <w:jc w:val="both"/>
        <w:rPr>
          <w:rFonts w:ascii="Bookman Old Style" w:hAnsi="Bookman Old Style"/>
          <w:b/>
        </w:rPr>
      </w:pPr>
      <w:r w:rsidRPr="00B27664">
        <w:rPr>
          <w:rFonts w:ascii="Bookman Old Style" w:hAnsi="Bookman Old Style"/>
          <w:b/>
        </w:rPr>
        <w:t>Risk Three</w:t>
      </w:r>
      <w:r w:rsidR="00AD4516" w:rsidRPr="00B27664">
        <w:rPr>
          <w:rFonts w:ascii="Bookman Old Style" w:hAnsi="Bookman Old Style"/>
          <w:b/>
        </w:rPr>
        <w:t xml:space="preserve">- Ems Category </w:t>
      </w:r>
      <w:r w:rsidR="00BE2524" w:rsidRPr="00B27664">
        <w:rPr>
          <w:rFonts w:ascii="Bookman Old Style" w:hAnsi="Bookman Old Style"/>
          <w:b/>
        </w:rPr>
        <w:t>“</w:t>
      </w:r>
      <w:r w:rsidR="00AD4516" w:rsidRPr="00B27664">
        <w:rPr>
          <w:rFonts w:ascii="Bookman Old Style" w:hAnsi="Bookman Old Style"/>
          <w:b/>
        </w:rPr>
        <w:t>Not Applicable</w:t>
      </w:r>
      <w:r w:rsidR="00BE2524" w:rsidRPr="00B27664">
        <w:rPr>
          <w:rFonts w:ascii="Bookman Old Style" w:hAnsi="Bookman Old Style"/>
          <w:b/>
        </w:rPr>
        <w:t>”</w:t>
      </w:r>
    </w:p>
    <w:p w:rsidR="008779E7" w:rsidRPr="00B27664" w:rsidRDefault="00AD4516" w:rsidP="005A6F5E">
      <w:pPr>
        <w:jc w:val="both"/>
        <w:rPr>
          <w:rFonts w:ascii="Bookman Old Style" w:hAnsi="Bookman Old Style"/>
        </w:rPr>
      </w:pPr>
      <w:r w:rsidRPr="00B27664">
        <w:rPr>
          <w:rFonts w:ascii="Bookman Old Style" w:hAnsi="Bookman Old Style"/>
        </w:rPr>
        <w:t>It may seem odd for a category of Not Applicable to be a risk to a community. However as noted i</w:t>
      </w:r>
      <w:r w:rsidR="009860F7" w:rsidRPr="00B27664">
        <w:rPr>
          <w:rFonts w:ascii="Bookman Old Style" w:hAnsi="Bookman Old Style"/>
        </w:rPr>
        <w:t>n s</w:t>
      </w:r>
      <w:r w:rsidR="00546664" w:rsidRPr="00B27664">
        <w:rPr>
          <w:rFonts w:ascii="Bookman Old Style" w:hAnsi="Bookman Old Style"/>
        </w:rPr>
        <w:t>everal places in this report, t</w:t>
      </w:r>
      <w:r w:rsidRPr="00B27664">
        <w:rPr>
          <w:rFonts w:ascii="Bookman Old Style" w:hAnsi="Bookman Old Style"/>
        </w:rPr>
        <w:t>he number of calls for service are increasing every year</w:t>
      </w:r>
      <w:r w:rsidR="009860F7" w:rsidRPr="00B27664">
        <w:rPr>
          <w:rFonts w:ascii="Bookman Old Style" w:hAnsi="Bookman Old Style"/>
        </w:rPr>
        <w:t xml:space="preserve"> and </w:t>
      </w:r>
      <w:r w:rsidR="0073619B" w:rsidRPr="00B27664">
        <w:rPr>
          <w:rFonts w:ascii="Bookman Old Style" w:hAnsi="Bookman Old Style"/>
        </w:rPr>
        <w:t xml:space="preserve">if not addressed, </w:t>
      </w:r>
      <w:r w:rsidR="009860F7" w:rsidRPr="00B27664">
        <w:rPr>
          <w:rFonts w:ascii="Bookman Old Style" w:hAnsi="Bookman Old Style"/>
        </w:rPr>
        <w:t xml:space="preserve">we can expect the percentage of </w:t>
      </w:r>
      <w:r w:rsidR="00546664" w:rsidRPr="00B27664">
        <w:rPr>
          <w:rFonts w:ascii="Bookman Old Style" w:hAnsi="Bookman Old Style"/>
        </w:rPr>
        <w:t>“not applicable”</w:t>
      </w:r>
      <w:r w:rsidR="009860F7" w:rsidRPr="00B27664">
        <w:rPr>
          <w:rFonts w:ascii="Bookman Old Style" w:hAnsi="Bookman Old Style"/>
        </w:rPr>
        <w:t xml:space="preserve"> to </w:t>
      </w:r>
      <w:r w:rsidR="0073619B" w:rsidRPr="00B27664">
        <w:rPr>
          <w:rFonts w:ascii="Bookman Old Style" w:hAnsi="Bookman Old Style"/>
        </w:rPr>
        <w:t>increase as well</w:t>
      </w:r>
      <w:r w:rsidR="00546664" w:rsidRPr="00B27664">
        <w:rPr>
          <w:rFonts w:ascii="Bookman Old Style" w:hAnsi="Bookman Old Style"/>
        </w:rPr>
        <w:t xml:space="preserve">. </w:t>
      </w:r>
    </w:p>
    <w:p w:rsidR="006957A6" w:rsidRPr="00B27664" w:rsidRDefault="006957A6" w:rsidP="005A6F5E">
      <w:pPr>
        <w:jc w:val="both"/>
        <w:rPr>
          <w:rFonts w:ascii="Bookman Old Style" w:hAnsi="Bookman Old Style"/>
        </w:rPr>
      </w:pPr>
      <w:r w:rsidRPr="00B27664">
        <w:rPr>
          <w:rFonts w:ascii="Bookman Old Style" w:hAnsi="Bookman Old Style"/>
        </w:rPr>
        <w:t>Without reliable and quantifiable data potential issues are not identified and systemic inefficiencies and effectiveness are not measured.  This will result in increased costs and lost opportunities.  The importance of insuring quality data cannot be over-emphasized.</w:t>
      </w:r>
    </w:p>
    <w:p w:rsidR="006957A6" w:rsidRDefault="006957A6" w:rsidP="005A6F5E">
      <w:pPr>
        <w:jc w:val="both"/>
        <w:rPr>
          <w:rFonts w:ascii="Bookman Old Style" w:hAnsi="Bookman Old Style"/>
        </w:rPr>
      </w:pPr>
    </w:p>
    <w:p w:rsidR="006957A6" w:rsidRDefault="006957A6" w:rsidP="005A6F5E">
      <w:pPr>
        <w:jc w:val="both"/>
        <w:rPr>
          <w:rFonts w:ascii="Bookman Old Style" w:hAnsi="Bookman Old Style"/>
        </w:rPr>
      </w:pPr>
    </w:p>
    <w:p w:rsidR="008779E7" w:rsidRDefault="008779E7" w:rsidP="005A6F5E">
      <w:pPr>
        <w:jc w:val="both"/>
        <w:rPr>
          <w:rFonts w:ascii="Bookman Old Style" w:hAnsi="Bookman Old Style"/>
        </w:rPr>
      </w:pPr>
    </w:p>
    <w:p w:rsidR="00017B16" w:rsidRPr="00B27664" w:rsidRDefault="00017B16" w:rsidP="005A6F5E">
      <w:pPr>
        <w:jc w:val="both"/>
        <w:rPr>
          <w:rFonts w:ascii="Bookman Old Style" w:hAnsi="Bookman Old Style"/>
          <w:b/>
          <w:i/>
          <w:sz w:val="28"/>
        </w:rPr>
      </w:pPr>
      <w:r w:rsidRPr="00B27664">
        <w:rPr>
          <w:rFonts w:ascii="Bookman Old Style" w:hAnsi="Bookman Old Style"/>
          <w:b/>
          <w:i/>
          <w:sz w:val="28"/>
        </w:rPr>
        <w:lastRenderedPageBreak/>
        <w:t xml:space="preserve">Intervention Strategies </w:t>
      </w:r>
    </w:p>
    <w:p w:rsidR="009B661D" w:rsidRPr="00B27664" w:rsidRDefault="00017B16" w:rsidP="005A6F5E">
      <w:pPr>
        <w:jc w:val="both"/>
        <w:rPr>
          <w:rFonts w:ascii="Bookman Old Style" w:hAnsi="Bookman Old Style"/>
          <w:strike/>
        </w:rPr>
      </w:pPr>
      <w:r w:rsidRPr="00B27664">
        <w:rPr>
          <w:rFonts w:ascii="Bookman Old Style" w:hAnsi="Bookman Old Style"/>
        </w:rPr>
        <w:t>The Community Risk Reduction</w:t>
      </w:r>
      <w:r w:rsidR="009F5DF7" w:rsidRPr="00B27664">
        <w:rPr>
          <w:rFonts w:ascii="Bookman Old Style" w:hAnsi="Bookman Old Style"/>
        </w:rPr>
        <w:t xml:space="preserve"> (CRR)</w:t>
      </w:r>
      <w:r w:rsidRPr="00B27664">
        <w:rPr>
          <w:rFonts w:ascii="Bookman Old Style" w:hAnsi="Bookman Old Style"/>
        </w:rPr>
        <w:t xml:space="preserve"> model categorizes interventions into </w:t>
      </w:r>
      <w:r w:rsidR="009F5DF7" w:rsidRPr="00B27664">
        <w:rPr>
          <w:rFonts w:ascii="Bookman Old Style" w:hAnsi="Bookman Old Style"/>
        </w:rPr>
        <w:t xml:space="preserve">the </w:t>
      </w:r>
      <w:r w:rsidRPr="00B27664">
        <w:rPr>
          <w:rFonts w:ascii="Bookman Old Style" w:hAnsi="Bookman Old Style"/>
        </w:rPr>
        <w:t>5 “E’s”</w:t>
      </w:r>
      <w:r w:rsidR="00546664" w:rsidRPr="00B27664">
        <w:rPr>
          <w:rFonts w:ascii="Bookman Old Style" w:hAnsi="Bookman Old Style"/>
        </w:rPr>
        <w:t xml:space="preserve"> </w:t>
      </w:r>
      <w:r w:rsidR="00EA0BEF" w:rsidRPr="00B27664">
        <w:rPr>
          <w:rFonts w:ascii="Bookman Old Style" w:hAnsi="Bookman Old Style"/>
        </w:rPr>
        <w:t>(</w:t>
      </w:r>
      <w:r w:rsidR="00546664" w:rsidRPr="00B27664">
        <w:rPr>
          <w:rFonts w:ascii="Bookman Old Style" w:hAnsi="Bookman Old Style"/>
        </w:rPr>
        <w:t xml:space="preserve">Education, Engineering, </w:t>
      </w:r>
      <w:r w:rsidR="00884A4B" w:rsidRPr="00B27664">
        <w:rPr>
          <w:rFonts w:ascii="Bookman Old Style" w:hAnsi="Bookman Old Style"/>
        </w:rPr>
        <w:t>Enforcement, and Economic Incentives</w:t>
      </w:r>
      <w:r w:rsidR="00BB6E92" w:rsidRPr="00B27664">
        <w:rPr>
          <w:rFonts w:ascii="Bookman Old Style" w:hAnsi="Bookman Old Style"/>
        </w:rPr>
        <w:t>, Emergency Response</w:t>
      </w:r>
      <w:r w:rsidR="00EA0BEF" w:rsidRPr="00B27664">
        <w:rPr>
          <w:rFonts w:ascii="Bookman Old Style" w:hAnsi="Bookman Old Style"/>
        </w:rPr>
        <w:t>)</w:t>
      </w:r>
      <w:r w:rsidR="00884A4B" w:rsidRPr="00B27664">
        <w:rPr>
          <w:rFonts w:ascii="Bookman Old Style" w:hAnsi="Bookman Old Style"/>
        </w:rPr>
        <w:t>.</w:t>
      </w:r>
    </w:p>
    <w:p w:rsidR="00D258EE" w:rsidRPr="00B27664" w:rsidRDefault="00D258EE" w:rsidP="005A6F5E">
      <w:pPr>
        <w:jc w:val="both"/>
        <w:rPr>
          <w:rFonts w:ascii="Bookman Old Style" w:hAnsi="Bookman Old Style"/>
        </w:rPr>
      </w:pPr>
      <w:r w:rsidRPr="00B27664">
        <w:rPr>
          <w:rFonts w:ascii="Bookman Old Style" w:hAnsi="Bookman Old Style"/>
          <w:b/>
        </w:rPr>
        <w:t>Education</w:t>
      </w:r>
      <w:r w:rsidRPr="00B27664">
        <w:rPr>
          <w:rFonts w:ascii="Bookman Old Style" w:hAnsi="Bookman Old Style"/>
        </w:rPr>
        <w:t xml:space="preserve">- Education can influence behavior by increasing awareness, and providing information and knowledge with the intention of producing a desired behavior. Education is only effective if individuals apply this knowledge appropriately. </w:t>
      </w:r>
      <w:r w:rsidR="00B225BB" w:rsidRPr="00B27664">
        <w:rPr>
          <w:rFonts w:ascii="Bookman Old Style" w:hAnsi="Bookman Old Style"/>
        </w:rPr>
        <w:t xml:space="preserve">Education needs to be culturally competent for the message to reach its audience.  </w:t>
      </w:r>
    </w:p>
    <w:p w:rsidR="00D258EE" w:rsidRPr="00B27664" w:rsidRDefault="00D258EE" w:rsidP="005A6F5E">
      <w:pPr>
        <w:jc w:val="both"/>
        <w:rPr>
          <w:rFonts w:ascii="Bookman Old Style" w:hAnsi="Bookman Old Style"/>
        </w:rPr>
      </w:pPr>
      <w:r w:rsidRPr="00B27664">
        <w:rPr>
          <w:rFonts w:ascii="Bookman Old Style" w:hAnsi="Bookman Old Style"/>
          <w:b/>
        </w:rPr>
        <w:t>Engineering</w:t>
      </w:r>
      <w:r w:rsidRPr="00B27664">
        <w:rPr>
          <w:rFonts w:ascii="Bookman Old Style" w:hAnsi="Bookman Old Style"/>
        </w:rPr>
        <w:t xml:space="preserve">- Engineering applies to changes in the physical environment. Modifying a product or environment to prevent or mitigate injury, death or destruction of property </w:t>
      </w:r>
      <w:r w:rsidR="0077190E" w:rsidRPr="00B27664">
        <w:rPr>
          <w:rFonts w:ascii="Bookman Old Style" w:hAnsi="Bookman Old Style"/>
        </w:rPr>
        <w:t xml:space="preserve">is an engineering tactic. </w:t>
      </w:r>
    </w:p>
    <w:p w:rsidR="0077190E" w:rsidRPr="00B27664" w:rsidRDefault="0077190E" w:rsidP="005A6F5E">
      <w:pPr>
        <w:jc w:val="both"/>
        <w:rPr>
          <w:rFonts w:ascii="Bookman Old Style" w:hAnsi="Bookman Old Style"/>
        </w:rPr>
      </w:pPr>
      <w:r w:rsidRPr="00B27664">
        <w:rPr>
          <w:rFonts w:ascii="Bookman Old Style" w:hAnsi="Bookman Old Style"/>
          <w:b/>
        </w:rPr>
        <w:t>Enforcement</w:t>
      </w:r>
      <w:r w:rsidRPr="00B27664">
        <w:rPr>
          <w:rFonts w:ascii="Bookman Old Style" w:hAnsi="Bookman Old Style"/>
        </w:rPr>
        <w:t>- Enforcement applies to reducing risks through the legislative process of strengthening and</w:t>
      </w:r>
      <w:r w:rsidR="00884A4B" w:rsidRPr="00B27664">
        <w:rPr>
          <w:rFonts w:ascii="Bookman Old Style" w:hAnsi="Bookman Old Style"/>
        </w:rPr>
        <w:t>/or the</w:t>
      </w:r>
      <w:r w:rsidRPr="00B27664">
        <w:rPr>
          <w:rFonts w:ascii="Bookman Old Style" w:hAnsi="Bookman Old Style"/>
        </w:rPr>
        <w:t xml:space="preserve"> adoption of applicable laws. This </w:t>
      </w:r>
      <w:r w:rsidR="00884A4B" w:rsidRPr="00B27664">
        <w:rPr>
          <w:rFonts w:ascii="Bookman Old Style" w:hAnsi="Bookman Old Style"/>
        </w:rPr>
        <w:t xml:space="preserve">may </w:t>
      </w:r>
      <w:r w:rsidRPr="00B27664">
        <w:rPr>
          <w:rFonts w:ascii="Bookman Old Style" w:hAnsi="Bookman Old Style"/>
        </w:rPr>
        <w:t>include</w:t>
      </w:r>
      <w:r w:rsidR="00884A4B" w:rsidRPr="00B27664">
        <w:rPr>
          <w:rFonts w:ascii="Bookman Old Style" w:hAnsi="Bookman Old Style"/>
        </w:rPr>
        <w:t xml:space="preserve"> </w:t>
      </w:r>
      <w:r w:rsidRPr="00B27664">
        <w:rPr>
          <w:rFonts w:ascii="Bookman Old Style" w:hAnsi="Bookman Old Style"/>
        </w:rPr>
        <w:t xml:space="preserve">inspection programs or methods, and in some cases, can impose penalties for non-compliance. </w:t>
      </w:r>
    </w:p>
    <w:p w:rsidR="0077190E" w:rsidRPr="00B27664" w:rsidRDefault="0077190E" w:rsidP="005A6F5E">
      <w:pPr>
        <w:jc w:val="both"/>
        <w:rPr>
          <w:rFonts w:ascii="Bookman Old Style" w:hAnsi="Bookman Old Style"/>
        </w:rPr>
      </w:pPr>
      <w:r w:rsidRPr="00B27664">
        <w:rPr>
          <w:rFonts w:ascii="Bookman Old Style" w:hAnsi="Bookman Old Style"/>
          <w:b/>
        </w:rPr>
        <w:t>Economic Incentives</w:t>
      </w:r>
      <w:r w:rsidRPr="00B27664">
        <w:rPr>
          <w:rFonts w:ascii="Bookman Old Style" w:hAnsi="Bookman Old Style"/>
        </w:rPr>
        <w:t xml:space="preserve">- There </w:t>
      </w:r>
      <w:proofErr w:type="gramStart"/>
      <w:r w:rsidRPr="00B27664">
        <w:rPr>
          <w:rFonts w:ascii="Bookman Old Style" w:hAnsi="Bookman Old Style"/>
        </w:rPr>
        <w:t>are</w:t>
      </w:r>
      <w:proofErr w:type="gramEnd"/>
      <w:r w:rsidRPr="00B27664">
        <w:rPr>
          <w:rFonts w:ascii="Bookman Old Style" w:hAnsi="Bookman Old Style"/>
        </w:rPr>
        <w:t xml:space="preserve"> two kinds of Economic incentives. </w:t>
      </w:r>
    </w:p>
    <w:p w:rsidR="0077190E" w:rsidRPr="00B27664" w:rsidRDefault="0077190E" w:rsidP="002777DD">
      <w:pPr>
        <w:ind w:left="720"/>
        <w:jc w:val="both"/>
        <w:rPr>
          <w:rFonts w:ascii="Bookman Old Style" w:hAnsi="Bookman Old Style"/>
        </w:rPr>
      </w:pPr>
      <w:r w:rsidRPr="00B27664">
        <w:rPr>
          <w:rFonts w:ascii="Bookman Old Style" w:hAnsi="Bookman Old Style"/>
        </w:rPr>
        <w:t>Negative incentives are fines, tickets, or other punishment for “inappropriate behavior” intended to discourage unsafe behaviors.</w:t>
      </w:r>
    </w:p>
    <w:p w:rsidR="002007E9" w:rsidRPr="00B27664" w:rsidRDefault="0077190E" w:rsidP="002777DD">
      <w:pPr>
        <w:ind w:left="720"/>
        <w:jc w:val="both"/>
        <w:rPr>
          <w:rFonts w:ascii="Bookman Old Style" w:hAnsi="Bookman Old Style"/>
        </w:rPr>
      </w:pPr>
      <w:r w:rsidRPr="00B27664">
        <w:rPr>
          <w:rFonts w:ascii="Bookman Old Style" w:hAnsi="Bookman Old Style"/>
        </w:rPr>
        <w:t>Positive incentives are rewards or gifts for choosing positive behaviors or choices. Programs like free smoke alarms are ex</w:t>
      </w:r>
      <w:r w:rsidR="00BB6E92" w:rsidRPr="00B27664">
        <w:rPr>
          <w:rFonts w:ascii="Bookman Old Style" w:hAnsi="Bookman Old Style"/>
        </w:rPr>
        <w:t xml:space="preserve">amples of positive incentives. </w:t>
      </w:r>
    </w:p>
    <w:p w:rsidR="006957A6" w:rsidRPr="00B27664" w:rsidRDefault="00BB6E92" w:rsidP="00BB6E92">
      <w:pPr>
        <w:jc w:val="both"/>
        <w:rPr>
          <w:rFonts w:ascii="Bookman Old Style" w:hAnsi="Bookman Old Style"/>
        </w:rPr>
      </w:pPr>
      <w:r w:rsidRPr="00B27664">
        <w:rPr>
          <w:rFonts w:ascii="Bookman Old Style" w:hAnsi="Bookman Old Style"/>
          <w:b/>
        </w:rPr>
        <w:t>Emergency Response</w:t>
      </w:r>
      <w:r w:rsidRPr="00B27664">
        <w:rPr>
          <w:rFonts w:ascii="Bookman Old Style" w:hAnsi="Bookman Old Style"/>
        </w:rPr>
        <w:t xml:space="preserve"> – Emergency Response is defined as, having enough manpower and proper equipment to mitigate an emergency when it happens in your community.  Statistical evidence suggests that the ratio of responders to the population</w:t>
      </w:r>
      <w:r w:rsidR="006957A6" w:rsidRPr="00B27664">
        <w:rPr>
          <w:rFonts w:ascii="Bookman Old Style" w:hAnsi="Bookman Old Style"/>
        </w:rPr>
        <w:t xml:space="preserve"> in Pasco is below</w:t>
      </w:r>
      <w:r w:rsidRPr="00B27664">
        <w:rPr>
          <w:rFonts w:ascii="Bookman Old Style" w:hAnsi="Bookman Old Style"/>
        </w:rPr>
        <w:t xml:space="preserve"> the</w:t>
      </w:r>
      <w:r w:rsidR="006957A6" w:rsidRPr="00B27664">
        <w:rPr>
          <w:rFonts w:ascii="Bookman Old Style" w:hAnsi="Bookman Old Style"/>
        </w:rPr>
        <w:t xml:space="preserve"> National Standards, thus necessitating the higher priority of prevention.</w:t>
      </w:r>
    </w:p>
    <w:p w:rsidR="00BB6E92" w:rsidRPr="00B27664" w:rsidRDefault="006957A6" w:rsidP="00BB6E92">
      <w:pPr>
        <w:jc w:val="both"/>
        <w:rPr>
          <w:rFonts w:ascii="Bookman Old Style" w:hAnsi="Bookman Old Style"/>
        </w:rPr>
      </w:pPr>
      <w:r w:rsidRPr="00B27664">
        <w:rPr>
          <w:rFonts w:ascii="Bookman Old Style" w:hAnsi="Bookman Old Style"/>
        </w:rPr>
        <w:t xml:space="preserve">The following tables address each of the identified risk and the associated intervention based upon the 5 “E’s” described above. Short-term goals are anticipated to be implemented within 12 months, mid-term goals are within 3-5 years and long-term goals are 5-10 years.  As with all plans, this document needs to be reviewed periodically to assure relevance and measure the success of the prevention strategies listed. </w:t>
      </w:r>
    </w:p>
    <w:p w:rsidR="009C3BF9" w:rsidRDefault="009C3BF9" w:rsidP="005A6F5E">
      <w:pPr>
        <w:jc w:val="both"/>
        <w:rPr>
          <w:rFonts w:ascii="Bookman Old Style" w:hAnsi="Bookman Old Style"/>
        </w:rPr>
      </w:pPr>
    </w:p>
    <w:p w:rsidR="009C3BF9" w:rsidRDefault="009C3BF9" w:rsidP="005A6F5E">
      <w:pPr>
        <w:jc w:val="both"/>
        <w:rPr>
          <w:rFonts w:ascii="Bookman Old Style" w:hAnsi="Bookman Old Style"/>
        </w:rPr>
      </w:pPr>
    </w:p>
    <w:p w:rsidR="009C3BF9" w:rsidRDefault="009C3BF9" w:rsidP="005A6F5E">
      <w:pPr>
        <w:jc w:val="both"/>
        <w:rPr>
          <w:rFonts w:ascii="Bookman Old Style" w:hAnsi="Bookman Old Style"/>
        </w:rPr>
      </w:pPr>
    </w:p>
    <w:p w:rsidR="009C3BF9" w:rsidRDefault="009C3BF9" w:rsidP="005A6F5E">
      <w:pPr>
        <w:jc w:val="both"/>
        <w:rPr>
          <w:rFonts w:ascii="Bookman Old Style" w:hAnsi="Bookman Old Style"/>
        </w:rPr>
      </w:pPr>
    </w:p>
    <w:p w:rsidR="009C3BF9" w:rsidRDefault="009C3BF9" w:rsidP="005A6F5E">
      <w:pPr>
        <w:jc w:val="both"/>
        <w:rPr>
          <w:rFonts w:ascii="Bookman Old Style" w:hAnsi="Bookman Old Style"/>
        </w:rPr>
      </w:pPr>
    </w:p>
    <w:tbl>
      <w:tblPr>
        <w:tblStyle w:val="TableGrid"/>
        <w:tblW w:w="0" w:type="auto"/>
        <w:tblLook w:val="04A0" w:firstRow="1" w:lastRow="0" w:firstColumn="1" w:lastColumn="0" w:noHBand="0" w:noVBand="1"/>
      </w:tblPr>
      <w:tblGrid>
        <w:gridCol w:w="1915"/>
        <w:gridCol w:w="1915"/>
        <w:gridCol w:w="958"/>
        <w:gridCol w:w="957"/>
        <w:gridCol w:w="1915"/>
        <w:gridCol w:w="1916"/>
      </w:tblGrid>
      <w:tr w:rsidR="00C26E86" w:rsidRPr="00EC1624" w:rsidTr="00FD1F74">
        <w:tc>
          <w:tcPr>
            <w:tcW w:w="9576" w:type="dxa"/>
            <w:gridSpan w:val="6"/>
            <w:shd w:val="clear" w:color="auto" w:fill="F2DBDB" w:themeFill="accent2" w:themeFillTint="33"/>
          </w:tcPr>
          <w:p w:rsidR="00C26E86" w:rsidRPr="00FD1F74" w:rsidRDefault="00B25A4C" w:rsidP="00423589">
            <w:pPr>
              <w:rPr>
                <w:rFonts w:ascii="Bookman Old Style" w:hAnsi="Bookman Old Style"/>
                <w:b/>
              </w:rPr>
            </w:pPr>
            <w:r>
              <w:rPr>
                <w:rFonts w:ascii="Bookman Old Style" w:hAnsi="Bookman Old Style"/>
              </w:rPr>
              <w:lastRenderedPageBreak/>
              <w:br w:type="page"/>
            </w:r>
            <w:r w:rsidR="00C26E86" w:rsidRPr="00645AA9">
              <w:rPr>
                <w:rFonts w:ascii="Bookman Old Style" w:hAnsi="Bookman Old Style"/>
                <w:b/>
              </w:rPr>
              <w:t>Risk One</w:t>
            </w:r>
            <w:r w:rsidR="0073619B">
              <w:rPr>
                <w:rFonts w:ascii="Bookman Old Style" w:hAnsi="Bookman Old Style"/>
                <w:b/>
              </w:rPr>
              <w:t>-</w:t>
            </w:r>
            <w:r w:rsidR="00C26E86" w:rsidRPr="00EC1624">
              <w:rPr>
                <w:rFonts w:ascii="Bookman Old Style" w:hAnsi="Bookman Old Style"/>
              </w:rPr>
              <w:t xml:space="preserve"> </w:t>
            </w:r>
            <w:r w:rsidR="00FD1F74">
              <w:rPr>
                <w:rFonts w:ascii="Bookman Old Style" w:hAnsi="Bookman Old Style"/>
                <w:b/>
              </w:rPr>
              <w:t xml:space="preserve">Cooking Fires: </w:t>
            </w:r>
            <w:r w:rsidR="00C26E86" w:rsidRPr="00EC1624">
              <w:rPr>
                <w:rFonts w:ascii="Bookman Old Style" w:hAnsi="Bookman Old Style"/>
              </w:rPr>
              <w:t>Cooking fires are a High impact/High probability risk in our community</w:t>
            </w:r>
            <w:r w:rsidR="00FD1F74">
              <w:rPr>
                <w:rFonts w:ascii="Bookman Old Style" w:hAnsi="Bookman Old Style"/>
              </w:rPr>
              <w:t>.</w:t>
            </w:r>
          </w:p>
        </w:tc>
      </w:tr>
      <w:tr w:rsidR="00C26E86" w:rsidRPr="00EC1624" w:rsidTr="00C26E86">
        <w:tc>
          <w:tcPr>
            <w:tcW w:w="9576" w:type="dxa"/>
            <w:gridSpan w:val="6"/>
          </w:tcPr>
          <w:p w:rsidR="00C26E86" w:rsidRPr="00EC1624" w:rsidRDefault="00BE05D1" w:rsidP="00423589">
            <w:pPr>
              <w:rPr>
                <w:rFonts w:ascii="Bookman Old Style" w:hAnsi="Bookman Old Style"/>
              </w:rPr>
            </w:pPr>
            <w:r w:rsidRPr="00645AA9">
              <w:rPr>
                <w:rFonts w:ascii="Bookman Old Style" w:hAnsi="Bookman Old Style"/>
                <w:b/>
              </w:rPr>
              <w:t>Program Goal</w:t>
            </w:r>
            <w:r w:rsidR="00FD1F74">
              <w:rPr>
                <w:rFonts w:ascii="Bookman Old Style" w:hAnsi="Bookman Old Style"/>
              </w:rPr>
              <w:t>: Reduce the number of cooking</w:t>
            </w:r>
            <w:r w:rsidRPr="00EC1624">
              <w:rPr>
                <w:rFonts w:ascii="Bookman Old Style" w:hAnsi="Bookman Old Style"/>
              </w:rPr>
              <w:t xml:space="preserve"> fires </w:t>
            </w:r>
            <w:r w:rsidR="008142C6" w:rsidRPr="00EC1624">
              <w:rPr>
                <w:rFonts w:ascii="Bookman Old Style" w:hAnsi="Bookman Old Style"/>
              </w:rPr>
              <w:t xml:space="preserve">and their effects </w:t>
            </w:r>
            <w:r w:rsidR="00FD1F74">
              <w:rPr>
                <w:rFonts w:ascii="Bookman Old Style" w:hAnsi="Bookman Old Style"/>
              </w:rPr>
              <w:t xml:space="preserve">through education and in </w:t>
            </w:r>
            <w:r w:rsidR="008142C6" w:rsidRPr="00EC1624">
              <w:rPr>
                <w:rFonts w:ascii="Bookman Old Style" w:hAnsi="Bookman Old Style"/>
              </w:rPr>
              <w:t>home</w:t>
            </w:r>
            <w:r w:rsidRPr="00EC1624">
              <w:rPr>
                <w:rFonts w:ascii="Bookman Old Style" w:hAnsi="Bookman Old Style"/>
              </w:rPr>
              <w:t xml:space="preserve"> safety </w:t>
            </w:r>
            <w:r w:rsidR="00FD1F74">
              <w:rPr>
                <w:rFonts w:ascii="Bookman Old Style" w:hAnsi="Bookman Old Style"/>
              </w:rPr>
              <w:t>assessments</w:t>
            </w:r>
            <w:r w:rsidR="00C1679B" w:rsidRPr="00EC1624">
              <w:rPr>
                <w:rFonts w:ascii="Bookman Old Style" w:hAnsi="Bookman Old Style"/>
              </w:rPr>
              <w:t xml:space="preserve">, especially in Multi-Family occupancies. </w:t>
            </w:r>
          </w:p>
        </w:tc>
      </w:tr>
      <w:tr w:rsidR="00C26E86" w:rsidRPr="00EC1624" w:rsidTr="00C26E86">
        <w:tc>
          <w:tcPr>
            <w:tcW w:w="9576" w:type="dxa"/>
            <w:gridSpan w:val="6"/>
          </w:tcPr>
          <w:p w:rsidR="008142C6" w:rsidRPr="00EC1624" w:rsidRDefault="00BE05D1" w:rsidP="00423589">
            <w:pPr>
              <w:rPr>
                <w:rFonts w:ascii="Bookman Old Style" w:hAnsi="Bookman Old Style"/>
              </w:rPr>
            </w:pPr>
            <w:r w:rsidRPr="00645AA9">
              <w:rPr>
                <w:rFonts w:ascii="Bookman Old Style" w:hAnsi="Bookman Old Style"/>
                <w:b/>
              </w:rPr>
              <w:t>Resources Required</w:t>
            </w:r>
            <w:r w:rsidR="002803D4">
              <w:rPr>
                <w:rFonts w:ascii="Bookman Old Style" w:hAnsi="Bookman Old Style"/>
              </w:rPr>
              <w:t xml:space="preserve">: </w:t>
            </w:r>
            <w:r w:rsidR="008142C6" w:rsidRPr="00EC1624">
              <w:rPr>
                <w:rFonts w:ascii="Bookman Old Style" w:hAnsi="Bookman Old Style"/>
              </w:rPr>
              <w:t>Smoke Alarms</w:t>
            </w:r>
            <w:r w:rsidR="002803D4">
              <w:rPr>
                <w:rFonts w:ascii="Bookman Old Style" w:hAnsi="Bookman Old Style"/>
              </w:rPr>
              <w:t xml:space="preserve">, Printed materials, </w:t>
            </w:r>
            <w:r w:rsidR="002803D4" w:rsidRPr="00EC1624">
              <w:rPr>
                <w:rFonts w:ascii="Bookman Old Style" w:hAnsi="Bookman Old Style"/>
              </w:rPr>
              <w:t>Audio/ Visual equipment</w:t>
            </w:r>
            <w:r w:rsidR="008142C6" w:rsidRPr="00EC1624">
              <w:rPr>
                <w:rFonts w:ascii="Bookman Old Style" w:hAnsi="Bookman Old Style"/>
              </w:rPr>
              <w:t xml:space="preserve">                      </w:t>
            </w:r>
            <w:r w:rsidR="002803D4">
              <w:rPr>
                <w:rFonts w:ascii="Bookman Old Style" w:hAnsi="Bookman Old Style"/>
              </w:rPr>
              <w:t xml:space="preserve">                          </w:t>
            </w:r>
          </w:p>
          <w:p w:rsidR="008142C6" w:rsidRPr="00EC1624" w:rsidRDefault="008142C6" w:rsidP="00423589">
            <w:pPr>
              <w:rPr>
                <w:rFonts w:ascii="Bookman Old Style" w:hAnsi="Bookman Old Style"/>
              </w:rPr>
            </w:pPr>
            <w:r w:rsidRPr="00EC1624">
              <w:rPr>
                <w:rFonts w:ascii="Bookman Old Style" w:hAnsi="Bookman Old Style"/>
              </w:rPr>
              <w:t>Installa</w:t>
            </w:r>
            <w:r w:rsidR="002803D4">
              <w:rPr>
                <w:rFonts w:ascii="Bookman Old Style" w:hAnsi="Bookman Old Style"/>
              </w:rPr>
              <w:t>tion equipment,</w:t>
            </w:r>
            <w:r w:rsidRPr="00EC1624">
              <w:rPr>
                <w:rFonts w:ascii="Bookman Old Style" w:hAnsi="Bookman Old Style"/>
              </w:rPr>
              <w:t xml:space="preserve"> Training of on duty crews</w:t>
            </w:r>
            <w:r w:rsidR="002803D4">
              <w:rPr>
                <w:rFonts w:ascii="Bookman Old Style" w:hAnsi="Bookman Old Style"/>
              </w:rPr>
              <w:t>.</w:t>
            </w:r>
          </w:p>
        </w:tc>
      </w:tr>
      <w:tr w:rsidR="008142C6" w:rsidRPr="00EC1624" w:rsidTr="008142C6">
        <w:tc>
          <w:tcPr>
            <w:tcW w:w="1915" w:type="dxa"/>
          </w:tcPr>
          <w:p w:rsidR="008142C6" w:rsidRPr="005100E1" w:rsidRDefault="005100E1" w:rsidP="005100E1">
            <w:pPr>
              <w:jc w:val="center"/>
              <w:rPr>
                <w:rFonts w:ascii="Bookman Old Style" w:hAnsi="Bookman Old Style"/>
                <w:b/>
              </w:rPr>
            </w:pPr>
            <w:bookmarkStart w:id="11" w:name="_Hlk482581490"/>
            <w:r w:rsidRPr="005100E1">
              <w:rPr>
                <w:rFonts w:ascii="Bookman Old Style" w:hAnsi="Bookman Old Style"/>
                <w:b/>
              </w:rPr>
              <w:t>Premise Statement</w:t>
            </w:r>
          </w:p>
        </w:tc>
        <w:tc>
          <w:tcPr>
            <w:tcW w:w="1915" w:type="dxa"/>
          </w:tcPr>
          <w:p w:rsidR="008142C6" w:rsidRPr="005100E1" w:rsidRDefault="00FD1F74" w:rsidP="005100E1">
            <w:pPr>
              <w:jc w:val="center"/>
              <w:rPr>
                <w:rFonts w:ascii="Bookman Old Style" w:hAnsi="Bookman Old Style"/>
                <w:b/>
              </w:rPr>
            </w:pPr>
            <w:r>
              <w:rPr>
                <w:rFonts w:ascii="Bookman Old Style" w:hAnsi="Bookman Old Style"/>
                <w:b/>
              </w:rPr>
              <w:t>Projects</w:t>
            </w:r>
          </w:p>
        </w:tc>
        <w:tc>
          <w:tcPr>
            <w:tcW w:w="1915" w:type="dxa"/>
            <w:gridSpan w:val="2"/>
          </w:tcPr>
          <w:p w:rsidR="008142C6" w:rsidRPr="005100E1" w:rsidRDefault="009845F7" w:rsidP="005100E1">
            <w:pPr>
              <w:jc w:val="center"/>
              <w:rPr>
                <w:rFonts w:ascii="Bookman Old Style" w:hAnsi="Bookman Old Style"/>
                <w:b/>
              </w:rPr>
            </w:pPr>
            <w:r w:rsidRPr="005100E1">
              <w:rPr>
                <w:rFonts w:ascii="Bookman Old Style" w:hAnsi="Bookman Old Style"/>
                <w:b/>
              </w:rPr>
              <w:t>Short-Term Goals</w:t>
            </w:r>
          </w:p>
        </w:tc>
        <w:tc>
          <w:tcPr>
            <w:tcW w:w="1915" w:type="dxa"/>
          </w:tcPr>
          <w:p w:rsidR="008142C6" w:rsidRPr="005100E1" w:rsidRDefault="009845F7" w:rsidP="005100E1">
            <w:pPr>
              <w:jc w:val="center"/>
              <w:rPr>
                <w:rFonts w:ascii="Bookman Old Style" w:hAnsi="Bookman Old Style"/>
                <w:b/>
              </w:rPr>
            </w:pPr>
            <w:r w:rsidRPr="005100E1">
              <w:rPr>
                <w:rFonts w:ascii="Bookman Old Style" w:hAnsi="Bookman Old Style"/>
                <w:b/>
              </w:rPr>
              <w:t>Intermediate Goals</w:t>
            </w:r>
          </w:p>
        </w:tc>
        <w:tc>
          <w:tcPr>
            <w:tcW w:w="1916" w:type="dxa"/>
          </w:tcPr>
          <w:p w:rsidR="008142C6" w:rsidRPr="005100E1" w:rsidRDefault="009845F7" w:rsidP="005100E1">
            <w:pPr>
              <w:jc w:val="center"/>
              <w:rPr>
                <w:rFonts w:ascii="Bookman Old Style" w:hAnsi="Bookman Old Style"/>
                <w:b/>
              </w:rPr>
            </w:pPr>
            <w:r w:rsidRPr="005100E1">
              <w:rPr>
                <w:rFonts w:ascii="Bookman Old Style" w:hAnsi="Bookman Old Style"/>
                <w:b/>
              </w:rPr>
              <w:t>Long-Term Goals</w:t>
            </w:r>
          </w:p>
        </w:tc>
      </w:tr>
      <w:bookmarkEnd w:id="11"/>
      <w:tr w:rsidR="008142C6" w:rsidRPr="00EC1624" w:rsidTr="00D345A9">
        <w:tc>
          <w:tcPr>
            <w:tcW w:w="1915" w:type="dxa"/>
          </w:tcPr>
          <w:p w:rsidR="00587F5F" w:rsidRPr="00645AA9" w:rsidRDefault="00587F5F" w:rsidP="00423589">
            <w:pPr>
              <w:rPr>
                <w:rFonts w:ascii="Bookman Old Style" w:hAnsi="Bookman Old Style"/>
                <w:b/>
              </w:rPr>
            </w:pPr>
            <w:r w:rsidRPr="00645AA9">
              <w:rPr>
                <w:rFonts w:ascii="Bookman Old Style" w:hAnsi="Bookman Old Style"/>
                <w:b/>
              </w:rPr>
              <w:t>Education:</w:t>
            </w:r>
          </w:p>
          <w:p w:rsidR="00587F5F" w:rsidRPr="00EC1624" w:rsidRDefault="00FD1F74" w:rsidP="00423589">
            <w:pPr>
              <w:rPr>
                <w:rFonts w:ascii="Bookman Old Style" w:hAnsi="Bookman Old Style"/>
              </w:rPr>
            </w:pPr>
            <w:r>
              <w:rPr>
                <w:rFonts w:ascii="Bookman Old Style" w:hAnsi="Bookman Old Style"/>
                <w:sz w:val="20"/>
              </w:rPr>
              <w:t>Cooking fires can be minimized or prevented by education.</w:t>
            </w:r>
            <w:r w:rsidR="00587F5F" w:rsidRPr="00FD1F74">
              <w:rPr>
                <w:rFonts w:ascii="Bookman Old Style" w:hAnsi="Bookman Old Style"/>
                <w:sz w:val="20"/>
              </w:rPr>
              <w:t xml:space="preserve">  </w:t>
            </w:r>
          </w:p>
        </w:tc>
        <w:tc>
          <w:tcPr>
            <w:tcW w:w="1915" w:type="dxa"/>
          </w:tcPr>
          <w:p w:rsidR="008142C6" w:rsidRPr="00FD1F74" w:rsidRDefault="00512CCF" w:rsidP="008B042F">
            <w:pPr>
              <w:rPr>
                <w:rFonts w:ascii="Bookman Old Style" w:hAnsi="Bookman Old Style"/>
                <w:sz w:val="18"/>
              </w:rPr>
            </w:pPr>
            <w:r>
              <w:rPr>
                <w:rFonts w:ascii="Bookman Old Style" w:hAnsi="Bookman Old Style"/>
                <w:sz w:val="18"/>
              </w:rPr>
              <w:t>Develop multi-cultural educational materials and in home safety inspections that reinforce safe cooking practices.</w:t>
            </w:r>
          </w:p>
        </w:tc>
        <w:tc>
          <w:tcPr>
            <w:tcW w:w="1915" w:type="dxa"/>
            <w:gridSpan w:val="2"/>
          </w:tcPr>
          <w:p w:rsidR="008142C6" w:rsidRPr="00FD1F74" w:rsidRDefault="00D345A9" w:rsidP="00423589">
            <w:pPr>
              <w:rPr>
                <w:rFonts w:ascii="Bookman Old Style" w:hAnsi="Bookman Old Style"/>
                <w:sz w:val="18"/>
              </w:rPr>
            </w:pPr>
            <w:r>
              <w:rPr>
                <w:rFonts w:ascii="Bookman Old Style" w:hAnsi="Bookman Old Style"/>
                <w:sz w:val="18"/>
              </w:rPr>
              <w:t>Identify “at risk” populations and occupancies.</w:t>
            </w:r>
          </w:p>
        </w:tc>
        <w:tc>
          <w:tcPr>
            <w:tcW w:w="1915" w:type="dxa"/>
          </w:tcPr>
          <w:p w:rsidR="008142C6" w:rsidRPr="00FD1F74" w:rsidRDefault="00D345A9" w:rsidP="00423589">
            <w:pPr>
              <w:rPr>
                <w:rFonts w:ascii="Bookman Old Style" w:hAnsi="Bookman Old Style"/>
                <w:sz w:val="18"/>
              </w:rPr>
            </w:pPr>
            <w:r w:rsidRPr="00FD1F74">
              <w:rPr>
                <w:rFonts w:ascii="Bookman Old Style" w:hAnsi="Bookman Old Style"/>
                <w:sz w:val="18"/>
              </w:rPr>
              <w:t>Host activities at public and multi housing events to distribute information, and invitations for home safety surveys.</w:t>
            </w:r>
          </w:p>
        </w:tc>
        <w:tc>
          <w:tcPr>
            <w:tcW w:w="1916" w:type="dxa"/>
            <w:shd w:val="clear" w:color="auto" w:fill="BFBFBF" w:themeFill="background1" w:themeFillShade="BF"/>
          </w:tcPr>
          <w:p w:rsidR="008142C6" w:rsidRPr="00FD1F74" w:rsidRDefault="008142C6" w:rsidP="00423589">
            <w:pPr>
              <w:rPr>
                <w:rFonts w:ascii="Bookman Old Style" w:hAnsi="Bookman Old Style"/>
                <w:sz w:val="18"/>
              </w:rPr>
            </w:pPr>
          </w:p>
        </w:tc>
      </w:tr>
      <w:tr w:rsidR="008142C6" w:rsidRPr="00EC1624" w:rsidTr="00E9300A">
        <w:tc>
          <w:tcPr>
            <w:tcW w:w="1915" w:type="dxa"/>
          </w:tcPr>
          <w:p w:rsidR="008142C6" w:rsidRPr="00645AA9" w:rsidRDefault="0037376C" w:rsidP="00423589">
            <w:pPr>
              <w:rPr>
                <w:rFonts w:ascii="Bookman Old Style" w:hAnsi="Bookman Old Style"/>
                <w:b/>
              </w:rPr>
            </w:pPr>
            <w:r w:rsidRPr="00645AA9">
              <w:rPr>
                <w:rFonts w:ascii="Bookman Old Style" w:hAnsi="Bookman Old Style"/>
                <w:b/>
              </w:rPr>
              <w:t>Engineering:</w:t>
            </w:r>
          </w:p>
          <w:p w:rsidR="0037376C" w:rsidRPr="00FD1F74" w:rsidRDefault="00FD1F74" w:rsidP="00423589">
            <w:pPr>
              <w:rPr>
                <w:rFonts w:ascii="Bookman Old Style" w:hAnsi="Bookman Old Style"/>
                <w:sz w:val="18"/>
              </w:rPr>
            </w:pPr>
            <w:r w:rsidRPr="00FD1F74">
              <w:rPr>
                <w:rFonts w:ascii="Bookman Old Style" w:hAnsi="Bookman Old Style"/>
                <w:sz w:val="18"/>
              </w:rPr>
              <w:t>Smoke Alarms will provide early warning of fire danger, reducing event severity.</w:t>
            </w:r>
          </w:p>
        </w:tc>
        <w:tc>
          <w:tcPr>
            <w:tcW w:w="1915" w:type="dxa"/>
          </w:tcPr>
          <w:p w:rsidR="008142C6" w:rsidRPr="00FD1F74" w:rsidRDefault="00FD1F74" w:rsidP="00423589">
            <w:pPr>
              <w:rPr>
                <w:rFonts w:ascii="Bookman Old Style" w:hAnsi="Bookman Old Style"/>
                <w:sz w:val="18"/>
              </w:rPr>
            </w:pPr>
            <w:r>
              <w:rPr>
                <w:rFonts w:ascii="Bookman Old Style" w:hAnsi="Bookman Old Style"/>
                <w:sz w:val="20"/>
              </w:rPr>
              <w:t xml:space="preserve">Distribute and install </w:t>
            </w:r>
            <w:r w:rsidR="00512CCF">
              <w:rPr>
                <w:rFonts w:ascii="Bookman Old Style" w:hAnsi="Bookman Old Style"/>
                <w:sz w:val="20"/>
              </w:rPr>
              <w:t xml:space="preserve">fire </w:t>
            </w:r>
            <w:r>
              <w:rPr>
                <w:rFonts w:ascii="Bookman Old Style" w:hAnsi="Bookman Old Style"/>
                <w:sz w:val="20"/>
              </w:rPr>
              <w:t>det</w:t>
            </w:r>
            <w:r w:rsidR="00512CCF">
              <w:rPr>
                <w:rFonts w:ascii="Bookman Old Style" w:hAnsi="Bookman Old Style"/>
                <w:sz w:val="20"/>
              </w:rPr>
              <w:t>ection and suppression equipment to at risk populations</w:t>
            </w:r>
          </w:p>
        </w:tc>
        <w:tc>
          <w:tcPr>
            <w:tcW w:w="1915" w:type="dxa"/>
            <w:gridSpan w:val="2"/>
            <w:shd w:val="clear" w:color="auto" w:fill="BFBFBF" w:themeFill="background1" w:themeFillShade="BF"/>
          </w:tcPr>
          <w:p w:rsidR="008142C6" w:rsidRPr="00FD1F74" w:rsidRDefault="008142C6" w:rsidP="00423589">
            <w:pPr>
              <w:rPr>
                <w:rFonts w:ascii="Bookman Old Style" w:hAnsi="Bookman Old Style"/>
                <w:sz w:val="18"/>
              </w:rPr>
            </w:pPr>
          </w:p>
        </w:tc>
        <w:tc>
          <w:tcPr>
            <w:tcW w:w="1915" w:type="dxa"/>
          </w:tcPr>
          <w:p w:rsidR="008142C6" w:rsidRPr="00FD1F74" w:rsidRDefault="007D7271" w:rsidP="00423589">
            <w:pPr>
              <w:rPr>
                <w:rFonts w:ascii="Bookman Old Style" w:hAnsi="Bookman Old Style"/>
                <w:sz w:val="18"/>
              </w:rPr>
            </w:pPr>
            <w:r>
              <w:rPr>
                <w:rFonts w:ascii="Bookman Old Style" w:hAnsi="Bookman Old Style"/>
                <w:sz w:val="18"/>
              </w:rPr>
              <w:t>Monitor success of smoke alarm program.</w:t>
            </w:r>
          </w:p>
        </w:tc>
        <w:tc>
          <w:tcPr>
            <w:tcW w:w="1916" w:type="dxa"/>
          </w:tcPr>
          <w:p w:rsidR="008142C6" w:rsidRPr="00FD1F74" w:rsidRDefault="00FD1F74" w:rsidP="00423589">
            <w:pPr>
              <w:rPr>
                <w:rFonts w:ascii="Bookman Old Style" w:hAnsi="Bookman Old Style"/>
                <w:sz w:val="18"/>
              </w:rPr>
            </w:pPr>
            <w:r>
              <w:rPr>
                <w:rFonts w:ascii="Bookman Old Style" w:hAnsi="Bookman Old Style"/>
                <w:sz w:val="18"/>
              </w:rPr>
              <w:t>Develop building codes requiring residential sprinklers.</w:t>
            </w:r>
          </w:p>
        </w:tc>
      </w:tr>
      <w:tr w:rsidR="003E5957" w:rsidRPr="00EC1624" w:rsidTr="008142C6">
        <w:tc>
          <w:tcPr>
            <w:tcW w:w="1915" w:type="dxa"/>
          </w:tcPr>
          <w:p w:rsidR="003E5957" w:rsidRPr="00645AA9" w:rsidRDefault="003E5957" w:rsidP="00423589">
            <w:pPr>
              <w:rPr>
                <w:rFonts w:ascii="Bookman Old Style" w:hAnsi="Bookman Old Style"/>
                <w:b/>
              </w:rPr>
            </w:pPr>
            <w:r w:rsidRPr="00645AA9">
              <w:rPr>
                <w:rFonts w:ascii="Bookman Old Style" w:hAnsi="Bookman Old Style"/>
                <w:b/>
              </w:rPr>
              <w:t>Enforcement:</w:t>
            </w:r>
          </w:p>
          <w:p w:rsidR="003E5957" w:rsidRPr="00EC1624" w:rsidRDefault="002777DD" w:rsidP="00423589">
            <w:pPr>
              <w:rPr>
                <w:rFonts w:ascii="Bookman Old Style" w:hAnsi="Bookman Old Style"/>
              </w:rPr>
            </w:pPr>
            <w:r w:rsidRPr="00FD1F74">
              <w:rPr>
                <w:rFonts w:ascii="Bookman Old Style" w:hAnsi="Bookman Old Style"/>
                <w:sz w:val="18"/>
              </w:rPr>
              <w:t>Collaborate</w:t>
            </w:r>
            <w:r w:rsidR="00FD1F74">
              <w:rPr>
                <w:rFonts w:ascii="Bookman Old Style" w:hAnsi="Bookman Old Style"/>
                <w:sz w:val="18"/>
              </w:rPr>
              <w:t xml:space="preserve"> with the Inspection Services</w:t>
            </w:r>
            <w:r w:rsidR="003E5957" w:rsidRPr="00FD1F74">
              <w:rPr>
                <w:rFonts w:ascii="Bookman Old Style" w:hAnsi="Bookman Old Style"/>
                <w:sz w:val="18"/>
              </w:rPr>
              <w:t xml:space="preserve"> to </w:t>
            </w:r>
            <w:r w:rsidRPr="00FD1F74">
              <w:rPr>
                <w:rFonts w:ascii="Bookman Old Style" w:hAnsi="Bookman Old Style"/>
                <w:sz w:val="18"/>
              </w:rPr>
              <w:t xml:space="preserve">develop and </w:t>
            </w:r>
            <w:r w:rsidR="003E5957" w:rsidRPr="00FD1F74">
              <w:rPr>
                <w:rFonts w:ascii="Bookman Old Style" w:hAnsi="Bookman Old Style"/>
                <w:sz w:val="18"/>
              </w:rPr>
              <w:t>reinforce the safety messages.</w:t>
            </w:r>
          </w:p>
        </w:tc>
        <w:tc>
          <w:tcPr>
            <w:tcW w:w="1915" w:type="dxa"/>
          </w:tcPr>
          <w:p w:rsidR="003E5957" w:rsidRPr="00FD1F74" w:rsidRDefault="00512CCF" w:rsidP="00423589">
            <w:pPr>
              <w:rPr>
                <w:rFonts w:ascii="Bookman Old Style" w:hAnsi="Bookman Old Style"/>
                <w:sz w:val="18"/>
              </w:rPr>
            </w:pPr>
            <w:r>
              <w:rPr>
                <w:rFonts w:ascii="Bookman Old Style" w:hAnsi="Bookman Old Style"/>
                <w:sz w:val="18"/>
              </w:rPr>
              <w:t>Obtain</w:t>
            </w:r>
            <w:r w:rsidR="003E5957" w:rsidRPr="00FD1F74">
              <w:rPr>
                <w:rFonts w:ascii="Bookman Old Style" w:hAnsi="Bookman Old Style"/>
                <w:sz w:val="18"/>
              </w:rPr>
              <w:t xml:space="preserve"> information from the </w:t>
            </w:r>
            <w:r w:rsidR="00107E08" w:rsidRPr="00FD1F74">
              <w:rPr>
                <w:rFonts w:ascii="Bookman Old Style" w:hAnsi="Bookman Old Style"/>
                <w:sz w:val="18"/>
              </w:rPr>
              <w:t>R</w:t>
            </w:r>
            <w:r w:rsidR="00423589" w:rsidRPr="00FD1F74">
              <w:rPr>
                <w:rFonts w:ascii="Bookman Old Style" w:hAnsi="Bookman Old Style"/>
                <w:sz w:val="18"/>
              </w:rPr>
              <w:t xml:space="preserve">ental </w:t>
            </w:r>
            <w:r w:rsidR="00107E08" w:rsidRPr="00FD1F74">
              <w:rPr>
                <w:rFonts w:ascii="Bookman Old Style" w:hAnsi="Bookman Old Style"/>
                <w:sz w:val="18"/>
              </w:rPr>
              <w:t>I</w:t>
            </w:r>
            <w:r w:rsidR="003E5957" w:rsidRPr="00FD1F74">
              <w:rPr>
                <w:rFonts w:ascii="Bookman Old Style" w:hAnsi="Bookman Old Style"/>
                <w:sz w:val="18"/>
              </w:rPr>
              <w:t>nspection program</w:t>
            </w:r>
            <w:r>
              <w:rPr>
                <w:rFonts w:ascii="Bookman Old Style" w:hAnsi="Bookman Old Style"/>
                <w:sz w:val="18"/>
              </w:rPr>
              <w:t xml:space="preserve"> to identify occupancies</w:t>
            </w:r>
            <w:r w:rsidR="00423589" w:rsidRPr="00FD1F74">
              <w:rPr>
                <w:rFonts w:ascii="Bookman Old Style" w:hAnsi="Bookman Old Style"/>
                <w:sz w:val="18"/>
              </w:rPr>
              <w:t xml:space="preserve"> where more education is needed.</w:t>
            </w:r>
          </w:p>
        </w:tc>
        <w:tc>
          <w:tcPr>
            <w:tcW w:w="1915" w:type="dxa"/>
            <w:gridSpan w:val="2"/>
          </w:tcPr>
          <w:p w:rsidR="003E5957" w:rsidRPr="00FD1F74" w:rsidRDefault="00512CCF" w:rsidP="00423589">
            <w:pPr>
              <w:rPr>
                <w:rFonts w:ascii="Bookman Old Style" w:hAnsi="Bookman Old Style"/>
                <w:sz w:val="18"/>
              </w:rPr>
            </w:pPr>
            <w:r>
              <w:rPr>
                <w:rFonts w:ascii="Bookman Old Style" w:hAnsi="Bookman Old Style"/>
                <w:sz w:val="18"/>
              </w:rPr>
              <w:t>Develop in home safety inspection program.</w:t>
            </w:r>
          </w:p>
        </w:tc>
        <w:tc>
          <w:tcPr>
            <w:tcW w:w="1915" w:type="dxa"/>
          </w:tcPr>
          <w:p w:rsidR="003E5957" w:rsidRPr="00FD1F74" w:rsidRDefault="00512CCF" w:rsidP="00423589">
            <w:pPr>
              <w:rPr>
                <w:rFonts w:ascii="Bookman Old Style" w:hAnsi="Bookman Old Style"/>
                <w:sz w:val="18"/>
              </w:rPr>
            </w:pPr>
            <w:r>
              <w:rPr>
                <w:rFonts w:ascii="Bookman Old Style" w:hAnsi="Bookman Old Style"/>
                <w:sz w:val="18"/>
              </w:rPr>
              <w:t>Perform voluntary in home safety inspections when requested.</w:t>
            </w:r>
          </w:p>
        </w:tc>
        <w:tc>
          <w:tcPr>
            <w:tcW w:w="1916" w:type="dxa"/>
          </w:tcPr>
          <w:p w:rsidR="00107E08" w:rsidRPr="00FD1F74" w:rsidRDefault="00512CCF" w:rsidP="00423589">
            <w:pPr>
              <w:rPr>
                <w:rFonts w:ascii="Bookman Old Style" w:hAnsi="Bookman Old Style"/>
                <w:sz w:val="18"/>
              </w:rPr>
            </w:pPr>
            <w:r>
              <w:rPr>
                <w:rFonts w:ascii="Bookman Old Style" w:hAnsi="Bookman Old Style"/>
                <w:sz w:val="18"/>
              </w:rPr>
              <w:t>Merge fire department and inspection services.</w:t>
            </w:r>
          </w:p>
        </w:tc>
      </w:tr>
      <w:tr w:rsidR="00107E08" w:rsidRPr="00EC1624" w:rsidTr="00E9300A">
        <w:trPr>
          <w:trHeight w:val="1232"/>
        </w:trPr>
        <w:tc>
          <w:tcPr>
            <w:tcW w:w="1915" w:type="dxa"/>
          </w:tcPr>
          <w:p w:rsidR="00107E08" w:rsidRDefault="00107E08" w:rsidP="00423589">
            <w:pPr>
              <w:rPr>
                <w:rFonts w:ascii="Bookman Old Style" w:hAnsi="Bookman Old Style"/>
                <w:b/>
              </w:rPr>
            </w:pPr>
            <w:r w:rsidRPr="00645AA9">
              <w:rPr>
                <w:rFonts w:ascii="Bookman Old Style" w:hAnsi="Bookman Old Style"/>
                <w:b/>
              </w:rPr>
              <w:t>Economic:</w:t>
            </w:r>
          </w:p>
          <w:p w:rsidR="007D7271" w:rsidRPr="007D7271" w:rsidRDefault="007D7271" w:rsidP="00423589">
            <w:pPr>
              <w:rPr>
                <w:rFonts w:ascii="Bookman Old Style" w:hAnsi="Bookman Old Style"/>
                <w:sz w:val="18"/>
                <w:szCs w:val="18"/>
              </w:rPr>
            </w:pPr>
            <w:r>
              <w:rPr>
                <w:rFonts w:ascii="Bookman Old Style" w:hAnsi="Bookman Old Style"/>
                <w:sz w:val="18"/>
                <w:szCs w:val="18"/>
              </w:rPr>
              <w:t>Loss from fire has a negative impact on the General Fund.</w:t>
            </w:r>
          </w:p>
          <w:p w:rsidR="00107E08" w:rsidRPr="00EC1624" w:rsidRDefault="00130D5E" w:rsidP="00423589">
            <w:pPr>
              <w:rPr>
                <w:rFonts w:ascii="Bookman Old Style" w:hAnsi="Bookman Old Style"/>
              </w:rPr>
            </w:pPr>
            <w:r w:rsidRPr="00FD1F74">
              <w:rPr>
                <w:rFonts w:ascii="Bookman Old Style" w:hAnsi="Bookman Old Style"/>
                <w:sz w:val="18"/>
              </w:rPr>
              <w:t xml:space="preserve"> </w:t>
            </w:r>
          </w:p>
        </w:tc>
        <w:tc>
          <w:tcPr>
            <w:tcW w:w="1915" w:type="dxa"/>
          </w:tcPr>
          <w:p w:rsidR="00107E08" w:rsidRPr="00FD1F74" w:rsidRDefault="007D7271" w:rsidP="00423589">
            <w:pPr>
              <w:rPr>
                <w:rFonts w:ascii="Bookman Old Style" w:hAnsi="Bookman Old Style"/>
                <w:sz w:val="18"/>
              </w:rPr>
            </w:pPr>
            <w:r>
              <w:rPr>
                <w:rFonts w:ascii="Bookman Old Style" w:hAnsi="Bookman Old Style"/>
                <w:sz w:val="18"/>
              </w:rPr>
              <w:t>Connect</w:t>
            </w:r>
            <w:r w:rsidR="00130D5E" w:rsidRPr="00FD1F74">
              <w:rPr>
                <w:rFonts w:ascii="Bookman Old Style" w:hAnsi="Bookman Old Style"/>
                <w:sz w:val="18"/>
              </w:rPr>
              <w:t xml:space="preserve"> people with insurance providers to find the coverage they need.</w:t>
            </w:r>
          </w:p>
        </w:tc>
        <w:tc>
          <w:tcPr>
            <w:tcW w:w="1915" w:type="dxa"/>
            <w:gridSpan w:val="2"/>
          </w:tcPr>
          <w:p w:rsidR="00107E08" w:rsidRPr="00FD1F74" w:rsidRDefault="007D7271" w:rsidP="00423589">
            <w:pPr>
              <w:rPr>
                <w:rFonts w:ascii="Bookman Old Style" w:hAnsi="Bookman Old Style"/>
                <w:sz w:val="18"/>
              </w:rPr>
            </w:pPr>
            <w:r>
              <w:rPr>
                <w:rFonts w:ascii="Bookman Old Style" w:hAnsi="Bookman Old Style"/>
                <w:sz w:val="18"/>
              </w:rPr>
              <w:t>Identify community partners that will assist in restoration projects.</w:t>
            </w:r>
          </w:p>
        </w:tc>
        <w:tc>
          <w:tcPr>
            <w:tcW w:w="1915" w:type="dxa"/>
            <w:shd w:val="clear" w:color="auto" w:fill="BFBFBF" w:themeFill="background1" w:themeFillShade="BF"/>
          </w:tcPr>
          <w:p w:rsidR="00107E08" w:rsidRPr="00FD1F74" w:rsidRDefault="00107E08" w:rsidP="00423589">
            <w:pPr>
              <w:rPr>
                <w:rFonts w:ascii="Bookman Old Style" w:hAnsi="Bookman Old Style"/>
                <w:sz w:val="18"/>
              </w:rPr>
            </w:pPr>
          </w:p>
        </w:tc>
        <w:tc>
          <w:tcPr>
            <w:tcW w:w="1916" w:type="dxa"/>
          </w:tcPr>
          <w:p w:rsidR="00107E08" w:rsidRPr="00FD1F74" w:rsidRDefault="007D7271" w:rsidP="00423589">
            <w:pPr>
              <w:rPr>
                <w:rFonts w:ascii="Bookman Old Style" w:hAnsi="Bookman Old Style"/>
                <w:sz w:val="18"/>
              </w:rPr>
            </w:pPr>
            <w:r>
              <w:rPr>
                <w:rFonts w:ascii="Bookman Old Style" w:hAnsi="Bookman Old Style"/>
                <w:sz w:val="18"/>
              </w:rPr>
              <w:t>Achieve a</w:t>
            </w:r>
            <w:r w:rsidRPr="00FD1F74">
              <w:rPr>
                <w:rFonts w:ascii="Bookman Old Style" w:hAnsi="Bookman Old Style"/>
                <w:sz w:val="18"/>
              </w:rPr>
              <w:t xml:space="preserve"> reduct</w:t>
            </w:r>
            <w:r>
              <w:rPr>
                <w:rFonts w:ascii="Bookman Old Style" w:hAnsi="Bookman Old Style"/>
                <w:sz w:val="18"/>
              </w:rPr>
              <w:t>ion in property loss due to cooking fires.</w:t>
            </w:r>
          </w:p>
        </w:tc>
      </w:tr>
      <w:tr w:rsidR="00130D5E" w:rsidRPr="00EC1624" w:rsidTr="00D345A9">
        <w:tc>
          <w:tcPr>
            <w:tcW w:w="1915" w:type="dxa"/>
          </w:tcPr>
          <w:p w:rsidR="00130D5E" w:rsidRPr="00645AA9" w:rsidRDefault="00130D5E" w:rsidP="00423589">
            <w:pPr>
              <w:rPr>
                <w:rFonts w:ascii="Bookman Old Style" w:hAnsi="Bookman Old Style"/>
                <w:b/>
              </w:rPr>
            </w:pPr>
            <w:r w:rsidRPr="00645AA9">
              <w:rPr>
                <w:rFonts w:ascii="Bookman Old Style" w:hAnsi="Bookman Old Style"/>
                <w:b/>
              </w:rPr>
              <w:t xml:space="preserve">Emergency Response: </w:t>
            </w:r>
          </w:p>
          <w:p w:rsidR="00130D5E" w:rsidRPr="007D7271" w:rsidRDefault="00E9300A" w:rsidP="00423589">
            <w:pPr>
              <w:rPr>
                <w:rFonts w:ascii="Bookman Old Style" w:hAnsi="Bookman Old Style"/>
                <w:sz w:val="18"/>
              </w:rPr>
            </w:pPr>
            <w:r>
              <w:rPr>
                <w:rFonts w:ascii="Bookman Old Style" w:hAnsi="Bookman Old Style"/>
                <w:sz w:val="18"/>
              </w:rPr>
              <w:t>Early warning of cooking fires will reduce the incident complexity.</w:t>
            </w:r>
          </w:p>
        </w:tc>
        <w:tc>
          <w:tcPr>
            <w:tcW w:w="1915" w:type="dxa"/>
          </w:tcPr>
          <w:p w:rsidR="00130D5E" w:rsidRPr="00FD1F74" w:rsidRDefault="00D345A9" w:rsidP="00423589">
            <w:pPr>
              <w:rPr>
                <w:rFonts w:ascii="Bookman Old Style" w:hAnsi="Bookman Old Style"/>
                <w:sz w:val="18"/>
              </w:rPr>
            </w:pPr>
            <w:r>
              <w:rPr>
                <w:rFonts w:ascii="Bookman Old Style" w:hAnsi="Bookman Old Style"/>
                <w:sz w:val="18"/>
              </w:rPr>
              <w:t>Development of a program that identifies at risk occupancies and at risk populations.</w:t>
            </w:r>
          </w:p>
        </w:tc>
        <w:tc>
          <w:tcPr>
            <w:tcW w:w="1915" w:type="dxa"/>
            <w:gridSpan w:val="2"/>
          </w:tcPr>
          <w:p w:rsidR="00130D5E" w:rsidRPr="00FD1F74" w:rsidRDefault="00D345A9" w:rsidP="00423589">
            <w:pPr>
              <w:rPr>
                <w:rFonts w:ascii="Bookman Old Style" w:hAnsi="Bookman Old Style"/>
                <w:sz w:val="18"/>
              </w:rPr>
            </w:pPr>
            <w:r>
              <w:rPr>
                <w:rFonts w:ascii="Bookman Old Style" w:hAnsi="Bookman Old Style"/>
                <w:sz w:val="18"/>
              </w:rPr>
              <w:t>Adopt and follow the recommendations of the Pasco Fire Department Master Plan</w:t>
            </w:r>
          </w:p>
        </w:tc>
        <w:tc>
          <w:tcPr>
            <w:tcW w:w="1915" w:type="dxa"/>
          </w:tcPr>
          <w:p w:rsidR="00130D5E" w:rsidRPr="00FD1F74" w:rsidRDefault="00512CCF" w:rsidP="00423589">
            <w:pPr>
              <w:rPr>
                <w:rFonts w:ascii="Bookman Old Style" w:hAnsi="Bookman Old Style"/>
                <w:sz w:val="18"/>
              </w:rPr>
            </w:pPr>
            <w:r>
              <w:rPr>
                <w:rFonts w:ascii="Bookman Old Style" w:hAnsi="Bookman Old Style"/>
                <w:sz w:val="18"/>
              </w:rPr>
              <w:t>Achieve WSRB rating of 4 or better.</w:t>
            </w:r>
          </w:p>
        </w:tc>
        <w:tc>
          <w:tcPr>
            <w:tcW w:w="1916" w:type="dxa"/>
            <w:shd w:val="clear" w:color="auto" w:fill="BFBFBF" w:themeFill="background1" w:themeFillShade="BF"/>
          </w:tcPr>
          <w:p w:rsidR="00130D5E" w:rsidRPr="00FD1F74" w:rsidRDefault="00D345A9" w:rsidP="00423589">
            <w:pPr>
              <w:rPr>
                <w:rFonts w:ascii="Bookman Old Style" w:hAnsi="Bookman Old Style"/>
                <w:sz w:val="18"/>
              </w:rPr>
            </w:pPr>
            <w:r>
              <w:rPr>
                <w:rFonts w:ascii="Bookman Old Style" w:hAnsi="Bookman Old Style"/>
                <w:sz w:val="18"/>
              </w:rPr>
              <w:t>.</w:t>
            </w:r>
          </w:p>
        </w:tc>
      </w:tr>
      <w:tr w:rsidR="00F57247" w:rsidRPr="00EC1624" w:rsidTr="00F57247">
        <w:tc>
          <w:tcPr>
            <w:tcW w:w="4788" w:type="dxa"/>
            <w:gridSpan w:val="3"/>
          </w:tcPr>
          <w:p w:rsidR="00F57247" w:rsidRPr="00645AA9" w:rsidRDefault="00F57247" w:rsidP="005A6F5E">
            <w:pPr>
              <w:jc w:val="both"/>
              <w:rPr>
                <w:rFonts w:ascii="Bookman Old Style" w:hAnsi="Bookman Old Style"/>
                <w:b/>
              </w:rPr>
            </w:pPr>
            <w:r w:rsidRPr="00645AA9">
              <w:rPr>
                <w:rFonts w:ascii="Bookman Old Style" w:hAnsi="Bookman Old Style"/>
                <w:b/>
              </w:rPr>
              <w:t>Rational:</w:t>
            </w:r>
          </w:p>
        </w:tc>
        <w:tc>
          <w:tcPr>
            <w:tcW w:w="4788" w:type="dxa"/>
            <w:gridSpan w:val="3"/>
          </w:tcPr>
          <w:p w:rsidR="00F57247" w:rsidRPr="00645AA9" w:rsidRDefault="00F57247" w:rsidP="005A6F5E">
            <w:pPr>
              <w:jc w:val="both"/>
              <w:rPr>
                <w:rFonts w:ascii="Bookman Old Style" w:hAnsi="Bookman Old Style"/>
                <w:b/>
              </w:rPr>
            </w:pPr>
            <w:r w:rsidRPr="00645AA9">
              <w:rPr>
                <w:rFonts w:ascii="Bookman Old Style" w:hAnsi="Bookman Old Style"/>
                <w:b/>
              </w:rPr>
              <w:t>Assumptions:</w:t>
            </w:r>
          </w:p>
        </w:tc>
      </w:tr>
      <w:tr w:rsidR="00F57247" w:rsidRPr="00EC1624" w:rsidTr="00F57247">
        <w:tc>
          <w:tcPr>
            <w:tcW w:w="4788" w:type="dxa"/>
            <w:gridSpan w:val="3"/>
          </w:tcPr>
          <w:p w:rsidR="00F57247" w:rsidRPr="00EC1624" w:rsidRDefault="00E9300A" w:rsidP="007D7271">
            <w:pPr>
              <w:jc w:val="both"/>
              <w:rPr>
                <w:rFonts w:ascii="Bookman Old Style" w:hAnsi="Bookman Old Style"/>
              </w:rPr>
            </w:pPr>
            <w:r>
              <w:rPr>
                <w:rFonts w:ascii="Bookman Old Style" w:hAnsi="Bookman Old Style"/>
              </w:rPr>
              <w:t>Cooking</w:t>
            </w:r>
            <w:r w:rsidR="007D7271">
              <w:rPr>
                <w:rFonts w:ascii="Bookman Old Style" w:hAnsi="Bookman Old Style"/>
              </w:rPr>
              <w:t xml:space="preserve"> fires have a large</w:t>
            </w:r>
            <w:r>
              <w:rPr>
                <w:rFonts w:ascii="Bookman Old Style" w:hAnsi="Bookman Old Style"/>
              </w:rPr>
              <w:t xml:space="preserve"> financial and service</w:t>
            </w:r>
            <w:r w:rsidR="00217BB7">
              <w:rPr>
                <w:rFonts w:ascii="Bookman Old Style" w:hAnsi="Bookman Old Style"/>
              </w:rPr>
              <w:t xml:space="preserve"> impact to the community. </w:t>
            </w:r>
          </w:p>
        </w:tc>
        <w:tc>
          <w:tcPr>
            <w:tcW w:w="4788" w:type="dxa"/>
            <w:gridSpan w:val="3"/>
          </w:tcPr>
          <w:p w:rsidR="00645AA9" w:rsidRPr="00EC1624" w:rsidRDefault="00E9300A" w:rsidP="00645AA9">
            <w:pPr>
              <w:jc w:val="both"/>
              <w:rPr>
                <w:rFonts w:ascii="Bookman Old Style" w:hAnsi="Bookman Old Style"/>
              </w:rPr>
            </w:pPr>
            <w:r>
              <w:rPr>
                <w:rFonts w:ascii="Bookman Old Style" w:hAnsi="Bookman Old Style"/>
              </w:rPr>
              <w:t>The impacts to the community can be reduced through education and early warning and suppression of cooking fires.</w:t>
            </w:r>
          </w:p>
        </w:tc>
      </w:tr>
      <w:tr w:rsidR="00F57247" w:rsidRPr="00EC1624" w:rsidTr="00F57247">
        <w:tc>
          <w:tcPr>
            <w:tcW w:w="9576" w:type="dxa"/>
            <w:gridSpan w:val="6"/>
          </w:tcPr>
          <w:p w:rsidR="00645AA9" w:rsidRPr="00EC1624" w:rsidRDefault="00F57247" w:rsidP="007D7271">
            <w:pPr>
              <w:jc w:val="both"/>
              <w:rPr>
                <w:rFonts w:ascii="Bookman Old Style" w:hAnsi="Bookman Old Style"/>
              </w:rPr>
            </w:pPr>
            <w:r w:rsidRPr="00645AA9">
              <w:rPr>
                <w:rFonts w:ascii="Bookman Old Style" w:hAnsi="Bookman Old Style"/>
                <w:b/>
              </w:rPr>
              <w:t>External expectations:</w:t>
            </w:r>
            <w:r w:rsidR="00645AA9">
              <w:rPr>
                <w:rFonts w:ascii="Bookman Old Style" w:hAnsi="Bookman Old Style"/>
              </w:rPr>
              <w:t xml:space="preserve"> </w:t>
            </w:r>
            <w:r w:rsidR="007D7271">
              <w:rPr>
                <w:rFonts w:ascii="Bookman Old Style" w:hAnsi="Bookman Old Style"/>
              </w:rPr>
              <w:t xml:space="preserve"> </w:t>
            </w:r>
            <w:r w:rsidR="00D345A9">
              <w:rPr>
                <w:rFonts w:ascii="Bookman Old Style" w:hAnsi="Bookman Old Style"/>
              </w:rPr>
              <w:t>The reduction of cooking fires will have a positive effect on the achievement of a WSRB Class 4 rating of the community.</w:t>
            </w:r>
          </w:p>
        </w:tc>
      </w:tr>
    </w:tbl>
    <w:p w:rsidR="0045109A" w:rsidRPr="00EC1624" w:rsidRDefault="0045109A" w:rsidP="005A6F5E">
      <w:pPr>
        <w:jc w:val="both"/>
        <w:rPr>
          <w:rFonts w:ascii="Bookman Old Style" w:hAnsi="Bookman Old Style"/>
        </w:rPr>
      </w:pPr>
    </w:p>
    <w:p w:rsidR="00130D5E" w:rsidRDefault="00130D5E" w:rsidP="005A6F5E">
      <w:pPr>
        <w:jc w:val="both"/>
        <w:rPr>
          <w:rFonts w:ascii="Bookman Old Style" w:hAnsi="Bookman Old Style"/>
        </w:rPr>
      </w:pPr>
    </w:p>
    <w:p w:rsidR="00B27664" w:rsidRPr="00EC1624" w:rsidRDefault="00B27664" w:rsidP="005A6F5E">
      <w:pPr>
        <w:jc w:val="both"/>
        <w:rPr>
          <w:rFonts w:ascii="Bookman Old Style" w:hAnsi="Bookman Old Style"/>
        </w:rPr>
      </w:pPr>
    </w:p>
    <w:tbl>
      <w:tblPr>
        <w:tblStyle w:val="TableGrid"/>
        <w:tblW w:w="0" w:type="auto"/>
        <w:tblLook w:val="04A0" w:firstRow="1" w:lastRow="0" w:firstColumn="1" w:lastColumn="0" w:noHBand="0" w:noVBand="1"/>
      </w:tblPr>
      <w:tblGrid>
        <w:gridCol w:w="1915"/>
        <w:gridCol w:w="40"/>
        <w:gridCol w:w="1875"/>
        <w:gridCol w:w="36"/>
        <w:gridCol w:w="922"/>
        <w:gridCol w:w="33"/>
        <w:gridCol w:w="924"/>
        <w:gridCol w:w="27"/>
        <w:gridCol w:w="1888"/>
        <w:gridCol w:w="25"/>
        <w:gridCol w:w="1874"/>
        <w:gridCol w:w="17"/>
      </w:tblGrid>
      <w:tr w:rsidR="00FF6737" w:rsidRPr="00EC1624" w:rsidTr="00E319EA">
        <w:trPr>
          <w:trHeight w:val="305"/>
        </w:trPr>
        <w:tc>
          <w:tcPr>
            <w:tcW w:w="9576" w:type="dxa"/>
            <w:gridSpan w:val="12"/>
            <w:shd w:val="clear" w:color="auto" w:fill="B8CCE4" w:themeFill="accent1" w:themeFillTint="66"/>
          </w:tcPr>
          <w:p w:rsidR="00FF6737" w:rsidRPr="00EC1624" w:rsidRDefault="00B25A4C" w:rsidP="005A6F5E">
            <w:pPr>
              <w:jc w:val="both"/>
              <w:rPr>
                <w:rFonts w:ascii="Bookman Old Style" w:hAnsi="Bookman Old Style"/>
              </w:rPr>
            </w:pPr>
            <w:r>
              <w:rPr>
                <w:rFonts w:ascii="Bookman Old Style" w:hAnsi="Bookman Old Style"/>
              </w:rPr>
              <w:lastRenderedPageBreak/>
              <w:br w:type="page"/>
            </w:r>
            <w:bookmarkStart w:id="12" w:name="_Hlk482581633"/>
            <w:r w:rsidR="0073619B">
              <w:rPr>
                <w:rFonts w:ascii="Bookman Old Style" w:hAnsi="Bookman Old Style"/>
                <w:b/>
              </w:rPr>
              <w:t>Risk Two -</w:t>
            </w:r>
            <w:r w:rsidR="00FF6737" w:rsidRPr="00EC1624">
              <w:rPr>
                <w:rFonts w:ascii="Bookman Old Style" w:hAnsi="Bookman Old Style"/>
              </w:rPr>
              <w:t xml:space="preserve"> Injuries and deaths from slips, trips and</w:t>
            </w:r>
            <w:r w:rsidR="007A1CFF">
              <w:rPr>
                <w:rFonts w:ascii="Bookman Old Style" w:hAnsi="Bookman Old Style"/>
              </w:rPr>
              <w:t xml:space="preserve"> falls</w:t>
            </w:r>
            <w:r w:rsidR="00FF6737" w:rsidRPr="00EC1624">
              <w:rPr>
                <w:rFonts w:ascii="Bookman Old Style" w:hAnsi="Bookman Old Style"/>
              </w:rPr>
              <w:t xml:space="preserve">. </w:t>
            </w:r>
          </w:p>
        </w:tc>
      </w:tr>
      <w:tr w:rsidR="00FF6737" w:rsidRPr="00EC1624" w:rsidTr="001D7A0F">
        <w:trPr>
          <w:trHeight w:val="330"/>
        </w:trPr>
        <w:tc>
          <w:tcPr>
            <w:tcW w:w="9576" w:type="dxa"/>
            <w:gridSpan w:val="12"/>
          </w:tcPr>
          <w:p w:rsidR="00FF6737" w:rsidRPr="00EC1624" w:rsidRDefault="00FF6737" w:rsidP="009845F7">
            <w:pPr>
              <w:rPr>
                <w:rFonts w:ascii="Bookman Old Style" w:hAnsi="Bookman Old Style"/>
              </w:rPr>
            </w:pPr>
            <w:r w:rsidRPr="00444E8E">
              <w:rPr>
                <w:rFonts w:ascii="Bookman Old Style" w:hAnsi="Bookman Old Style"/>
                <w:b/>
              </w:rPr>
              <w:t>Program Goal</w:t>
            </w:r>
            <w:r w:rsidRPr="00EC1624">
              <w:rPr>
                <w:rFonts w:ascii="Bookman Old Style" w:hAnsi="Bookman Old Style"/>
              </w:rPr>
              <w:t xml:space="preserve">: </w:t>
            </w:r>
            <w:r w:rsidR="00E319EA">
              <w:rPr>
                <w:rFonts w:ascii="Bookman Old Style" w:hAnsi="Bookman Old Style"/>
              </w:rPr>
              <w:t>With collaborative partnerships, p</w:t>
            </w:r>
            <w:r w:rsidRPr="00EC1624">
              <w:rPr>
                <w:rFonts w:ascii="Bookman Old Style" w:hAnsi="Bookman Old Style"/>
              </w:rPr>
              <w:t xml:space="preserve">rovide Safety Education and </w:t>
            </w:r>
            <w:r w:rsidR="00E319EA">
              <w:rPr>
                <w:rFonts w:ascii="Bookman Old Style" w:hAnsi="Bookman Old Style"/>
              </w:rPr>
              <w:t>in-home assessments</w:t>
            </w:r>
            <w:r w:rsidRPr="00EC1624">
              <w:rPr>
                <w:rFonts w:ascii="Bookman Old Style" w:hAnsi="Bookman Old Style"/>
              </w:rPr>
              <w:t xml:space="preserve"> to prevent future instanc</w:t>
            </w:r>
            <w:r w:rsidR="00E319EA">
              <w:rPr>
                <w:rFonts w:ascii="Bookman Old Style" w:hAnsi="Bookman Old Style"/>
              </w:rPr>
              <w:t xml:space="preserve">es. </w:t>
            </w:r>
            <w:r w:rsidR="00BB6E92" w:rsidRPr="00EC1624">
              <w:rPr>
                <w:rFonts w:ascii="Bookman Old Style" w:hAnsi="Bookman Old Style"/>
              </w:rPr>
              <w:t xml:space="preserve"> </w:t>
            </w:r>
          </w:p>
        </w:tc>
      </w:tr>
      <w:tr w:rsidR="00FF6737" w:rsidRPr="00EC1624" w:rsidTr="001D7A0F">
        <w:trPr>
          <w:trHeight w:val="330"/>
        </w:trPr>
        <w:tc>
          <w:tcPr>
            <w:tcW w:w="9576" w:type="dxa"/>
            <w:gridSpan w:val="12"/>
          </w:tcPr>
          <w:p w:rsidR="00FF6737" w:rsidRPr="00EC1624" w:rsidRDefault="00FF6737" w:rsidP="009845F7">
            <w:pPr>
              <w:rPr>
                <w:rFonts w:ascii="Bookman Old Style" w:hAnsi="Bookman Old Style"/>
              </w:rPr>
            </w:pPr>
            <w:r w:rsidRPr="00444E8E">
              <w:rPr>
                <w:rFonts w:ascii="Bookman Old Style" w:hAnsi="Bookman Old Style"/>
                <w:b/>
              </w:rPr>
              <w:t>Resources Required</w:t>
            </w:r>
            <w:r w:rsidRPr="00EC1624">
              <w:rPr>
                <w:rFonts w:ascii="Bookman Old Style" w:hAnsi="Bookman Old Style"/>
              </w:rPr>
              <w:t xml:space="preserve">: </w:t>
            </w:r>
            <w:r w:rsidR="008F0B12" w:rsidRPr="00EC1624">
              <w:rPr>
                <w:rFonts w:ascii="Bookman Old Style" w:hAnsi="Bookman Old Style"/>
              </w:rPr>
              <w:t xml:space="preserve">Safety </w:t>
            </w:r>
            <w:r w:rsidR="00BB6E92" w:rsidRPr="00EC1624">
              <w:rPr>
                <w:rFonts w:ascii="Bookman Old Style" w:hAnsi="Bookman Old Style"/>
              </w:rPr>
              <w:t>equipment</w:t>
            </w:r>
            <w:r w:rsidR="009845F7">
              <w:rPr>
                <w:rFonts w:ascii="Bookman Old Style" w:hAnsi="Bookman Old Style"/>
              </w:rPr>
              <w:t xml:space="preserve">, </w:t>
            </w:r>
            <w:r w:rsidRPr="00EC1624">
              <w:rPr>
                <w:rFonts w:ascii="Bookman Old Style" w:hAnsi="Bookman Old Style"/>
              </w:rPr>
              <w:t>Printed materials</w:t>
            </w:r>
            <w:r w:rsidR="009845F7">
              <w:rPr>
                <w:rFonts w:ascii="Bookman Old Style" w:hAnsi="Bookman Old Style"/>
              </w:rPr>
              <w:t xml:space="preserve">, Audio/Visual equipment, </w:t>
            </w:r>
            <w:r w:rsidRPr="00EC1624">
              <w:rPr>
                <w:rFonts w:ascii="Bookman Old Style" w:hAnsi="Bookman Old Style"/>
              </w:rPr>
              <w:t>Installation equipment</w:t>
            </w:r>
            <w:r w:rsidR="009845F7">
              <w:rPr>
                <w:rFonts w:ascii="Bookman Old Style" w:hAnsi="Bookman Old Style"/>
              </w:rPr>
              <w:t xml:space="preserve">, and Community </w:t>
            </w:r>
            <w:r w:rsidR="009845F7" w:rsidRPr="00EC1624">
              <w:rPr>
                <w:rFonts w:ascii="Bookman Old Style" w:hAnsi="Bookman Old Style"/>
              </w:rPr>
              <w:t>Partners</w:t>
            </w:r>
            <w:r w:rsidR="009845F7">
              <w:rPr>
                <w:rFonts w:ascii="Bookman Old Style" w:hAnsi="Bookman Old Style"/>
              </w:rPr>
              <w:t>.</w:t>
            </w:r>
            <w:r w:rsidRPr="00EC1624">
              <w:rPr>
                <w:rFonts w:ascii="Bookman Old Style" w:hAnsi="Bookman Old Style"/>
              </w:rPr>
              <w:t xml:space="preserve">                    </w:t>
            </w:r>
            <w:r w:rsidR="009845F7">
              <w:rPr>
                <w:rFonts w:ascii="Bookman Old Style" w:hAnsi="Bookman Old Style"/>
              </w:rPr>
              <w:t xml:space="preserve">                           </w:t>
            </w:r>
          </w:p>
        </w:tc>
      </w:tr>
      <w:tr w:rsidR="008F0B12" w:rsidRPr="00EC1624" w:rsidTr="001D7A0F">
        <w:tc>
          <w:tcPr>
            <w:tcW w:w="1955" w:type="dxa"/>
            <w:gridSpan w:val="2"/>
          </w:tcPr>
          <w:p w:rsidR="008F0B12" w:rsidRPr="00444E8E" w:rsidRDefault="007A1CFF" w:rsidP="007A1CFF">
            <w:pPr>
              <w:jc w:val="center"/>
              <w:rPr>
                <w:rFonts w:ascii="Bookman Old Style" w:hAnsi="Bookman Old Style"/>
                <w:b/>
              </w:rPr>
            </w:pPr>
            <w:r>
              <w:rPr>
                <w:rFonts w:ascii="Bookman Old Style" w:hAnsi="Bookman Old Style"/>
                <w:b/>
              </w:rPr>
              <w:t>Premise Statement</w:t>
            </w:r>
          </w:p>
        </w:tc>
        <w:tc>
          <w:tcPr>
            <w:tcW w:w="1911" w:type="dxa"/>
            <w:gridSpan w:val="2"/>
          </w:tcPr>
          <w:p w:rsidR="008F0B12" w:rsidRPr="00444E8E" w:rsidRDefault="002D634F" w:rsidP="007A1CFF">
            <w:pPr>
              <w:jc w:val="center"/>
              <w:rPr>
                <w:rFonts w:ascii="Bookman Old Style" w:hAnsi="Bookman Old Style"/>
                <w:b/>
              </w:rPr>
            </w:pPr>
            <w:r>
              <w:rPr>
                <w:rFonts w:ascii="Bookman Old Style" w:hAnsi="Bookman Old Style"/>
                <w:b/>
              </w:rPr>
              <w:t>Projects</w:t>
            </w:r>
          </w:p>
        </w:tc>
        <w:tc>
          <w:tcPr>
            <w:tcW w:w="1906" w:type="dxa"/>
            <w:gridSpan w:val="4"/>
          </w:tcPr>
          <w:p w:rsidR="008F0B12" w:rsidRPr="00444E8E" w:rsidRDefault="008F0B12" w:rsidP="007A1CFF">
            <w:pPr>
              <w:jc w:val="center"/>
              <w:rPr>
                <w:rFonts w:ascii="Bookman Old Style" w:hAnsi="Bookman Old Style"/>
                <w:b/>
              </w:rPr>
            </w:pPr>
            <w:r w:rsidRPr="00444E8E">
              <w:rPr>
                <w:rFonts w:ascii="Bookman Old Style" w:hAnsi="Bookman Old Style"/>
                <w:b/>
              </w:rPr>
              <w:t xml:space="preserve">Short-Term </w:t>
            </w:r>
            <w:r w:rsidR="009845F7" w:rsidRPr="00444E8E">
              <w:rPr>
                <w:rFonts w:ascii="Bookman Old Style" w:hAnsi="Bookman Old Style"/>
                <w:b/>
              </w:rPr>
              <w:t>Goals</w:t>
            </w:r>
          </w:p>
        </w:tc>
        <w:tc>
          <w:tcPr>
            <w:tcW w:w="1913" w:type="dxa"/>
            <w:gridSpan w:val="2"/>
          </w:tcPr>
          <w:p w:rsidR="008F0B12" w:rsidRPr="00444E8E" w:rsidRDefault="008F0B12" w:rsidP="007A1CFF">
            <w:pPr>
              <w:jc w:val="center"/>
              <w:rPr>
                <w:rFonts w:ascii="Bookman Old Style" w:hAnsi="Bookman Old Style"/>
                <w:b/>
              </w:rPr>
            </w:pPr>
            <w:r w:rsidRPr="00444E8E">
              <w:rPr>
                <w:rFonts w:ascii="Bookman Old Style" w:hAnsi="Bookman Old Style"/>
                <w:b/>
              </w:rPr>
              <w:t xml:space="preserve">Intermediate </w:t>
            </w:r>
            <w:r w:rsidR="009845F7" w:rsidRPr="00444E8E">
              <w:rPr>
                <w:rFonts w:ascii="Bookman Old Style" w:hAnsi="Bookman Old Style"/>
                <w:b/>
              </w:rPr>
              <w:t>Goals</w:t>
            </w:r>
          </w:p>
        </w:tc>
        <w:tc>
          <w:tcPr>
            <w:tcW w:w="1891" w:type="dxa"/>
            <w:gridSpan w:val="2"/>
          </w:tcPr>
          <w:p w:rsidR="008F0B12" w:rsidRPr="00444E8E" w:rsidRDefault="009845F7" w:rsidP="007A1CFF">
            <w:pPr>
              <w:jc w:val="center"/>
              <w:rPr>
                <w:rFonts w:ascii="Bookman Old Style" w:hAnsi="Bookman Old Style"/>
                <w:b/>
              </w:rPr>
            </w:pPr>
            <w:r w:rsidRPr="00444E8E">
              <w:rPr>
                <w:rFonts w:ascii="Bookman Old Style" w:hAnsi="Bookman Old Style"/>
                <w:b/>
              </w:rPr>
              <w:t>Long-Term Goals</w:t>
            </w:r>
          </w:p>
        </w:tc>
      </w:tr>
      <w:tr w:rsidR="00FF6737" w:rsidRPr="00EC1624" w:rsidTr="000D1963">
        <w:tc>
          <w:tcPr>
            <w:tcW w:w="1955" w:type="dxa"/>
            <w:gridSpan w:val="2"/>
          </w:tcPr>
          <w:p w:rsidR="00FF6737" w:rsidRDefault="008F0B12" w:rsidP="001D7A0F">
            <w:pPr>
              <w:rPr>
                <w:rFonts w:ascii="Bookman Old Style" w:hAnsi="Bookman Old Style"/>
                <w:sz w:val="18"/>
              </w:rPr>
            </w:pPr>
            <w:bookmarkStart w:id="13" w:name="_Hlk482647384"/>
            <w:r w:rsidRPr="00444E8E">
              <w:rPr>
                <w:rFonts w:ascii="Bookman Old Style" w:hAnsi="Bookman Old Style"/>
                <w:b/>
              </w:rPr>
              <w:t>Education</w:t>
            </w:r>
            <w:r w:rsidRPr="00EC1624">
              <w:rPr>
                <w:rFonts w:ascii="Bookman Old Style" w:hAnsi="Bookman Old Style"/>
              </w:rPr>
              <w:t>:</w:t>
            </w:r>
          </w:p>
          <w:p w:rsidR="00E5265D" w:rsidRPr="00E5265D" w:rsidRDefault="00BB523A" w:rsidP="001D7A0F">
            <w:pPr>
              <w:rPr>
                <w:rFonts w:ascii="Bookman Old Style" w:hAnsi="Bookman Old Style"/>
                <w:sz w:val="18"/>
              </w:rPr>
            </w:pPr>
            <w:r>
              <w:rPr>
                <w:rFonts w:ascii="Bookman Old Style" w:hAnsi="Bookman Old Style"/>
                <w:sz w:val="18"/>
              </w:rPr>
              <w:t xml:space="preserve">“At risk” populations are often unaware of the slip, trip, </w:t>
            </w:r>
            <w:proofErr w:type="gramStart"/>
            <w:r>
              <w:rPr>
                <w:rFonts w:ascii="Bookman Old Style" w:hAnsi="Bookman Old Style"/>
                <w:sz w:val="18"/>
              </w:rPr>
              <w:t>fall</w:t>
            </w:r>
            <w:proofErr w:type="gramEnd"/>
            <w:r>
              <w:rPr>
                <w:rFonts w:ascii="Bookman Old Style" w:hAnsi="Bookman Old Style"/>
                <w:sz w:val="18"/>
              </w:rPr>
              <w:t xml:space="preserve"> dangers in their homes.</w:t>
            </w:r>
          </w:p>
        </w:tc>
        <w:tc>
          <w:tcPr>
            <w:tcW w:w="1911" w:type="dxa"/>
            <w:gridSpan w:val="2"/>
          </w:tcPr>
          <w:p w:rsidR="00FF6737" w:rsidRPr="00E319EA" w:rsidRDefault="00E319EA" w:rsidP="001D7A0F">
            <w:pPr>
              <w:rPr>
                <w:rFonts w:ascii="Bookman Old Style" w:hAnsi="Bookman Old Style"/>
                <w:sz w:val="18"/>
              </w:rPr>
            </w:pPr>
            <w:r>
              <w:rPr>
                <w:rFonts w:ascii="Bookman Old Style" w:hAnsi="Bookman Old Style"/>
                <w:sz w:val="18"/>
              </w:rPr>
              <w:t>Utilize local, regional and national resources to develop a slip, trip and fall prevention program.</w:t>
            </w:r>
          </w:p>
        </w:tc>
        <w:tc>
          <w:tcPr>
            <w:tcW w:w="1906" w:type="dxa"/>
            <w:gridSpan w:val="4"/>
          </w:tcPr>
          <w:p w:rsidR="00FF6737" w:rsidRPr="00E319EA" w:rsidRDefault="00E5265D" w:rsidP="001D7A0F">
            <w:pPr>
              <w:rPr>
                <w:rFonts w:ascii="Bookman Old Style" w:hAnsi="Bookman Old Style"/>
                <w:sz w:val="18"/>
              </w:rPr>
            </w:pPr>
            <w:r>
              <w:rPr>
                <w:rFonts w:ascii="Bookman Old Style" w:hAnsi="Bookman Old Style"/>
                <w:sz w:val="18"/>
              </w:rPr>
              <w:t>Identify “at risk” populations through field data collection and referrals from local service organizations</w:t>
            </w:r>
          </w:p>
        </w:tc>
        <w:tc>
          <w:tcPr>
            <w:tcW w:w="1913" w:type="dxa"/>
            <w:gridSpan w:val="2"/>
          </w:tcPr>
          <w:p w:rsidR="001D7A0F" w:rsidRPr="00E319EA" w:rsidRDefault="00BB523A" w:rsidP="00E319EA">
            <w:pPr>
              <w:rPr>
                <w:rFonts w:ascii="Bookman Old Style" w:hAnsi="Bookman Old Style"/>
                <w:sz w:val="18"/>
              </w:rPr>
            </w:pPr>
            <w:r>
              <w:rPr>
                <w:rFonts w:ascii="Bookman Old Style" w:hAnsi="Bookman Old Style"/>
                <w:sz w:val="18"/>
              </w:rPr>
              <w:t>Develop referral process in order to provide education to “at risk:” populations</w:t>
            </w:r>
          </w:p>
        </w:tc>
        <w:tc>
          <w:tcPr>
            <w:tcW w:w="1891" w:type="dxa"/>
            <w:gridSpan w:val="2"/>
            <w:shd w:val="clear" w:color="auto" w:fill="BFBFBF" w:themeFill="background1" w:themeFillShade="BF"/>
          </w:tcPr>
          <w:p w:rsidR="00FF6737" w:rsidRPr="00E319EA" w:rsidRDefault="00FF6737" w:rsidP="001D7A0F">
            <w:pPr>
              <w:rPr>
                <w:rFonts w:ascii="Bookman Old Style" w:hAnsi="Bookman Old Style"/>
                <w:sz w:val="18"/>
              </w:rPr>
            </w:pPr>
          </w:p>
        </w:tc>
      </w:tr>
      <w:bookmarkEnd w:id="13"/>
      <w:tr w:rsidR="001D7A0F" w:rsidRPr="00EC1624" w:rsidTr="000D1963">
        <w:tc>
          <w:tcPr>
            <w:tcW w:w="1955" w:type="dxa"/>
            <w:gridSpan w:val="2"/>
          </w:tcPr>
          <w:p w:rsidR="001D7A0F" w:rsidRDefault="001D7A0F" w:rsidP="001D7A0F">
            <w:pPr>
              <w:rPr>
                <w:rFonts w:ascii="Bookman Old Style" w:hAnsi="Bookman Old Style"/>
              </w:rPr>
            </w:pPr>
            <w:r w:rsidRPr="00444E8E">
              <w:rPr>
                <w:rFonts w:ascii="Bookman Old Style" w:hAnsi="Bookman Old Style"/>
                <w:b/>
              </w:rPr>
              <w:t>Engineering</w:t>
            </w:r>
            <w:r w:rsidRPr="00EC1624">
              <w:rPr>
                <w:rFonts w:ascii="Bookman Old Style" w:hAnsi="Bookman Old Style"/>
              </w:rPr>
              <w:t>:</w:t>
            </w:r>
          </w:p>
          <w:p w:rsidR="00BB523A" w:rsidRPr="00BB523A" w:rsidRDefault="00E718A8" w:rsidP="001D7A0F">
            <w:pPr>
              <w:rPr>
                <w:rFonts w:ascii="Bookman Old Style" w:hAnsi="Bookman Old Style"/>
                <w:sz w:val="18"/>
              </w:rPr>
            </w:pPr>
            <w:r>
              <w:rPr>
                <w:rFonts w:ascii="Bookman Old Style" w:hAnsi="Bookman Old Style"/>
                <w:sz w:val="18"/>
              </w:rPr>
              <w:t xml:space="preserve">The probability of slip, trip, </w:t>
            </w:r>
            <w:proofErr w:type="gramStart"/>
            <w:r>
              <w:rPr>
                <w:rFonts w:ascii="Bookman Old Style" w:hAnsi="Bookman Old Style"/>
                <w:sz w:val="18"/>
              </w:rPr>
              <w:t>falls</w:t>
            </w:r>
            <w:proofErr w:type="gramEnd"/>
            <w:r>
              <w:rPr>
                <w:rFonts w:ascii="Bookman Old Style" w:hAnsi="Bookman Old Style"/>
                <w:sz w:val="18"/>
              </w:rPr>
              <w:t xml:space="preserve"> may be reduced through the use of adjunct equipment.</w:t>
            </w:r>
          </w:p>
        </w:tc>
        <w:tc>
          <w:tcPr>
            <w:tcW w:w="1911" w:type="dxa"/>
            <w:gridSpan w:val="2"/>
          </w:tcPr>
          <w:p w:rsidR="007F7226" w:rsidRPr="00E319EA" w:rsidRDefault="00E5265D" w:rsidP="001D7A0F">
            <w:pPr>
              <w:rPr>
                <w:rFonts w:ascii="Bookman Old Style" w:hAnsi="Bookman Old Style"/>
                <w:sz w:val="18"/>
              </w:rPr>
            </w:pPr>
            <w:r>
              <w:rPr>
                <w:rFonts w:ascii="Bookman Old Style" w:hAnsi="Bookman Old Style"/>
                <w:sz w:val="18"/>
              </w:rPr>
              <w:t>Provide voluntary in-home assessments and education for “at risk” populations</w:t>
            </w:r>
          </w:p>
        </w:tc>
        <w:tc>
          <w:tcPr>
            <w:tcW w:w="1906" w:type="dxa"/>
            <w:gridSpan w:val="4"/>
            <w:shd w:val="clear" w:color="auto" w:fill="BFBFBF" w:themeFill="background1" w:themeFillShade="BF"/>
          </w:tcPr>
          <w:p w:rsidR="001D7A0F" w:rsidRPr="00E319EA" w:rsidRDefault="001D7A0F" w:rsidP="001D7A0F">
            <w:pPr>
              <w:rPr>
                <w:rFonts w:ascii="Bookman Old Style" w:hAnsi="Bookman Old Style"/>
                <w:sz w:val="18"/>
              </w:rPr>
            </w:pPr>
          </w:p>
        </w:tc>
        <w:tc>
          <w:tcPr>
            <w:tcW w:w="1913" w:type="dxa"/>
            <w:gridSpan w:val="2"/>
          </w:tcPr>
          <w:p w:rsidR="001D7A0F" w:rsidRPr="00E319EA" w:rsidRDefault="00E5265D" w:rsidP="001D7A0F">
            <w:pPr>
              <w:rPr>
                <w:rFonts w:ascii="Bookman Old Style" w:hAnsi="Bookman Old Style"/>
                <w:sz w:val="18"/>
              </w:rPr>
            </w:pPr>
            <w:r>
              <w:rPr>
                <w:rFonts w:ascii="Bookman Old Style" w:hAnsi="Bookman Old Style"/>
                <w:sz w:val="18"/>
              </w:rPr>
              <w:t>Develop collaborative partnerships with local service organizations to provide low cost in home engineering solutions</w:t>
            </w:r>
          </w:p>
        </w:tc>
        <w:tc>
          <w:tcPr>
            <w:tcW w:w="1891" w:type="dxa"/>
            <w:gridSpan w:val="2"/>
            <w:shd w:val="clear" w:color="auto" w:fill="BFBFBF" w:themeFill="background1" w:themeFillShade="BF"/>
          </w:tcPr>
          <w:p w:rsidR="001D7A0F" w:rsidRPr="00E319EA" w:rsidRDefault="001D7A0F" w:rsidP="001D7A0F">
            <w:pPr>
              <w:rPr>
                <w:rFonts w:ascii="Bookman Old Style" w:hAnsi="Bookman Old Style"/>
                <w:sz w:val="18"/>
              </w:rPr>
            </w:pPr>
          </w:p>
        </w:tc>
      </w:tr>
      <w:tr w:rsidR="00ED6EDB" w:rsidRPr="00EC1624" w:rsidTr="000D1963">
        <w:tc>
          <w:tcPr>
            <w:tcW w:w="1955" w:type="dxa"/>
            <w:gridSpan w:val="2"/>
          </w:tcPr>
          <w:p w:rsidR="00ED6EDB" w:rsidRDefault="00ED6EDB" w:rsidP="00B25A4C">
            <w:pPr>
              <w:rPr>
                <w:rFonts w:ascii="Bookman Old Style" w:hAnsi="Bookman Old Style"/>
                <w:b/>
              </w:rPr>
            </w:pPr>
            <w:r>
              <w:rPr>
                <w:rFonts w:ascii="Bookman Old Style" w:hAnsi="Bookman Old Style"/>
                <w:b/>
              </w:rPr>
              <w:t>Enforcement:</w:t>
            </w:r>
          </w:p>
          <w:p w:rsidR="000D1963" w:rsidRPr="000D1963" w:rsidRDefault="000D1963" w:rsidP="00B25A4C">
            <w:pPr>
              <w:rPr>
                <w:rFonts w:ascii="Bookman Old Style" w:hAnsi="Bookman Old Style"/>
                <w:sz w:val="18"/>
              </w:rPr>
            </w:pPr>
            <w:r>
              <w:rPr>
                <w:rFonts w:ascii="Bookman Old Style" w:hAnsi="Bookman Old Style"/>
                <w:sz w:val="18"/>
              </w:rPr>
              <w:t>Emergent care providers do not provide preventative solutions to slip, trip, fall hazards.</w:t>
            </w:r>
          </w:p>
        </w:tc>
        <w:tc>
          <w:tcPr>
            <w:tcW w:w="1911" w:type="dxa"/>
            <w:gridSpan w:val="2"/>
          </w:tcPr>
          <w:p w:rsidR="00ED6EDB" w:rsidRPr="00E319EA" w:rsidRDefault="00E718A8" w:rsidP="00B25A4C">
            <w:pPr>
              <w:rPr>
                <w:rFonts w:ascii="Bookman Old Style" w:hAnsi="Bookman Old Style"/>
                <w:sz w:val="18"/>
              </w:rPr>
            </w:pPr>
            <w:r>
              <w:rPr>
                <w:rFonts w:ascii="Bookman Old Style" w:hAnsi="Bookman Old Style"/>
                <w:sz w:val="18"/>
              </w:rPr>
              <w:t xml:space="preserve">Develop a </w:t>
            </w:r>
            <w:r w:rsidR="000D1963">
              <w:rPr>
                <w:rFonts w:ascii="Bookman Old Style" w:hAnsi="Bookman Old Style"/>
                <w:sz w:val="18"/>
              </w:rPr>
              <w:t xml:space="preserve">referral </w:t>
            </w:r>
            <w:r>
              <w:rPr>
                <w:rFonts w:ascii="Bookman Old Style" w:hAnsi="Bookman Old Style"/>
                <w:sz w:val="18"/>
              </w:rPr>
              <w:t>program to provide “follow up” in home assessments for at risk populations.</w:t>
            </w:r>
          </w:p>
        </w:tc>
        <w:tc>
          <w:tcPr>
            <w:tcW w:w="1906" w:type="dxa"/>
            <w:gridSpan w:val="4"/>
            <w:shd w:val="clear" w:color="auto" w:fill="BFBFBF" w:themeFill="background1" w:themeFillShade="BF"/>
          </w:tcPr>
          <w:p w:rsidR="00ED6EDB" w:rsidRPr="00E319EA" w:rsidRDefault="00ED6EDB" w:rsidP="00B25A4C">
            <w:pPr>
              <w:rPr>
                <w:rFonts w:ascii="Bookman Old Style" w:hAnsi="Bookman Old Style"/>
                <w:sz w:val="18"/>
              </w:rPr>
            </w:pPr>
          </w:p>
        </w:tc>
        <w:tc>
          <w:tcPr>
            <w:tcW w:w="1913" w:type="dxa"/>
            <w:gridSpan w:val="2"/>
            <w:shd w:val="clear" w:color="auto" w:fill="BFBFBF" w:themeFill="background1" w:themeFillShade="BF"/>
          </w:tcPr>
          <w:p w:rsidR="00ED6EDB" w:rsidRPr="00E319EA" w:rsidRDefault="00ED6EDB" w:rsidP="00B25A4C">
            <w:pPr>
              <w:rPr>
                <w:rFonts w:ascii="Bookman Old Style" w:hAnsi="Bookman Old Style"/>
                <w:sz w:val="18"/>
              </w:rPr>
            </w:pPr>
          </w:p>
        </w:tc>
        <w:tc>
          <w:tcPr>
            <w:tcW w:w="1891" w:type="dxa"/>
            <w:gridSpan w:val="2"/>
          </w:tcPr>
          <w:p w:rsidR="00ED6EDB" w:rsidRPr="00E319EA" w:rsidRDefault="000D1963" w:rsidP="00B25A4C">
            <w:pPr>
              <w:rPr>
                <w:rFonts w:ascii="Bookman Old Style" w:hAnsi="Bookman Old Style"/>
                <w:sz w:val="18"/>
              </w:rPr>
            </w:pPr>
            <w:r>
              <w:rPr>
                <w:rFonts w:ascii="Bookman Old Style" w:hAnsi="Bookman Old Style"/>
                <w:sz w:val="18"/>
              </w:rPr>
              <w:t>Reduce the incidents of repeat slip, trip, and fall occurrences.</w:t>
            </w:r>
          </w:p>
        </w:tc>
      </w:tr>
      <w:bookmarkEnd w:id="12"/>
      <w:tr w:rsidR="00D23393" w:rsidRPr="00EC1624" w:rsidTr="009C0CA0">
        <w:trPr>
          <w:trHeight w:val="1727"/>
        </w:trPr>
        <w:tc>
          <w:tcPr>
            <w:tcW w:w="1955" w:type="dxa"/>
            <w:gridSpan w:val="2"/>
          </w:tcPr>
          <w:p w:rsidR="00D23393" w:rsidRDefault="00D23393" w:rsidP="00D23393">
            <w:pPr>
              <w:rPr>
                <w:rFonts w:ascii="Bookman Old Style" w:hAnsi="Bookman Old Style"/>
              </w:rPr>
            </w:pPr>
            <w:r w:rsidRPr="00444E8E">
              <w:rPr>
                <w:rFonts w:ascii="Bookman Old Style" w:hAnsi="Bookman Old Style"/>
                <w:b/>
              </w:rPr>
              <w:t>Economic</w:t>
            </w:r>
            <w:r w:rsidRPr="00EC1624">
              <w:rPr>
                <w:rFonts w:ascii="Bookman Old Style" w:hAnsi="Bookman Old Style"/>
              </w:rPr>
              <w:t>:</w:t>
            </w:r>
          </w:p>
          <w:p w:rsidR="00DE10C9" w:rsidRPr="00DE10C9" w:rsidRDefault="00DE10C9" w:rsidP="00D23393">
            <w:pPr>
              <w:rPr>
                <w:rFonts w:ascii="Bookman Old Style" w:hAnsi="Bookman Old Style"/>
                <w:sz w:val="18"/>
              </w:rPr>
            </w:pPr>
            <w:r>
              <w:rPr>
                <w:rFonts w:ascii="Bookman Old Style" w:hAnsi="Bookman Old Style"/>
                <w:sz w:val="18"/>
              </w:rPr>
              <w:t>Slip, trip and fall hazards can be reduced through education and engineering.</w:t>
            </w:r>
          </w:p>
        </w:tc>
        <w:tc>
          <w:tcPr>
            <w:tcW w:w="1911" w:type="dxa"/>
            <w:gridSpan w:val="2"/>
          </w:tcPr>
          <w:p w:rsidR="00D23393" w:rsidRPr="00E319EA" w:rsidRDefault="00415916" w:rsidP="00D23393">
            <w:pPr>
              <w:rPr>
                <w:rFonts w:ascii="Bookman Old Style" w:hAnsi="Bookman Old Style"/>
                <w:sz w:val="18"/>
              </w:rPr>
            </w:pPr>
            <w:r>
              <w:rPr>
                <w:rFonts w:ascii="Bookman Old Style" w:hAnsi="Bookman Old Style"/>
                <w:sz w:val="18"/>
              </w:rPr>
              <w:t>Provide early in-home assessment and education to reduce strain on EMS system.</w:t>
            </w:r>
          </w:p>
        </w:tc>
        <w:tc>
          <w:tcPr>
            <w:tcW w:w="1906" w:type="dxa"/>
            <w:gridSpan w:val="4"/>
          </w:tcPr>
          <w:p w:rsidR="00D23393" w:rsidRPr="00E319EA" w:rsidRDefault="00415916" w:rsidP="00D23393">
            <w:pPr>
              <w:rPr>
                <w:rFonts w:ascii="Bookman Old Style" w:hAnsi="Bookman Old Style"/>
                <w:sz w:val="18"/>
              </w:rPr>
            </w:pPr>
            <w:r>
              <w:rPr>
                <w:rFonts w:ascii="Bookman Old Style" w:hAnsi="Bookman Old Style"/>
                <w:sz w:val="18"/>
              </w:rPr>
              <w:t>Develop collaborative relationships with area hospitals to provide early in-home assessments and education to at risk populations</w:t>
            </w:r>
          </w:p>
          <w:p w:rsidR="00D23393" w:rsidRPr="00E319EA" w:rsidRDefault="00D23393" w:rsidP="00D23393">
            <w:pPr>
              <w:rPr>
                <w:rFonts w:ascii="Bookman Old Style" w:hAnsi="Bookman Old Style"/>
                <w:sz w:val="18"/>
              </w:rPr>
            </w:pPr>
          </w:p>
        </w:tc>
        <w:tc>
          <w:tcPr>
            <w:tcW w:w="1913" w:type="dxa"/>
            <w:gridSpan w:val="2"/>
            <w:shd w:val="clear" w:color="auto" w:fill="BFBFBF" w:themeFill="background1" w:themeFillShade="BF"/>
          </w:tcPr>
          <w:p w:rsidR="00D23393" w:rsidRPr="00E319EA" w:rsidRDefault="00D23393" w:rsidP="00D23393">
            <w:pPr>
              <w:rPr>
                <w:rFonts w:ascii="Bookman Old Style" w:hAnsi="Bookman Old Style"/>
                <w:sz w:val="18"/>
              </w:rPr>
            </w:pPr>
          </w:p>
        </w:tc>
        <w:tc>
          <w:tcPr>
            <w:tcW w:w="1891" w:type="dxa"/>
            <w:gridSpan w:val="2"/>
          </w:tcPr>
          <w:p w:rsidR="00F33CBE" w:rsidRPr="00E319EA" w:rsidRDefault="009C0CA0" w:rsidP="00E319EA">
            <w:pPr>
              <w:rPr>
                <w:rFonts w:ascii="Bookman Old Style" w:hAnsi="Bookman Old Style"/>
                <w:sz w:val="18"/>
              </w:rPr>
            </w:pPr>
            <w:r>
              <w:rPr>
                <w:rFonts w:ascii="Bookman Old Style" w:hAnsi="Bookman Old Style"/>
                <w:sz w:val="18"/>
              </w:rPr>
              <w:t>Reduce strain on entire EMS system by providing alternative long-term care and monitoring of at risk populations.</w:t>
            </w:r>
          </w:p>
        </w:tc>
      </w:tr>
      <w:tr w:rsidR="00ED6EDB" w:rsidRPr="00EC1624" w:rsidTr="009C0CA0">
        <w:tc>
          <w:tcPr>
            <w:tcW w:w="1955" w:type="dxa"/>
            <w:gridSpan w:val="2"/>
          </w:tcPr>
          <w:p w:rsidR="00ED6EDB" w:rsidRDefault="00ED6EDB" w:rsidP="00D23393">
            <w:pPr>
              <w:rPr>
                <w:rFonts w:ascii="Bookman Old Style" w:hAnsi="Bookman Old Style"/>
                <w:b/>
              </w:rPr>
            </w:pPr>
            <w:r>
              <w:rPr>
                <w:rFonts w:ascii="Bookman Old Style" w:hAnsi="Bookman Old Style"/>
                <w:b/>
              </w:rPr>
              <w:t xml:space="preserve">Emergency Response: </w:t>
            </w:r>
          </w:p>
          <w:p w:rsidR="009C0CA0" w:rsidRPr="009C0CA0" w:rsidRDefault="009C0CA0" w:rsidP="00D23393">
            <w:pPr>
              <w:rPr>
                <w:rFonts w:ascii="Bookman Old Style" w:hAnsi="Bookman Old Style"/>
                <w:sz w:val="18"/>
                <w:szCs w:val="18"/>
              </w:rPr>
            </w:pPr>
            <w:r>
              <w:rPr>
                <w:rFonts w:ascii="Bookman Old Style" w:hAnsi="Bookman Old Style"/>
                <w:sz w:val="18"/>
                <w:szCs w:val="18"/>
              </w:rPr>
              <w:t xml:space="preserve">Reduction of slip, trip, </w:t>
            </w:r>
            <w:proofErr w:type="gramStart"/>
            <w:r>
              <w:rPr>
                <w:rFonts w:ascii="Bookman Old Style" w:hAnsi="Bookman Old Style"/>
                <w:sz w:val="18"/>
                <w:szCs w:val="18"/>
              </w:rPr>
              <w:t>fall</w:t>
            </w:r>
            <w:proofErr w:type="gramEnd"/>
            <w:r>
              <w:rPr>
                <w:rFonts w:ascii="Bookman Old Style" w:hAnsi="Bookman Old Style"/>
                <w:sz w:val="18"/>
                <w:szCs w:val="18"/>
              </w:rPr>
              <w:t xml:space="preserve"> hazards will provide higher unit availabilities.</w:t>
            </w:r>
          </w:p>
        </w:tc>
        <w:tc>
          <w:tcPr>
            <w:tcW w:w="1911" w:type="dxa"/>
            <w:gridSpan w:val="2"/>
          </w:tcPr>
          <w:p w:rsidR="00ED6EDB" w:rsidRPr="00E319EA" w:rsidRDefault="009C0CA0" w:rsidP="00D23393">
            <w:pPr>
              <w:rPr>
                <w:rFonts w:ascii="Bookman Old Style" w:hAnsi="Bookman Old Style"/>
                <w:sz w:val="18"/>
              </w:rPr>
            </w:pPr>
            <w:r>
              <w:rPr>
                <w:rFonts w:ascii="Bookman Old Style" w:hAnsi="Bookman Old Style"/>
                <w:sz w:val="18"/>
              </w:rPr>
              <w:t xml:space="preserve">Develop </w:t>
            </w:r>
            <w:r w:rsidR="00ED6EDB" w:rsidRPr="00E319EA">
              <w:rPr>
                <w:rFonts w:ascii="Bookman Old Style" w:hAnsi="Bookman Old Style"/>
                <w:sz w:val="18"/>
              </w:rPr>
              <w:t xml:space="preserve">training for recognizing and reporting </w:t>
            </w:r>
            <w:r>
              <w:rPr>
                <w:rFonts w:ascii="Bookman Old Style" w:hAnsi="Bookman Old Style"/>
                <w:sz w:val="18"/>
              </w:rPr>
              <w:t>of at risk populations for slip, trip, and fall hazards.</w:t>
            </w:r>
          </w:p>
        </w:tc>
        <w:tc>
          <w:tcPr>
            <w:tcW w:w="1906" w:type="dxa"/>
            <w:gridSpan w:val="4"/>
          </w:tcPr>
          <w:p w:rsidR="00ED6EDB" w:rsidRPr="00E319EA" w:rsidRDefault="009C0CA0" w:rsidP="00D23393">
            <w:pPr>
              <w:rPr>
                <w:rFonts w:ascii="Bookman Old Style" w:hAnsi="Bookman Old Style"/>
                <w:sz w:val="18"/>
              </w:rPr>
            </w:pPr>
            <w:r>
              <w:rPr>
                <w:rFonts w:ascii="Bookman Old Style" w:hAnsi="Bookman Old Style"/>
                <w:sz w:val="18"/>
              </w:rPr>
              <w:t>Match the incident resource needs to the incident complexity.</w:t>
            </w:r>
          </w:p>
        </w:tc>
        <w:tc>
          <w:tcPr>
            <w:tcW w:w="1913" w:type="dxa"/>
            <w:gridSpan w:val="2"/>
          </w:tcPr>
          <w:p w:rsidR="00ED6EDB" w:rsidRPr="00E319EA" w:rsidRDefault="009C0CA0" w:rsidP="00D23393">
            <w:pPr>
              <w:rPr>
                <w:rFonts w:ascii="Bookman Old Style" w:hAnsi="Bookman Old Style"/>
                <w:sz w:val="18"/>
              </w:rPr>
            </w:pPr>
            <w:r>
              <w:rPr>
                <w:rFonts w:ascii="Bookman Old Style" w:hAnsi="Bookman Old Style"/>
                <w:sz w:val="18"/>
              </w:rPr>
              <w:t>Provide comprehensive patient, in-home assessments and follow up to identify early signs of slip, trip and fall hazards.</w:t>
            </w:r>
          </w:p>
        </w:tc>
        <w:tc>
          <w:tcPr>
            <w:tcW w:w="1891" w:type="dxa"/>
            <w:gridSpan w:val="2"/>
            <w:shd w:val="clear" w:color="auto" w:fill="BFBFBF" w:themeFill="background1" w:themeFillShade="BF"/>
          </w:tcPr>
          <w:p w:rsidR="00ED6EDB" w:rsidRPr="00E319EA" w:rsidRDefault="00ED6EDB" w:rsidP="00D23393">
            <w:pPr>
              <w:rPr>
                <w:rFonts w:ascii="Bookman Old Style" w:hAnsi="Bookman Old Style"/>
                <w:sz w:val="18"/>
              </w:rPr>
            </w:pPr>
          </w:p>
        </w:tc>
      </w:tr>
      <w:tr w:rsidR="00D23393" w:rsidRPr="00EC1624" w:rsidTr="001D7A0F">
        <w:tc>
          <w:tcPr>
            <w:tcW w:w="4821" w:type="dxa"/>
            <w:gridSpan w:val="6"/>
          </w:tcPr>
          <w:p w:rsidR="00D23393" w:rsidRPr="00444E8E" w:rsidRDefault="00D23393" w:rsidP="00D23393">
            <w:pPr>
              <w:rPr>
                <w:rFonts w:ascii="Bookman Old Style" w:hAnsi="Bookman Old Style"/>
                <w:b/>
              </w:rPr>
            </w:pPr>
            <w:r w:rsidRPr="00444E8E">
              <w:rPr>
                <w:rFonts w:ascii="Bookman Old Style" w:hAnsi="Bookman Old Style"/>
                <w:b/>
              </w:rPr>
              <w:t>Rational:</w:t>
            </w:r>
          </w:p>
        </w:tc>
        <w:tc>
          <w:tcPr>
            <w:tcW w:w="4755" w:type="dxa"/>
            <w:gridSpan w:val="6"/>
          </w:tcPr>
          <w:p w:rsidR="00D23393" w:rsidRPr="00444E8E" w:rsidRDefault="00D23393" w:rsidP="00D23393">
            <w:pPr>
              <w:rPr>
                <w:rFonts w:ascii="Bookman Old Style" w:hAnsi="Bookman Old Style"/>
                <w:b/>
              </w:rPr>
            </w:pPr>
            <w:r w:rsidRPr="00444E8E">
              <w:rPr>
                <w:rFonts w:ascii="Bookman Old Style" w:hAnsi="Bookman Old Style"/>
                <w:b/>
              </w:rPr>
              <w:t>Assumptions:</w:t>
            </w:r>
          </w:p>
        </w:tc>
      </w:tr>
      <w:tr w:rsidR="00D23393" w:rsidRPr="00EC1624" w:rsidTr="001D7A0F">
        <w:tc>
          <w:tcPr>
            <w:tcW w:w="4821" w:type="dxa"/>
            <w:gridSpan w:val="6"/>
          </w:tcPr>
          <w:p w:rsidR="00D23393" w:rsidRPr="00EC1624" w:rsidRDefault="00A25FE2" w:rsidP="00D23393">
            <w:pPr>
              <w:rPr>
                <w:rFonts w:ascii="Bookman Old Style" w:hAnsi="Bookman Old Style"/>
              </w:rPr>
            </w:pPr>
            <w:r>
              <w:rPr>
                <w:rFonts w:ascii="Bookman Old Style" w:hAnsi="Bookman Old Style"/>
              </w:rPr>
              <w:t>Early intervention with “at risk” populations will reduce strain on EMS systems.</w:t>
            </w:r>
          </w:p>
        </w:tc>
        <w:tc>
          <w:tcPr>
            <w:tcW w:w="4755" w:type="dxa"/>
            <w:gridSpan w:val="6"/>
          </w:tcPr>
          <w:p w:rsidR="00D23393" w:rsidRPr="00EC1624" w:rsidRDefault="00A25FE2" w:rsidP="00D23393">
            <w:pPr>
              <w:rPr>
                <w:rFonts w:ascii="Bookman Old Style" w:hAnsi="Bookman Old Style"/>
              </w:rPr>
            </w:pPr>
            <w:r>
              <w:rPr>
                <w:rFonts w:ascii="Bookman Old Style" w:hAnsi="Bookman Old Style"/>
              </w:rPr>
              <w:t>Slip, Trip and Fall hazards can be reduced through education and engineering solutions.</w:t>
            </w:r>
          </w:p>
        </w:tc>
      </w:tr>
      <w:tr w:rsidR="00D23393" w:rsidRPr="00EC1624" w:rsidTr="001D7A0F">
        <w:tc>
          <w:tcPr>
            <w:tcW w:w="9576" w:type="dxa"/>
            <w:gridSpan w:val="12"/>
          </w:tcPr>
          <w:p w:rsidR="00D23393" w:rsidRPr="00444E8E" w:rsidRDefault="00D23393" w:rsidP="00D23393">
            <w:pPr>
              <w:rPr>
                <w:rFonts w:ascii="Bookman Old Style" w:hAnsi="Bookman Old Style"/>
                <w:b/>
              </w:rPr>
            </w:pPr>
            <w:r w:rsidRPr="00444E8E">
              <w:rPr>
                <w:rFonts w:ascii="Bookman Old Style" w:hAnsi="Bookman Old Style"/>
                <w:b/>
              </w:rPr>
              <w:t>External expectations:</w:t>
            </w:r>
          </w:p>
        </w:tc>
      </w:tr>
      <w:tr w:rsidR="00D23393" w:rsidRPr="00EC1624" w:rsidTr="005100E1">
        <w:trPr>
          <w:trHeight w:val="70"/>
        </w:trPr>
        <w:tc>
          <w:tcPr>
            <w:tcW w:w="9576" w:type="dxa"/>
            <w:gridSpan w:val="12"/>
          </w:tcPr>
          <w:p w:rsidR="009C0CA0" w:rsidRDefault="005100E1" w:rsidP="00A40761">
            <w:pPr>
              <w:rPr>
                <w:rFonts w:ascii="Bookman Old Style" w:hAnsi="Bookman Old Style"/>
              </w:rPr>
            </w:pPr>
            <w:r>
              <w:rPr>
                <w:rFonts w:ascii="Bookman Old Style" w:hAnsi="Bookman Old Style"/>
              </w:rPr>
              <w:t xml:space="preserve">Reduction of slip, trip, </w:t>
            </w:r>
            <w:proofErr w:type="gramStart"/>
            <w:r>
              <w:rPr>
                <w:rFonts w:ascii="Bookman Old Style" w:hAnsi="Bookman Old Style"/>
              </w:rPr>
              <w:t>fall</w:t>
            </w:r>
            <w:proofErr w:type="gramEnd"/>
            <w:r>
              <w:rPr>
                <w:rFonts w:ascii="Bookman Old Style" w:hAnsi="Bookman Old Style"/>
              </w:rPr>
              <w:t xml:space="preserve"> occurrences will decrease strain on the EMS system and provide opportunities for community collaboration programs.</w:t>
            </w:r>
            <w:r w:rsidR="00E76C6E">
              <w:rPr>
                <w:rFonts w:ascii="Bookman Old Style" w:hAnsi="Bookman Old Style"/>
              </w:rPr>
              <w:t xml:space="preserve"> </w:t>
            </w:r>
          </w:p>
          <w:p w:rsidR="009C0CA0" w:rsidRPr="00EC1624" w:rsidRDefault="009C0CA0" w:rsidP="00A40761">
            <w:pPr>
              <w:rPr>
                <w:rFonts w:ascii="Bookman Old Style" w:hAnsi="Bookman Old Style"/>
              </w:rPr>
            </w:pPr>
          </w:p>
        </w:tc>
      </w:tr>
      <w:tr w:rsidR="008F0B12" w:rsidRPr="00EC1624" w:rsidTr="006C1532">
        <w:trPr>
          <w:gridAfter w:val="1"/>
          <w:wAfter w:w="17" w:type="dxa"/>
          <w:trHeight w:val="660"/>
        </w:trPr>
        <w:tc>
          <w:tcPr>
            <w:tcW w:w="9559" w:type="dxa"/>
            <w:gridSpan w:val="11"/>
            <w:shd w:val="clear" w:color="auto" w:fill="C2D69B" w:themeFill="accent3" w:themeFillTint="99"/>
          </w:tcPr>
          <w:p w:rsidR="008F0B12" w:rsidRPr="00EC1624" w:rsidRDefault="00B25A4C" w:rsidP="009845F7">
            <w:pPr>
              <w:rPr>
                <w:rFonts w:ascii="Bookman Old Style" w:hAnsi="Bookman Old Style"/>
              </w:rPr>
            </w:pPr>
            <w:r>
              <w:rPr>
                <w:rFonts w:ascii="Bookman Old Style" w:hAnsi="Bookman Old Style"/>
              </w:rPr>
              <w:lastRenderedPageBreak/>
              <w:br w:type="page"/>
            </w:r>
            <w:r w:rsidR="0073619B">
              <w:rPr>
                <w:rFonts w:ascii="Bookman Old Style" w:hAnsi="Bookman Old Style"/>
                <w:b/>
              </w:rPr>
              <w:t>Risk Three -</w:t>
            </w:r>
            <w:r w:rsidR="004D7368">
              <w:rPr>
                <w:rFonts w:ascii="Bookman Old Style" w:hAnsi="Bookman Old Style"/>
              </w:rPr>
              <w:t xml:space="preserve"> The “Not-Applicable” EMS event type is difficult to quantify.  This event type can range from non-emergent, no transport incidents to those incidents that do not “fit” into the identified categories.</w:t>
            </w:r>
            <w:commentRangeStart w:id="14"/>
            <w:r w:rsidR="008F0B12" w:rsidRPr="00EC1624">
              <w:rPr>
                <w:rFonts w:ascii="Bookman Old Style" w:hAnsi="Bookman Old Style"/>
              </w:rPr>
              <w:t xml:space="preserve"> </w:t>
            </w:r>
            <w:commentRangeEnd w:id="14"/>
            <w:r w:rsidR="008F0B12" w:rsidRPr="00EC1624">
              <w:rPr>
                <w:rStyle w:val="CommentReference"/>
                <w:rFonts w:ascii="Bookman Old Style" w:hAnsi="Bookman Old Style"/>
                <w:sz w:val="22"/>
                <w:szCs w:val="22"/>
              </w:rPr>
              <w:commentReference w:id="14"/>
            </w:r>
          </w:p>
        </w:tc>
        <w:bookmarkStart w:id="15" w:name="_GoBack"/>
        <w:bookmarkEnd w:id="15"/>
      </w:tr>
      <w:tr w:rsidR="008F0B12" w:rsidRPr="00EC1624" w:rsidTr="00F57247">
        <w:trPr>
          <w:gridAfter w:val="1"/>
          <w:wAfter w:w="17" w:type="dxa"/>
          <w:trHeight w:val="330"/>
        </w:trPr>
        <w:tc>
          <w:tcPr>
            <w:tcW w:w="9559" w:type="dxa"/>
            <w:gridSpan w:val="11"/>
          </w:tcPr>
          <w:p w:rsidR="008F0B12" w:rsidRPr="00EC1624" w:rsidRDefault="008F0B12" w:rsidP="004D7368">
            <w:pPr>
              <w:rPr>
                <w:rFonts w:ascii="Bookman Old Style" w:hAnsi="Bookman Old Style"/>
              </w:rPr>
            </w:pPr>
            <w:commentRangeStart w:id="16"/>
            <w:r w:rsidRPr="00444E8E">
              <w:rPr>
                <w:rFonts w:ascii="Bookman Old Style" w:hAnsi="Bookman Old Style"/>
                <w:b/>
              </w:rPr>
              <w:t>Program Goal:</w:t>
            </w:r>
            <w:r w:rsidR="004D7368">
              <w:rPr>
                <w:rFonts w:ascii="Bookman Old Style" w:hAnsi="Bookman Old Style"/>
              </w:rPr>
              <w:t xml:space="preserve"> Correctly identify and categorize EMS events</w:t>
            </w:r>
            <w:r w:rsidR="00BB6E92" w:rsidRPr="00EC1624">
              <w:rPr>
                <w:rFonts w:ascii="Bookman Old Style" w:hAnsi="Bookman Old Style"/>
              </w:rPr>
              <w:t>.</w:t>
            </w:r>
            <w:commentRangeEnd w:id="16"/>
            <w:r w:rsidR="00BB6E92" w:rsidRPr="00EC1624">
              <w:rPr>
                <w:rStyle w:val="CommentReference"/>
                <w:rFonts w:ascii="Bookman Old Style" w:hAnsi="Bookman Old Style"/>
                <w:sz w:val="22"/>
                <w:szCs w:val="22"/>
              </w:rPr>
              <w:commentReference w:id="16"/>
            </w:r>
          </w:p>
        </w:tc>
      </w:tr>
      <w:tr w:rsidR="008F0B12" w:rsidRPr="00EC1624" w:rsidTr="00F57247">
        <w:trPr>
          <w:gridAfter w:val="1"/>
          <w:wAfter w:w="17" w:type="dxa"/>
          <w:trHeight w:val="330"/>
        </w:trPr>
        <w:tc>
          <w:tcPr>
            <w:tcW w:w="9559" w:type="dxa"/>
            <w:gridSpan w:val="11"/>
          </w:tcPr>
          <w:p w:rsidR="008F0B12" w:rsidRPr="00EC1624" w:rsidRDefault="008F0B12" w:rsidP="009845F7">
            <w:pPr>
              <w:rPr>
                <w:rFonts w:ascii="Bookman Old Style" w:hAnsi="Bookman Old Style"/>
              </w:rPr>
            </w:pPr>
            <w:r w:rsidRPr="00444E8E">
              <w:rPr>
                <w:rFonts w:ascii="Bookman Old Style" w:hAnsi="Bookman Old Style"/>
                <w:b/>
              </w:rPr>
              <w:t>Resources Required:</w:t>
            </w:r>
            <w:r w:rsidRPr="00EC1624">
              <w:rPr>
                <w:rFonts w:ascii="Bookman Old Style" w:hAnsi="Bookman Old Style"/>
              </w:rPr>
              <w:t xml:space="preserve"> </w:t>
            </w:r>
            <w:r w:rsidR="004D7368">
              <w:rPr>
                <w:rFonts w:ascii="Bookman Old Style" w:hAnsi="Bookman Old Style"/>
              </w:rPr>
              <w:t>Focused training of responders and data analysts in order to correctly categorized events.</w:t>
            </w:r>
            <w:r w:rsidR="009845F7">
              <w:rPr>
                <w:rFonts w:ascii="Bookman Old Style" w:hAnsi="Bookman Old Style"/>
              </w:rPr>
              <w:t xml:space="preserve"> </w:t>
            </w:r>
          </w:p>
        </w:tc>
      </w:tr>
      <w:tr w:rsidR="00240E65" w:rsidRPr="00444E8E" w:rsidTr="00F57247">
        <w:tc>
          <w:tcPr>
            <w:tcW w:w="1915" w:type="dxa"/>
          </w:tcPr>
          <w:p w:rsidR="008F0B12" w:rsidRPr="00444E8E" w:rsidRDefault="00411218" w:rsidP="001C6280">
            <w:pPr>
              <w:jc w:val="center"/>
              <w:rPr>
                <w:rFonts w:ascii="Bookman Old Style" w:hAnsi="Bookman Old Style" w:cs="Times New Roman"/>
                <w:b/>
              </w:rPr>
            </w:pPr>
            <w:r>
              <w:rPr>
                <w:rFonts w:ascii="Bookman Old Style" w:hAnsi="Bookman Old Style" w:cs="Times New Roman"/>
                <w:b/>
              </w:rPr>
              <w:t>Premise</w:t>
            </w:r>
            <w:r w:rsidR="0012764B">
              <w:rPr>
                <w:rFonts w:ascii="Bookman Old Style" w:hAnsi="Bookman Old Style" w:cs="Times New Roman"/>
                <w:b/>
              </w:rPr>
              <w:t xml:space="preserve"> Statement</w:t>
            </w:r>
          </w:p>
        </w:tc>
        <w:tc>
          <w:tcPr>
            <w:tcW w:w="1915" w:type="dxa"/>
            <w:gridSpan w:val="2"/>
          </w:tcPr>
          <w:p w:rsidR="008F0B12" w:rsidRPr="00444E8E" w:rsidRDefault="001C6280" w:rsidP="001C6280">
            <w:pPr>
              <w:jc w:val="center"/>
              <w:rPr>
                <w:rFonts w:ascii="Bookman Old Style" w:hAnsi="Bookman Old Style" w:cs="Times New Roman"/>
                <w:b/>
              </w:rPr>
            </w:pPr>
            <w:r>
              <w:rPr>
                <w:rFonts w:ascii="Bookman Old Style" w:hAnsi="Bookman Old Style" w:cs="Times New Roman"/>
                <w:b/>
              </w:rPr>
              <w:t>Project</w:t>
            </w:r>
            <w:r w:rsidR="008F0B12" w:rsidRPr="00444E8E">
              <w:rPr>
                <w:rFonts w:ascii="Bookman Old Style" w:hAnsi="Bookman Old Style" w:cs="Times New Roman"/>
                <w:b/>
              </w:rPr>
              <w:t>s</w:t>
            </w:r>
          </w:p>
        </w:tc>
        <w:tc>
          <w:tcPr>
            <w:tcW w:w="1915" w:type="dxa"/>
            <w:gridSpan w:val="4"/>
          </w:tcPr>
          <w:p w:rsidR="008F0B12" w:rsidRPr="00444E8E" w:rsidRDefault="008F0B12" w:rsidP="001C6280">
            <w:pPr>
              <w:jc w:val="center"/>
              <w:rPr>
                <w:rFonts w:ascii="Bookman Old Style" w:hAnsi="Bookman Old Style" w:cs="Times New Roman"/>
                <w:b/>
              </w:rPr>
            </w:pPr>
            <w:r w:rsidRPr="00444E8E">
              <w:rPr>
                <w:rFonts w:ascii="Bookman Old Style" w:hAnsi="Bookman Old Style" w:cs="Times New Roman"/>
                <w:b/>
              </w:rPr>
              <w:t xml:space="preserve">Short-Term </w:t>
            </w:r>
            <w:r w:rsidR="009845F7" w:rsidRPr="00444E8E">
              <w:rPr>
                <w:rFonts w:ascii="Bookman Old Style" w:hAnsi="Bookman Old Style" w:cs="Times New Roman"/>
                <w:b/>
              </w:rPr>
              <w:t>Goals</w:t>
            </w:r>
          </w:p>
        </w:tc>
        <w:tc>
          <w:tcPr>
            <w:tcW w:w="1915" w:type="dxa"/>
            <w:gridSpan w:val="2"/>
          </w:tcPr>
          <w:p w:rsidR="008F0B12" w:rsidRPr="00444E8E" w:rsidRDefault="008F0B12" w:rsidP="001C6280">
            <w:pPr>
              <w:jc w:val="center"/>
              <w:rPr>
                <w:rFonts w:ascii="Bookman Old Style" w:hAnsi="Bookman Old Style" w:cs="Times New Roman"/>
                <w:b/>
              </w:rPr>
            </w:pPr>
            <w:r w:rsidRPr="00444E8E">
              <w:rPr>
                <w:rFonts w:ascii="Bookman Old Style" w:hAnsi="Bookman Old Style" w:cs="Times New Roman"/>
                <w:b/>
              </w:rPr>
              <w:t>I</w:t>
            </w:r>
            <w:r w:rsidR="009845F7" w:rsidRPr="00444E8E">
              <w:rPr>
                <w:rFonts w:ascii="Bookman Old Style" w:hAnsi="Bookman Old Style" w:cs="Times New Roman"/>
                <w:b/>
              </w:rPr>
              <w:t>ntermediate Goals</w:t>
            </w:r>
          </w:p>
        </w:tc>
        <w:tc>
          <w:tcPr>
            <w:tcW w:w="1916" w:type="dxa"/>
            <w:gridSpan w:val="3"/>
          </w:tcPr>
          <w:p w:rsidR="008F0B12" w:rsidRPr="00444E8E" w:rsidRDefault="009845F7" w:rsidP="001C6280">
            <w:pPr>
              <w:jc w:val="center"/>
              <w:rPr>
                <w:rFonts w:ascii="Bookman Old Style" w:hAnsi="Bookman Old Style" w:cs="Times New Roman"/>
                <w:b/>
              </w:rPr>
            </w:pPr>
            <w:r w:rsidRPr="00444E8E">
              <w:rPr>
                <w:rFonts w:ascii="Bookman Old Style" w:hAnsi="Bookman Old Style" w:cs="Times New Roman"/>
                <w:b/>
              </w:rPr>
              <w:t>Long-Term Goals</w:t>
            </w:r>
          </w:p>
        </w:tc>
      </w:tr>
      <w:tr w:rsidR="00240E65" w:rsidRPr="00EC1624" w:rsidTr="00F57247">
        <w:tc>
          <w:tcPr>
            <w:tcW w:w="1915" w:type="dxa"/>
          </w:tcPr>
          <w:p w:rsidR="008F0B12" w:rsidRDefault="008F0B12" w:rsidP="00237976">
            <w:pPr>
              <w:rPr>
                <w:rFonts w:ascii="Bookman Old Style" w:hAnsi="Bookman Old Style"/>
                <w:sz w:val="18"/>
              </w:rPr>
            </w:pPr>
            <w:r w:rsidRPr="00444E8E">
              <w:rPr>
                <w:rFonts w:ascii="Bookman Old Style" w:hAnsi="Bookman Old Style"/>
                <w:b/>
              </w:rPr>
              <w:t>Education:</w:t>
            </w:r>
            <w:r w:rsidR="0012764B">
              <w:rPr>
                <w:rFonts w:ascii="Bookman Old Style" w:hAnsi="Bookman Old Style"/>
                <w:b/>
                <w:sz w:val="18"/>
              </w:rPr>
              <w:t xml:space="preserve"> </w:t>
            </w:r>
          </w:p>
          <w:p w:rsidR="0012764B" w:rsidRPr="0012764B" w:rsidRDefault="0012764B" w:rsidP="00237976">
            <w:pPr>
              <w:rPr>
                <w:rFonts w:ascii="Bookman Old Style" w:hAnsi="Bookman Old Style"/>
                <w:sz w:val="18"/>
              </w:rPr>
            </w:pPr>
            <w:r>
              <w:rPr>
                <w:rFonts w:ascii="Bookman Old Style" w:hAnsi="Bookman Old Style"/>
                <w:sz w:val="18"/>
              </w:rPr>
              <w:t>“Field” data collection is inconsistent and inaccurate.</w:t>
            </w:r>
          </w:p>
        </w:tc>
        <w:tc>
          <w:tcPr>
            <w:tcW w:w="1915" w:type="dxa"/>
            <w:gridSpan w:val="2"/>
          </w:tcPr>
          <w:p w:rsidR="008F0B12" w:rsidRPr="001C6280" w:rsidRDefault="001C6280" w:rsidP="00237976">
            <w:pPr>
              <w:rPr>
                <w:rFonts w:ascii="Bookman Old Style" w:hAnsi="Bookman Old Style"/>
                <w:sz w:val="18"/>
              </w:rPr>
            </w:pPr>
            <w:r>
              <w:rPr>
                <w:rFonts w:ascii="Bookman Old Style" w:hAnsi="Bookman Old Style"/>
                <w:sz w:val="18"/>
              </w:rPr>
              <w:t>Provide consistent and regular training to EMS responders in order to correctl</w:t>
            </w:r>
            <w:r w:rsidR="006C1532">
              <w:rPr>
                <w:rFonts w:ascii="Bookman Old Style" w:hAnsi="Bookman Old Style"/>
                <w:sz w:val="18"/>
              </w:rPr>
              <w:t>y categorize emergent event types</w:t>
            </w:r>
            <w:r>
              <w:rPr>
                <w:rFonts w:ascii="Bookman Old Style" w:hAnsi="Bookman Old Style"/>
                <w:sz w:val="18"/>
              </w:rPr>
              <w:t>.</w:t>
            </w:r>
          </w:p>
        </w:tc>
        <w:tc>
          <w:tcPr>
            <w:tcW w:w="1915" w:type="dxa"/>
            <w:gridSpan w:val="4"/>
          </w:tcPr>
          <w:p w:rsidR="008F0B12" w:rsidRPr="001C6280" w:rsidRDefault="001C6280" w:rsidP="00237976">
            <w:pPr>
              <w:rPr>
                <w:rFonts w:ascii="Bookman Old Style" w:hAnsi="Bookman Old Style"/>
                <w:sz w:val="18"/>
              </w:rPr>
            </w:pPr>
            <w:r>
              <w:rPr>
                <w:rFonts w:ascii="Bookman Old Style" w:hAnsi="Bookman Old Style"/>
                <w:sz w:val="18"/>
              </w:rPr>
              <w:t>Regularly audit “not applicable” category.</w:t>
            </w:r>
          </w:p>
        </w:tc>
        <w:tc>
          <w:tcPr>
            <w:tcW w:w="1915" w:type="dxa"/>
            <w:gridSpan w:val="2"/>
          </w:tcPr>
          <w:p w:rsidR="008F0B12" w:rsidRPr="00500652" w:rsidRDefault="00500652" w:rsidP="00237976">
            <w:pPr>
              <w:rPr>
                <w:rFonts w:ascii="Bookman Old Style" w:hAnsi="Bookman Old Style"/>
                <w:sz w:val="18"/>
              </w:rPr>
            </w:pPr>
            <w:r>
              <w:rPr>
                <w:rFonts w:ascii="Bookman Old Style" w:hAnsi="Bookman Old Style"/>
                <w:sz w:val="18"/>
              </w:rPr>
              <w:t xml:space="preserve">Evaluate impacts of </w:t>
            </w:r>
            <w:r w:rsidR="006C1532">
              <w:rPr>
                <w:rFonts w:ascii="Bookman Old Style" w:hAnsi="Bookman Old Style"/>
                <w:sz w:val="18"/>
              </w:rPr>
              <w:t>findings on department programs and finances.</w:t>
            </w:r>
          </w:p>
        </w:tc>
        <w:tc>
          <w:tcPr>
            <w:tcW w:w="1916" w:type="dxa"/>
            <w:gridSpan w:val="3"/>
          </w:tcPr>
          <w:p w:rsidR="008F0B12" w:rsidRPr="001C6280" w:rsidRDefault="00500652" w:rsidP="00237976">
            <w:pPr>
              <w:rPr>
                <w:rFonts w:ascii="Bookman Old Style" w:hAnsi="Bookman Old Style"/>
                <w:sz w:val="18"/>
              </w:rPr>
            </w:pPr>
            <w:r>
              <w:rPr>
                <w:rFonts w:ascii="Bookman Old Style" w:hAnsi="Bookman Old Style"/>
                <w:sz w:val="18"/>
              </w:rPr>
              <w:t>Reduce inconsistency in reporting.</w:t>
            </w:r>
          </w:p>
        </w:tc>
      </w:tr>
      <w:tr w:rsidR="00240E65" w:rsidRPr="00EC1624" w:rsidTr="0010603F">
        <w:tc>
          <w:tcPr>
            <w:tcW w:w="1915" w:type="dxa"/>
          </w:tcPr>
          <w:p w:rsidR="00DA1592" w:rsidRDefault="00DA1592" w:rsidP="00DA1592">
            <w:pPr>
              <w:rPr>
                <w:rFonts w:ascii="Bookman Old Style" w:hAnsi="Bookman Old Style"/>
                <w:sz w:val="18"/>
              </w:rPr>
            </w:pPr>
            <w:r w:rsidRPr="00444E8E">
              <w:rPr>
                <w:rFonts w:ascii="Bookman Old Style" w:hAnsi="Bookman Old Style"/>
                <w:b/>
              </w:rPr>
              <w:t>Engineering:</w:t>
            </w:r>
          </w:p>
          <w:p w:rsidR="0012764B" w:rsidRPr="0012764B" w:rsidRDefault="00411218" w:rsidP="00DA1592">
            <w:pPr>
              <w:rPr>
                <w:rFonts w:ascii="Bookman Old Style" w:hAnsi="Bookman Old Style"/>
                <w:sz w:val="18"/>
              </w:rPr>
            </w:pPr>
            <w:r>
              <w:rPr>
                <w:rFonts w:ascii="Bookman Old Style" w:hAnsi="Bookman Old Style"/>
                <w:sz w:val="18"/>
              </w:rPr>
              <w:t>Without accurate and reliable data, program needs cannot be determined.</w:t>
            </w:r>
          </w:p>
        </w:tc>
        <w:tc>
          <w:tcPr>
            <w:tcW w:w="1915" w:type="dxa"/>
            <w:gridSpan w:val="2"/>
          </w:tcPr>
          <w:p w:rsidR="00DA1592" w:rsidRPr="00EC1624" w:rsidRDefault="00500652" w:rsidP="00DA1592">
            <w:pPr>
              <w:rPr>
                <w:rFonts w:ascii="Bookman Old Style" w:hAnsi="Bookman Old Style"/>
              </w:rPr>
            </w:pPr>
            <w:r>
              <w:rPr>
                <w:rFonts w:ascii="Bookman Old Style" w:hAnsi="Bookman Old Style"/>
                <w:sz w:val="18"/>
              </w:rPr>
              <w:t>Evaluate impacts of findings on department programs</w:t>
            </w:r>
            <w:commentRangeStart w:id="17"/>
            <w:r w:rsidR="00DA1592">
              <w:rPr>
                <w:rFonts w:ascii="Bookman Old Style" w:hAnsi="Bookman Old Style"/>
              </w:rPr>
              <w:t xml:space="preserve"> </w:t>
            </w:r>
            <w:commentRangeEnd w:id="17"/>
            <w:r w:rsidR="00DA1592">
              <w:rPr>
                <w:rStyle w:val="CommentReference"/>
              </w:rPr>
              <w:commentReference w:id="17"/>
            </w:r>
          </w:p>
        </w:tc>
        <w:tc>
          <w:tcPr>
            <w:tcW w:w="1915" w:type="dxa"/>
            <w:gridSpan w:val="4"/>
          </w:tcPr>
          <w:p w:rsidR="00DA1592" w:rsidRPr="00500652" w:rsidRDefault="00500652" w:rsidP="00DA1592">
            <w:pPr>
              <w:rPr>
                <w:rFonts w:ascii="Bookman Old Style" w:hAnsi="Bookman Old Style"/>
                <w:sz w:val="18"/>
              </w:rPr>
            </w:pPr>
            <w:r>
              <w:rPr>
                <w:rFonts w:ascii="Bookman Old Style" w:hAnsi="Bookman Old Style"/>
                <w:sz w:val="18"/>
              </w:rPr>
              <w:t>Determine and develop programs to reduce service impacts</w:t>
            </w:r>
            <w:r w:rsidR="006C1532">
              <w:rPr>
                <w:rFonts w:ascii="Bookman Old Style" w:hAnsi="Bookman Old Style"/>
                <w:sz w:val="18"/>
              </w:rPr>
              <w:t xml:space="preserve"> and costs</w:t>
            </w:r>
          </w:p>
        </w:tc>
        <w:tc>
          <w:tcPr>
            <w:tcW w:w="1915" w:type="dxa"/>
            <w:gridSpan w:val="2"/>
            <w:shd w:val="clear" w:color="auto" w:fill="BFBFBF" w:themeFill="background1" w:themeFillShade="BF"/>
          </w:tcPr>
          <w:p w:rsidR="00DA1592" w:rsidRPr="00EC1624" w:rsidRDefault="00DA1592" w:rsidP="00DA1592">
            <w:pPr>
              <w:rPr>
                <w:rFonts w:ascii="Bookman Old Style" w:hAnsi="Bookman Old Style"/>
              </w:rPr>
            </w:pPr>
          </w:p>
        </w:tc>
        <w:tc>
          <w:tcPr>
            <w:tcW w:w="1916" w:type="dxa"/>
            <w:gridSpan w:val="3"/>
            <w:shd w:val="clear" w:color="auto" w:fill="BFBFBF" w:themeFill="background1" w:themeFillShade="BF"/>
          </w:tcPr>
          <w:p w:rsidR="00DA1592" w:rsidRPr="00EC1624" w:rsidRDefault="00DA1592" w:rsidP="00DA1592">
            <w:pPr>
              <w:rPr>
                <w:rFonts w:ascii="Bookman Old Style" w:hAnsi="Bookman Old Style"/>
              </w:rPr>
            </w:pPr>
          </w:p>
        </w:tc>
      </w:tr>
      <w:tr w:rsidR="00240E65" w:rsidRPr="00EC1624" w:rsidTr="0010603F">
        <w:tc>
          <w:tcPr>
            <w:tcW w:w="1915" w:type="dxa"/>
          </w:tcPr>
          <w:p w:rsidR="00DA1592" w:rsidRDefault="00DA1592" w:rsidP="00DA1592">
            <w:pPr>
              <w:rPr>
                <w:rFonts w:ascii="Bookman Old Style" w:hAnsi="Bookman Old Style"/>
                <w:b/>
              </w:rPr>
            </w:pPr>
            <w:r w:rsidRPr="00444E8E">
              <w:rPr>
                <w:rFonts w:ascii="Bookman Old Style" w:hAnsi="Bookman Old Style"/>
                <w:b/>
              </w:rPr>
              <w:t>Enforcement:</w:t>
            </w:r>
          </w:p>
          <w:p w:rsidR="00411218" w:rsidRPr="00411218" w:rsidRDefault="00411218" w:rsidP="00DA1592">
            <w:pPr>
              <w:rPr>
                <w:rFonts w:ascii="Bookman Old Style" w:hAnsi="Bookman Old Style"/>
                <w:sz w:val="18"/>
              </w:rPr>
            </w:pPr>
            <w:r>
              <w:rPr>
                <w:rFonts w:ascii="Bookman Old Style" w:hAnsi="Bookman Old Style"/>
                <w:sz w:val="18"/>
              </w:rPr>
              <w:t>A system needs to be developed to prove the accuracy of field data.</w:t>
            </w:r>
          </w:p>
        </w:tc>
        <w:tc>
          <w:tcPr>
            <w:tcW w:w="1915" w:type="dxa"/>
            <w:gridSpan w:val="2"/>
          </w:tcPr>
          <w:p w:rsidR="00DA1592" w:rsidRPr="00500652" w:rsidRDefault="006C3283" w:rsidP="00DA1592">
            <w:pPr>
              <w:rPr>
                <w:rFonts w:ascii="Bookman Old Style" w:hAnsi="Bookman Old Style"/>
                <w:sz w:val="18"/>
              </w:rPr>
            </w:pPr>
            <w:r>
              <w:rPr>
                <w:rFonts w:ascii="Bookman Old Style" w:hAnsi="Bookman Old Style"/>
                <w:sz w:val="18"/>
              </w:rPr>
              <w:t>Develop processes and policies in that the “not applicable” category choice triggers automatic QA review.</w:t>
            </w:r>
          </w:p>
        </w:tc>
        <w:tc>
          <w:tcPr>
            <w:tcW w:w="1915" w:type="dxa"/>
            <w:gridSpan w:val="4"/>
          </w:tcPr>
          <w:p w:rsidR="00DA1592" w:rsidRPr="006C3283" w:rsidRDefault="006C3283" w:rsidP="00DA1592">
            <w:pPr>
              <w:rPr>
                <w:rFonts w:ascii="Bookman Old Style" w:hAnsi="Bookman Old Style"/>
                <w:sz w:val="18"/>
              </w:rPr>
            </w:pPr>
            <w:r>
              <w:rPr>
                <w:rFonts w:ascii="Bookman Old Style" w:hAnsi="Bookman Old Style"/>
                <w:sz w:val="18"/>
              </w:rPr>
              <w:t>Develop policy and procedure</w:t>
            </w:r>
            <w:r w:rsidR="006C1532">
              <w:rPr>
                <w:rFonts w:ascii="Bookman Old Style" w:hAnsi="Bookman Old Style"/>
                <w:sz w:val="18"/>
              </w:rPr>
              <w:t>s that address record accuracy.</w:t>
            </w:r>
          </w:p>
        </w:tc>
        <w:tc>
          <w:tcPr>
            <w:tcW w:w="1915" w:type="dxa"/>
            <w:gridSpan w:val="2"/>
          </w:tcPr>
          <w:p w:rsidR="00DA1592" w:rsidRPr="006C3283" w:rsidRDefault="006C3283" w:rsidP="00DA1592">
            <w:pPr>
              <w:rPr>
                <w:rFonts w:ascii="Bookman Old Style" w:hAnsi="Bookman Old Style"/>
                <w:sz w:val="18"/>
              </w:rPr>
            </w:pPr>
            <w:r>
              <w:rPr>
                <w:rFonts w:ascii="Bookman Old Style" w:hAnsi="Bookman Old Style"/>
                <w:sz w:val="18"/>
              </w:rPr>
              <w:t>Develop p</w:t>
            </w:r>
            <w:r w:rsidR="008259A2">
              <w:rPr>
                <w:rFonts w:ascii="Bookman Old Style" w:hAnsi="Bookman Old Style"/>
                <w:sz w:val="18"/>
              </w:rPr>
              <w:t>rocedures within the RMS to automatically queue these event types for further review</w:t>
            </w:r>
            <w:r w:rsidR="006C1532">
              <w:rPr>
                <w:rFonts w:ascii="Bookman Old Style" w:hAnsi="Bookman Old Style"/>
                <w:sz w:val="18"/>
              </w:rPr>
              <w:t xml:space="preserve"> and categorization</w:t>
            </w:r>
          </w:p>
        </w:tc>
        <w:tc>
          <w:tcPr>
            <w:tcW w:w="1916" w:type="dxa"/>
            <w:gridSpan w:val="3"/>
            <w:shd w:val="clear" w:color="auto" w:fill="BFBFBF" w:themeFill="background1" w:themeFillShade="BF"/>
          </w:tcPr>
          <w:p w:rsidR="00DA1592" w:rsidRDefault="00DA1592" w:rsidP="00DA1592">
            <w:pPr>
              <w:rPr>
                <w:rFonts w:ascii="Bookman Old Style" w:hAnsi="Bookman Old Style"/>
              </w:rPr>
            </w:pPr>
          </w:p>
          <w:p w:rsidR="00C81559" w:rsidRPr="00EC1624" w:rsidRDefault="00C81559" w:rsidP="00DA1592">
            <w:pPr>
              <w:rPr>
                <w:rFonts w:ascii="Bookman Old Style" w:hAnsi="Bookman Old Style"/>
              </w:rPr>
            </w:pPr>
          </w:p>
        </w:tc>
      </w:tr>
      <w:tr w:rsidR="00240E65" w:rsidRPr="00EC1624" w:rsidTr="006C1532">
        <w:tc>
          <w:tcPr>
            <w:tcW w:w="1915" w:type="dxa"/>
          </w:tcPr>
          <w:p w:rsidR="00DA1592" w:rsidRDefault="00DA1592" w:rsidP="00DA1592">
            <w:pPr>
              <w:rPr>
                <w:rFonts w:ascii="Bookman Old Style" w:hAnsi="Bookman Old Style"/>
                <w:sz w:val="18"/>
                <w:szCs w:val="18"/>
              </w:rPr>
            </w:pPr>
            <w:r w:rsidRPr="00444E8E">
              <w:rPr>
                <w:rFonts w:ascii="Bookman Old Style" w:hAnsi="Bookman Old Style"/>
                <w:b/>
              </w:rPr>
              <w:t>Economic:</w:t>
            </w:r>
          </w:p>
          <w:p w:rsidR="00411218" w:rsidRPr="00411218" w:rsidRDefault="00411218" w:rsidP="00DA1592">
            <w:pPr>
              <w:rPr>
                <w:rFonts w:ascii="Bookman Old Style" w:hAnsi="Bookman Old Style"/>
                <w:sz w:val="18"/>
                <w:szCs w:val="18"/>
              </w:rPr>
            </w:pPr>
            <w:r>
              <w:rPr>
                <w:rFonts w:ascii="Bookman Old Style" w:hAnsi="Bookman Old Style"/>
                <w:sz w:val="18"/>
                <w:szCs w:val="18"/>
              </w:rPr>
              <w:t>Accurate data is foundational to determination of accurate costs.</w:t>
            </w:r>
          </w:p>
          <w:p w:rsidR="00411218" w:rsidRPr="00411218" w:rsidRDefault="00411218" w:rsidP="00DA1592">
            <w:pPr>
              <w:rPr>
                <w:rFonts w:ascii="Bookman Old Style" w:hAnsi="Bookman Old Style"/>
                <w:sz w:val="18"/>
              </w:rPr>
            </w:pPr>
          </w:p>
        </w:tc>
        <w:tc>
          <w:tcPr>
            <w:tcW w:w="1915" w:type="dxa"/>
            <w:gridSpan w:val="2"/>
          </w:tcPr>
          <w:p w:rsidR="00DA1592" w:rsidRPr="008259A2" w:rsidRDefault="0010603F" w:rsidP="008259A2">
            <w:pPr>
              <w:rPr>
                <w:rFonts w:ascii="Bookman Old Style" w:hAnsi="Bookman Old Style"/>
                <w:sz w:val="18"/>
              </w:rPr>
            </w:pPr>
            <w:r>
              <w:rPr>
                <w:rFonts w:ascii="Bookman Old Style" w:hAnsi="Bookman Old Style"/>
                <w:sz w:val="18"/>
              </w:rPr>
              <w:t xml:space="preserve">Correctly categorize </w:t>
            </w:r>
            <w:r w:rsidR="002037FC">
              <w:rPr>
                <w:rFonts w:ascii="Bookman Old Style" w:hAnsi="Bookman Old Style"/>
                <w:sz w:val="18"/>
              </w:rPr>
              <w:t>“</w:t>
            </w:r>
            <w:r>
              <w:rPr>
                <w:rFonts w:ascii="Bookman Old Style" w:hAnsi="Bookman Old Style"/>
                <w:sz w:val="18"/>
              </w:rPr>
              <w:t>not applicable</w:t>
            </w:r>
            <w:r w:rsidR="002037FC">
              <w:rPr>
                <w:rFonts w:ascii="Bookman Old Style" w:hAnsi="Bookman Old Style"/>
                <w:sz w:val="18"/>
              </w:rPr>
              <w:t>”</w:t>
            </w:r>
            <w:r>
              <w:rPr>
                <w:rFonts w:ascii="Bookman Old Style" w:hAnsi="Bookman Old Style"/>
                <w:sz w:val="18"/>
              </w:rPr>
              <w:t xml:space="preserve"> eve</w:t>
            </w:r>
            <w:r w:rsidR="006C1532">
              <w:rPr>
                <w:rFonts w:ascii="Bookman Old Style" w:hAnsi="Bookman Old Style"/>
                <w:sz w:val="18"/>
              </w:rPr>
              <w:t>nts in order to improve financial reimbursement</w:t>
            </w:r>
            <w:r w:rsidR="002037FC">
              <w:rPr>
                <w:rFonts w:ascii="Bookman Old Style" w:hAnsi="Bookman Old Style"/>
                <w:sz w:val="18"/>
              </w:rPr>
              <w:t xml:space="preserve"> percentages</w:t>
            </w:r>
          </w:p>
        </w:tc>
        <w:tc>
          <w:tcPr>
            <w:tcW w:w="1915" w:type="dxa"/>
            <w:gridSpan w:val="4"/>
            <w:shd w:val="clear" w:color="auto" w:fill="BFBFBF" w:themeFill="background1" w:themeFillShade="BF"/>
          </w:tcPr>
          <w:p w:rsidR="00DA1592" w:rsidRPr="00EC1624" w:rsidRDefault="00DA1592" w:rsidP="00DA1592">
            <w:pPr>
              <w:rPr>
                <w:rFonts w:ascii="Bookman Old Style" w:hAnsi="Bookman Old Style"/>
              </w:rPr>
            </w:pPr>
          </w:p>
        </w:tc>
        <w:tc>
          <w:tcPr>
            <w:tcW w:w="1915" w:type="dxa"/>
            <w:gridSpan w:val="2"/>
            <w:shd w:val="clear" w:color="auto" w:fill="BFBFBF" w:themeFill="background1" w:themeFillShade="BF"/>
          </w:tcPr>
          <w:p w:rsidR="00DA1592" w:rsidRPr="00EC1624" w:rsidRDefault="003D0951" w:rsidP="00DA1592">
            <w:pPr>
              <w:rPr>
                <w:rFonts w:ascii="Bookman Old Style" w:hAnsi="Bookman Old Style"/>
              </w:rPr>
            </w:pPr>
            <w:r>
              <w:rPr>
                <w:rFonts w:ascii="Bookman Old Style" w:hAnsi="Bookman Old Style"/>
              </w:rPr>
              <w:t xml:space="preserve"> </w:t>
            </w:r>
          </w:p>
        </w:tc>
        <w:tc>
          <w:tcPr>
            <w:tcW w:w="1916" w:type="dxa"/>
            <w:gridSpan w:val="3"/>
            <w:shd w:val="clear" w:color="auto" w:fill="FFFFFF" w:themeFill="background1"/>
          </w:tcPr>
          <w:p w:rsidR="00DA1592" w:rsidRPr="006C1532" w:rsidRDefault="006C1532" w:rsidP="00DA1592">
            <w:pPr>
              <w:rPr>
                <w:rFonts w:ascii="Bookman Old Style" w:hAnsi="Bookman Old Style"/>
                <w:sz w:val="18"/>
              </w:rPr>
            </w:pPr>
            <w:r>
              <w:rPr>
                <w:rFonts w:ascii="Bookman Old Style" w:hAnsi="Bookman Old Style"/>
                <w:sz w:val="18"/>
              </w:rPr>
              <w:t>Improve ability to capture EMS service provision costs and impro</w:t>
            </w:r>
            <w:r w:rsidR="002037FC">
              <w:rPr>
                <w:rFonts w:ascii="Bookman Old Style" w:hAnsi="Bookman Old Style"/>
                <w:sz w:val="18"/>
              </w:rPr>
              <w:t>ve financial reimbursement percentages</w:t>
            </w:r>
            <w:r>
              <w:rPr>
                <w:rFonts w:ascii="Bookman Old Style" w:hAnsi="Bookman Old Style"/>
                <w:sz w:val="18"/>
              </w:rPr>
              <w:t>.</w:t>
            </w:r>
          </w:p>
        </w:tc>
      </w:tr>
      <w:tr w:rsidR="00240E65" w:rsidRPr="00EC1624" w:rsidTr="0010603F">
        <w:tc>
          <w:tcPr>
            <w:tcW w:w="1915" w:type="dxa"/>
          </w:tcPr>
          <w:p w:rsidR="00DA1592" w:rsidRDefault="00DA1592" w:rsidP="00DA1592">
            <w:pPr>
              <w:rPr>
                <w:rFonts w:ascii="Bookman Old Style" w:hAnsi="Bookman Old Style"/>
                <w:sz w:val="18"/>
              </w:rPr>
            </w:pPr>
            <w:r w:rsidRPr="00444E8E">
              <w:rPr>
                <w:rFonts w:ascii="Bookman Old Style" w:hAnsi="Bookman Old Style"/>
                <w:b/>
              </w:rPr>
              <w:t>Emergency Response:</w:t>
            </w:r>
          </w:p>
          <w:p w:rsidR="00411218" w:rsidRPr="00411218" w:rsidRDefault="00411218" w:rsidP="00DA1592">
            <w:pPr>
              <w:rPr>
                <w:rFonts w:ascii="Bookman Old Style" w:hAnsi="Bookman Old Style"/>
                <w:sz w:val="18"/>
              </w:rPr>
            </w:pPr>
            <w:r>
              <w:rPr>
                <w:rFonts w:ascii="Bookman Old Style" w:hAnsi="Bookman Old Style"/>
                <w:sz w:val="18"/>
              </w:rPr>
              <w:t>Event types determine unit utilization.</w:t>
            </w:r>
          </w:p>
        </w:tc>
        <w:tc>
          <w:tcPr>
            <w:tcW w:w="1915" w:type="dxa"/>
            <w:gridSpan w:val="2"/>
          </w:tcPr>
          <w:p w:rsidR="00DA1592" w:rsidRPr="00EC1624" w:rsidRDefault="0010603F" w:rsidP="00DA1592">
            <w:pPr>
              <w:rPr>
                <w:rFonts w:ascii="Bookman Old Style" w:hAnsi="Bookman Old Style"/>
              </w:rPr>
            </w:pPr>
            <w:r>
              <w:rPr>
                <w:rFonts w:ascii="Bookman Old Style" w:hAnsi="Bookman Old Style"/>
                <w:sz w:val="18"/>
              </w:rPr>
              <w:t>Determine resource allocation to fit the event needs.</w:t>
            </w:r>
            <w:r w:rsidR="00DA1592">
              <w:rPr>
                <w:rFonts w:ascii="Bookman Old Style" w:hAnsi="Bookman Old Style"/>
              </w:rPr>
              <w:t xml:space="preserve"> </w:t>
            </w:r>
          </w:p>
        </w:tc>
        <w:tc>
          <w:tcPr>
            <w:tcW w:w="1915" w:type="dxa"/>
            <w:gridSpan w:val="4"/>
            <w:shd w:val="clear" w:color="auto" w:fill="BFBFBF" w:themeFill="background1" w:themeFillShade="BF"/>
          </w:tcPr>
          <w:p w:rsidR="00DA1592" w:rsidRPr="00EC1624" w:rsidRDefault="00DA1592" w:rsidP="00DA1592">
            <w:pPr>
              <w:rPr>
                <w:rFonts w:ascii="Bookman Old Style" w:hAnsi="Bookman Old Style"/>
              </w:rPr>
            </w:pPr>
          </w:p>
        </w:tc>
        <w:tc>
          <w:tcPr>
            <w:tcW w:w="1915" w:type="dxa"/>
            <w:gridSpan w:val="2"/>
            <w:shd w:val="clear" w:color="auto" w:fill="BFBFBF" w:themeFill="background1" w:themeFillShade="BF"/>
          </w:tcPr>
          <w:p w:rsidR="00DA1592" w:rsidRPr="00EC1624" w:rsidRDefault="00DA1592" w:rsidP="00DA1592">
            <w:pPr>
              <w:rPr>
                <w:rFonts w:ascii="Bookman Old Style" w:hAnsi="Bookman Old Style"/>
              </w:rPr>
            </w:pPr>
          </w:p>
        </w:tc>
        <w:tc>
          <w:tcPr>
            <w:tcW w:w="1916" w:type="dxa"/>
            <w:gridSpan w:val="3"/>
          </w:tcPr>
          <w:p w:rsidR="00DA1592" w:rsidRPr="0010603F" w:rsidRDefault="0010603F" w:rsidP="00DA1592">
            <w:pPr>
              <w:rPr>
                <w:rFonts w:ascii="Bookman Old Style" w:hAnsi="Bookman Old Style"/>
                <w:sz w:val="18"/>
              </w:rPr>
            </w:pPr>
            <w:proofErr w:type="gramStart"/>
            <w:r>
              <w:rPr>
                <w:rFonts w:ascii="Bookman Old Style" w:hAnsi="Bookman Old Style"/>
                <w:sz w:val="18"/>
              </w:rPr>
              <w:t>Reduction of ove</w:t>
            </w:r>
            <w:r w:rsidR="0012764B">
              <w:rPr>
                <w:rFonts w:ascii="Bookman Old Style" w:hAnsi="Bookman Old Style"/>
                <w:sz w:val="18"/>
              </w:rPr>
              <w:t xml:space="preserve">r-lapping calls and </w:t>
            </w:r>
            <w:r w:rsidR="000D0249">
              <w:rPr>
                <w:rFonts w:ascii="Bookman Old Style" w:hAnsi="Bookman Old Style"/>
                <w:sz w:val="18"/>
              </w:rPr>
              <w:t>provide</w:t>
            </w:r>
            <w:proofErr w:type="gramEnd"/>
            <w:r>
              <w:rPr>
                <w:rFonts w:ascii="Bookman Old Style" w:hAnsi="Bookman Old Style"/>
                <w:sz w:val="18"/>
              </w:rPr>
              <w:t xml:space="preserve"> better resource utilization.</w:t>
            </w:r>
          </w:p>
        </w:tc>
      </w:tr>
      <w:tr w:rsidR="00DA1592" w:rsidRPr="00EC1624" w:rsidTr="009C3BF9">
        <w:tc>
          <w:tcPr>
            <w:tcW w:w="4788" w:type="dxa"/>
            <w:gridSpan w:val="5"/>
          </w:tcPr>
          <w:p w:rsidR="00DA1592" w:rsidRPr="00444E8E" w:rsidRDefault="00DA1592" w:rsidP="00DA1592">
            <w:pPr>
              <w:rPr>
                <w:rFonts w:ascii="Bookman Old Style" w:hAnsi="Bookman Old Style"/>
                <w:b/>
              </w:rPr>
            </w:pPr>
            <w:r w:rsidRPr="00444E8E">
              <w:rPr>
                <w:rFonts w:ascii="Bookman Old Style" w:hAnsi="Bookman Old Style"/>
                <w:b/>
              </w:rPr>
              <w:t>Rational:</w:t>
            </w:r>
          </w:p>
        </w:tc>
        <w:tc>
          <w:tcPr>
            <w:tcW w:w="4788" w:type="dxa"/>
            <w:gridSpan w:val="7"/>
          </w:tcPr>
          <w:p w:rsidR="00DA1592" w:rsidRPr="00444E8E" w:rsidRDefault="00DA1592" w:rsidP="00DA1592">
            <w:pPr>
              <w:rPr>
                <w:rFonts w:ascii="Bookman Old Style" w:hAnsi="Bookman Old Style"/>
                <w:b/>
              </w:rPr>
            </w:pPr>
            <w:r w:rsidRPr="00444E8E">
              <w:rPr>
                <w:rFonts w:ascii="Bookman Old Style" w:hAnsi="Bookman Old Style"/>
                <w:b/>
              </w:rPr>
              <w:t>Assumptions:</w:t>
            </w:r>
          </w:p>
        </w:tc>
      </w:tr>
      <w:tr w:rsidR="00DA1592" w:rsidRPr="00EC1624" w:rsidTr="009C3BF9">
        <w:tc>
          <w:tcPr>
            <w:tcW w:w="4788" w:type="dxa"/>
            <w:gridSpan w:val="5"/>
          </w:tcPr>
          <w:p w:rsidR="00DA1592" w:rsidRPr="00EC1624" w:rsidRDefault="0010603F" w:rsidP="00C81559">
            <w:pPr>
              <w:rPr>
                <w:rFonts w:ascii="Bookman Old Style" w:hAnsi="Bookman Old Style"/>
              </w:rPr>
            </w:pPr>
            <w:r>
              <w:rPr>
                <w:rFonts w:ascii="Bookman Old Style" w:hAnsi="Bookman Old Style"/>
              </w:rPr>
              <w:t>Unquantifiable data decreases service efficiencies and increases service costs.</w:t>
            </w:r>
          </w:p>
        </w:tc>
        <w:tc>
          <w:tcPr>
            <w:tcW w:w="4788" w:type="dxa"/>
            <w:gridSpan w:val="7"/>
          </w:tcPr>
          <w:p w:rsidR="00C81559" w:rsidRPr="00EC1624" w:rsidRDefault="0010603F" w:rsidP="00C81559">
            <w:pPr>
              <w:rPr>
                <w:rFonts w:ascii="Bookman Old Style" w:hAnsi="Bookman Old Style"/>
              </w:rPr>
            </w:pPr>
            <w:r>
              <w:rPr>
                <w:rFonts w:ascii="Bookman Old Style" w:hAnsi="Bookman Old Style"/>
              </w:rPr>
              <w:t>Accurate reporting will identify community needs and increase response effectiveness.</w:t>
            </w:r>
          </w:p>
        </w:tc>
      </w:tr>
      <w:tr w:rsidR="00DA1592" w:rsidRPr="00EC1624" w:rsidTr="009C3BF9">
        <w:tc>
          <w:tcPr>
            <w:tcW w:w="9576" w:type="dxa"/>
            <w:gridSpan w:val="12"/>
          </w:tcPr>
          <w:p w:rsidR="00DA1592" w:rsidRPr="00444E8E" w:rsidRDefault="00DA1592" w:rsidP="00DA1592">
            <w:pPr>
              <w:rPr>
                <w:rFonts w:ascii="Bookman Old Style" w:hAnsi="Bookman Old Style"/>
                <w:b/>
              </w:rPr>
            </w:pPr>
            <w:r w:rsidRPr="00444E8E">
              <w:rPr>
                <w:rFonts w:ascii="Bookman Old Style" w:hAnsi="Bookman Old Style"/>
                <w:b/>
              </w:rPr>
              <w:t>External expectations:</w:t>
            </w:r>
          </w:p>
        </w:tc>
      </w:tr>
      <w:tr w:rsidR="00DA1592" w:rsidRPr="00EC1624" w:rsidTr="009C3BF9">
        <w:tc>
          <w:tcPr>
            <w:tcW w:w="9576" w:type="dxa"/>
            <w:gridSpan w:val="12"/>
          </w:tcPr>
          <w:p w:rsidR="00DA1592" w:rsidRPr="00EC1624" w:rsidRDefault="0010603F" w:rsidP="00DA1592">
            <w:pPr>
              <w:rPr>
                <w:rFonts w:ascii="Bookman Old Style" w:hAnsi="Bookman Old Style"/>
              </w:rPr>
            </w:pPr>
            <w:r>
              <w:rPr>
                <w:rFonts w:ascii="Bookman Old Style" w:hAnsi="Bookman Old Style"/>
              </w:rPr>
              <w:t>Increasing response effectiveness and efficiency will provide for better unit utili</w:t>
            </w:r>
            <w:r w:rsidR="006C1532">
              <w:rPr>
                <w:rFonts w:ascii="Bookman Old Style" w:hAnsi="Bookman Old Style"/>
              </w:rPr>
              <w:t>zation and reduce overall costs and increase reimbursement percentages.</w:t>
            </w:r>
          </w:p>
        </w:tc>
      </w:tr>
    </w:tbl>
    <w:p w:rsidR="00130D5E" w:rsidRDefault="00130D5E">
      <w:pPr>
        <w:rPr>
          <w:rFonts w:ascii="Bookman Old Style" w:hAnsi="Bookman Old Style"/>
        </w:rPr>
      </w:pPr>
      <w:r>
        <w:rPr>
          <w:rFonts w:ascii="Bookman Old Style" w:hAnsi="Bookman Old Style"/>
        </w:rPr>
        <w:br w:type="page"/>
      </w:r>
    </w:p>
    <w:p w:rsidR="000A3B9A" w:rsidRDefault="00112BA9" w:rsidP="00130D5E">
      <w:pPr>
        <w:jc w:val="both"/>
        <w:rPr>
          <w:rFonts w:ascii="Bookman Old Style" w:hAnsi="Bookman Old Style"/>
          <w:b/>
          <w:i/>
          <w:sz w:val="32"/>
        </w:rPr>
      </w:pPr>
      <w:r>
        <w:rPr>
          <w:rFonts w:ascii="Bookman Old Style" w:hAnsi="Bookman Old Style"/>
          <w:b/>
          <w:i/>
          <w:sz w:val="32"/>
        </w:rPr>
        <w:lastRenderedPageBreak/>
        <w:t>Works Cited</w:t>
      </w:r>
    </w:p>
    <w:p w:rsidR="00112BA9" w:rsidRDefault="00112BA9" w:rsidP="00112BA9">
      <w:pPr>
        <w:pStyle w:val="NoSpacing"/>
        <w:rPr>
          <w:rFonts w:ascii="Bookman Old Style" w:hAnsi="Bookman Old Style"/>
          <w:i/>
        </w:rPr>
      </w:pPr>
      <w:r w:rsidRPr="00112BA9">
        <w:rPr>
          <w:rFonts w:ascii="Bookman Old Style" w:hAnsi="Bookman Old Style"/>
          <w:i/>
        </w:rPr>
        <w:t xml:space="preserve">Pasco Fire Department Emergency Services Master Plan – </w:t>
      </w:r>
      <w:proofErr w:type="gramStart"/>
      <w:r w:rsidRPr="00112BA9">
        <w:rPr>
          <w:rFonts w:ascii="Bookman Old Style" w:hAnsi="Bookman Old Style"/>
          <w:i/>
        </w:rPr>
        <w:t>Summer</w:t>
      </w:r>
      <w:proofErr w:type="gramEnd"/>
      <w:r w:rsidRPr="00112BA9">
        <w:rPr>
          <w:rFonts w:ascii="Bookman Old Style" w:hAnsi="Bookman Old Style"/>
          <w:i/>
        </w:rPr>
        <w:t xml:space="preserve"> 2016</w:t>
      </w:r>
    </w:p>
    <w:p w:rsidR="00112BA9" w:rsidRDefault="00112BA9" w:rsidP="00112BA9">
      <w:pPr>
        <w:pStyle w:val="NoSpacing"/>
        <w:rPr>
          <w:rFonts w:ascii="Bookman Old Style" w:hAnsi="Bookman Old Style"/>
          <w:i/>
        </w:rPr>
      </w:pPr>
      <w:r>
        <w:rPr>
          <w:rFonts w:ascii="Bookman Old Style" w:hAnsi="Bookman Old Style"/>
          <w:i/>
        </w:rPr>
        <w:t xml:space="preserve">Prepared by: Don </w:t>
      </w:r>
      <w:proofErr w:type="spellStart"/>
      <w:r>
        <w:rPr>
          <w:rFonts w:ascii="Bookman Old Style" w:hAnsi="Bookman Old Style"/>
          <w:i/>
        </w:rPr>
        <w:t>Bivins</w:t>
      </w:r>
      <w:proofErr w:type="spellEnd"/>
      <w:r>
        <w:rPr>
          <w:rFonts w:ascii="Bookman Old Style" w:hAnsi="Bookman Old Style"/>
          <w:i/>
        </w:rPr>
        <w:t xml:space="preserve">, Jim Mooney, Martin </w:t>
      </w:r>
      <w:proofErr w:type="spellStart"/>
      <w:r>
        <w:rPr>
          <w:rFonts w:ascii="Bookman Old Style" w:hAnsi="Bookman Old Style"/>
          <w:i/>
        </w:rPr>
        <w:t>Goughnout</w:t>
      </w:r>
      <w:proofErr w:type="spellEnd"/>
      <w:r>
        <w:rPr>
          <w:rFonts w:ascii="Bookman Old Style" w:hAnsi="Bookman Old Style"/>
          <w:i/>
        </w:rPr>
        <w:t>, Rob Strong, Stuart McElhaney</w:t>
      </w:r>
    </w:p>
    <w:p w:rsidR="00112BA9" w:rsidRDefault="00112BA9" w:rsidP="00112BA9">
      <w:pPr>
        <w:pStyle w:val="NoSpacing"/>
        <w:rPr>
          <w:rFonts w:ascii="Bookman Old Style" w:hAnsi="Bookman Old Style"/>
          <w:i/>
        </w:rPr>
      </w:pPr>
      <w:r>
        <w:rPr>
          <w:rFonts w:ascii="Bookman Old Style" w:hAnsi="Bookman Old Style"/>
          <w:i/>
        </w:rPr>
        <w:t>Emergency Services Consulting International</w:t>
      </w:r>
    </w:p>
    <w:p w:rsidR="00112BA9" w:rsidRDefault="00112BA9" w:rsidP="00112BA9">
      <w:pPr>
        <w:pStyle w:val="NoSpacing"/>
        <w:rPr>
          <w:rFonts w:ascii="Bookman Old Style" w:hAnsi="Bookman Old Style"/>
          <w:i/>
        </w:rPr>
      </w:pPr>
    </w:p>
    <w:p w:rsidR="00112BA9" w:rsidRDefault="00112BA9" w:rsidP="00112BA9">
      <w:pPr>
        <w:pStyle w:val="NoSpacing"/>
        <w:rPr>
          <w:rFonts w:ascii="Bookman Old Style" w:hAnsi="Bookman Old Style"/>
          <w:i/>
        </w:rPr>
      </w:pPr>
      <w:r>
        <w:rPr>
          <w:rFonts w:ascii="Bookman Old Style" w:hAnsi="Bookman Old Style"/>
          <w:i/>
        </w:rPr>
        <w:t>Standards of Cover – February 2017</w:t>
      </w:r>
    </w:p>
    <w:p w:rsidR="00112BA9" w:rsidRDefault="00112BA9" w:rsidP="00112BA9">
      <w:pPr>
        <w:pStyle w:val="NoSpacing"/>
        <w:rPr>
          <w:rFonts w:ascii="Bookman Old Style" w:hAnsi="Bookman Old Style"/>
          <w:i/>
        </w:rPr>
      </w:pPr>
      <w:r>
        <w:rPr>
          <w:rFonts w:ascii="Bookman Old Style" w:hAnsi="Bookman Old Style"/>
          <w:i/>
        </w:rPr>
        <w:t>Prepared by: David Hare, Asst. Fire Chief – Pasco Fire Department</w:t>
      </w:r>
    </w:p>
    <w:p w:rsidR="00112BA9" w:rsidRDefault="00112BA9" w:rsidP="00112BA9">
      <w:pPr>
        <w:pStyle w:val="NoSpacing"/>
        <w:rPr>
          <w:rFonts w:ascii="Bookman Old Style" w:hAnsi="Bookman Old Style"/>
          <w:i/>
        </w:rPr>
      </w:pPr>
    </w:p>
    <w:p w:rsidR="00112BA9" w:rsidRDefault="00112BA9" w:rsidP="00112BA9">
      <w:pPr>
        <w:pStyle w:val="NoSpacing"/>
        <w:rPr>
          <w:rFonts w:ascii="Bookman Old Style" w:hAnsi="Bookman Old Style"/>
          <w:i/>
        </w:rPr>
      </w:pPr>
      <w:r>
        <w:rPr>
          <w:rFonts w:ascii="Bookman Old Style" w:hAnsi="Bookman Old Style"/>
          <w:i/>
        </w:rPr>
        <w:t>Franklin County Comprehensive Emergency Management Plan – 2015</w:t>
      </w:r>
    </w:p>
    <w:p w:rsidR="00112BA9" w:rsidRDefault="00112BA9" w:rsidP="00112BA9">
      <w:pPr>
        <w:pStyle w:val="NoSpacing"/>
        <w:rPr>
          <w:rFonts w:ascii="Bookman Old Style" w:hAnsi="Bookman Old Style"/>
          <w:i/>
        </w:rPr>
      </w:pPr>
      <w:r>
        <w:rPr>
          <w:rFonts w:ascii="Bookman Old Style" w:hAnsi="Bookman Old Style"/>
          <w:i/>
        </w:rPr>
        <w:t>Prepared by: Franklin County Emergency Management</w:t>
      </w:r>
    </w:p>
    <w:p w:rsidR="00112BA9" w:rsidRDefault="00112BA9" w:rsidP="00112BA9">
      <w:pPr>
        <w:pStyle w:val="NoSpacing"/>
        <w:rPr>
          <w:rFonts w:ascii="Bookman Old Style" w:hAnsi="Bookman Old Style"/>
          <w:i/>
        </w:rPr>
      </w:pPr>
    </w:p>
    <w:p w:rsidR="00112BA9" w:rsidRDefault="00042A4A" w:rsidP="00112BA9">
      <w:pPr>
        <w:pStyle w:val="NoSpacing"/>
        <w:rPr>
          <w:rFonts w:ascii="Bookman Old Style" w:hAnsi="Bookman Old Style"/>
          <w:i/>
        </w:rPr>
      </w:pPr>
      <w:r>
        <w:rPr>
          <w:rFonts w:ascii="Bookman Old Style" w:hAnsi="Bookman Old Style"/>
          <w:i/>
        </w:rPr>
        <w:t>Region 8 Healthcare Systems Preparedness and Response Plan Rev. 10 – June 2013</w:t>
      </w:r>
    </w:p>
    <w:p w:rsidR="00042A4A" w:rsidRPr="00112BA9" w:rsidRDefault="00042A4A" w:rsidP="00112BA9">
      <w:pPr>
        <w:pStyle w:val="NoSpacing"/>
        <w:rPr>
          <w:rFonts w:ascii="Bookman Old Style" w:hAnsi="Bookman Old Style"/>
          <w:i/>
        </w:rPr>
      </w:pPr>
      <w:proofErr w:type="gramStart"/>
      <w:r>
        <w:rPr>
          <w:rFonts w:ascii="Bookman Old Style" w:hAnsi="Bookman Old Style"/>
          <w:i/>
        </w:rPr>
        <w:t>Prepared by: Washington State Department of Health and Washington State Hospital Association.</w:t>
      </w:r>
      <w:proofErr w:type="gramEnd"/>
    </w:p>
    <w:p w:rsidR="00112BA9" w:rsidRPr="00112BA9" w:rsidRDefault="00112BA9" w:rsidP="00130D5E">
      <w:pPr>
        <w:jc w:val="both"/>
        <w:rPr>
          <w:rFonts w:ascii="Bookman Old Style" w:hAnsi="Bookman Old Style"/>
          <w:i/>
        </w:rPr>
      </w:pPr>
    </w:p>
    <w:sectPr w:rsidR="00112BA9" w:rsidRPr="00112BA9" w:rsidSect="00DC7A8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Benjamin Shearer" w:date="2017-05-16T15:31:00Z" w:initials="BS">
    <w:p w:rsidR="005D21C5" w:rsidRDefault="005D21C5">
      <w:pPr>
        <w:pStyle w:val="CommentText"/>
      </w:pPr>
      <w:r>
        <w:rPr>
          <w:rStyle w:val="CommentReference"/>
        </w:rPr>
        <w:annotationRef/>
      </w:r>
      <w:r>
        <w:t xml:space="preserve">Credit to Troy </w:t>
      </w:r>
      <w:proofErr w:type="spellStart"/>
      <w:r>
        <w:t>Hendrin</w:t>
      </w:r>
      <w:proofErr w:type="spellEnd"/>
      <w:r>
        <w:t xml:space="preserve"> Pasco Building Depart</w:t>
      </w:r>
    </w:p>
    <w:p w:rsidR="005D21C5" w:rsidRDefault="005D21C5">
      <w:pPr>
        <w:pStyle w:val="CommentText"/>
      </w:pPr>
    </w:p>
  </w:comment>
  <w:comment w:id="14" w:author="Benjamin Shearer [2]" w:date="2017-05-15T03:22:00Z" w:initials="BS">
    <w:p w:rsidR="005D21C5" w:rsidRDefault="005D21C5">
      <w:pPr>
        <w:pStyle w:val="CommentText"/>
      </w:pPr>
      <w:r>
        <w:rPr>
          <w:rStyle w:val="CommentReference"/>
        </w:rPr>
        <w:annotationRef/>
      </w:r>
      <w:r>
        <w:t>Not sure of this wording!  Something about using resources…</w:t>
      </w:r>
    </w:p>
  </w:comment>
  <w:comment w:id="16" w:author="Benjamin Shearer [2]" w:date="2017-05-15T03:32:00Z" w:initials="BS">
    <w:p w:rsidR="005D21C5" w:rsidRDefault="005D21C5">
      <w:pPr>
        <w:pStyle w:val="CommentText"/>
      </w:pPr>
      <w:r>
        <w:rPr>
          <w:rStyle w:val="CommentReference"/>
        </w:rPr>
        <w:annotationRef/>
      </w:r>
      <w:r>
        <w:t xml:space="preserve">This will be 911 abuse calls, and Community Paramedic program. </w:t>
      </w:r>
    </w:p>
  </w:comment>
  <w:comment w:id="17" w:author="Benjamin Shearer [2]" w:date="2017-05-16T06:13:00Z" w:initials="BS">
    <w:p w:rsidR="005D21C5" w:rsidRDefault="005D21C5">
      <w:pPr>
        <w:pStyle w:val="CommentText"/>
      </w:pPr>
      <w:r>
        <w:rPr>
          <w:rStyle w:val="CommentReference"/>
        </w:rPr>
        <w:annotationRef/>
      </w:r>
      <w:r>
        <w:t>Need better wording.  Thinking of getting ramps built so people could transport them-selves.</w:t>
      </w:r>
    </w:p>
    <w:p w:rsidR="005D21C5" w:rsidRDefault="005D21C5">
      <w:pPr>
        <w:pStyle w:val="CommentText"/>
      </w:pPr>
      <w:r w:rsidRPr="00DA1592">
        <w:t>People will be able to get out of their homes with-out the aid of stretchers and extra people.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D3153"/>
    <w:multiLevelType w:val="hybridMultilevel"/>
    <w:tmpl w:val="0898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042BD6"/>
    <w:multiLevelType w:val="hybridMultilevel"/>
    <w:tmpl w:val="F83A52C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
    <w:nsid w:val="781B6F8A"/>
    <w:multiLevelType w:val="hybridMultilevel"/>
    <w:tmpl w:val="8E0A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jamin Shearer">
    <w15:presenceInfo w15:providerId="AD" w15:userId="S-1-5-21-1479881094-1506102049-1231754661-2286"/>
  </w15:person>
  <w15:person w15:author="Benjamin Shearer [2]">
    <w15:presenceInfo w15:providerId="Windows Live" w15:userId="c0116c85cdbe8b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9B5"/>
    <w:rsid w:val="00002E8E"/>
    <w:rsid w:val="00017B16"/>
    <w:rsid w:val="00025E09"/>
    <w:rsid w:val="00026227"/>
    <w:rsid w:val="00042A4A"/>
    <w:rsid w:val="00086615"/>
    <w:rsid w:val="000928E8"/>
    <w:rsid w:val="000A3B9A"/>
    <w:rsid w:val="000B32F8"/>
    <w:rsid w:val="000C540F"/>
    <w:rsid w:val="000D0249"/>
    <w:rsid w:val="000D1963"/>
    <w:rsid w:val="000F47A0"/>
    <w:rsid w:val="0010603F"/>
    <w:rsid w:val="00107E08"/>
    <w:rsid w:val="00112BA9"/>
    <w:rsid w:val="0012764B"/>
    <w:rsid w:val="00130D5E"/>
    <w:rsid w:val="001707C8"/>
    <w:rsid w:val="001C09DF"/>
    <w:rsid w:val="001C31DF"/>
    <w:rsid w:val="001C6280"/>
    <w:rsid w:val="001D00C9"/>
    <w:rsid w:val="001D277B"/>
    <w:rsid w:val="001D7A0F"/>
    <w:rsid w:val="002007E9"/>
    <w:rsid w:val="002037FC"/>
    <w:rsid w:val="00217BB7"/>
    <w:rsid w:val="00230449"/>
    <w:rsid w:val="00237976"/>
    <w:rsid w:val="00240E65"/>
    <w:rsid w:val="00246898"/>
    <w:rsid w:val="002777DD"/>
    <w:rsid w:val="002803D4"/>
    <w:rsid w:val="0029685C"/>
    <w:rsid w:val="002B3A2F"/>
    <w:rsid w:val="002D634F"/>
    <w:rsid w:val="002E0B56"/>
    <w:rsid w:val="003116C2"/>
    <w:rsid w:val="003136DF"/>
    <w:rsid w:val="00314652"/>
    <w:rsid w:val="00332D39"/>
    <w:rsid w:val="0037376C"/>
    <w:rsid w:val="003D0951"/>
    <w:rsid w:val="003D6E59"/>
    <w:rsid w:val="003E5957"/>
    <w:rsid w:val="0040273C"/>
    <w:rsid w:val="00411218"/>
    <w:rsid w:val="00415916"/>
    <w:rsid w:val="00423589"/>
    <w:rsid w:val="00430A02"/>
    <w:rsid w:val="00444E8E"/>
    <w:rsid w:val="0045109A"/>
    <w:rsid w:val="004621EC"/>
    <w:rsid w:val="00464D4F"/>
    <w:rsid w:val="004907B3"/>
    <w:rsid w:val="004A5F2D"/>
    <w:rsid w:val="004B752B"/>
    <w:rsid w:val="004D7368"/>
    <w:rsid w:val="00500652"/>
    <w:rsid w:val="005100E1"/>
    <w:rsid w:val="00512CCF"/>
    <w:rsid w:val="00546664"/>
    <w:rsid w:val="005728CA"/>
    <w:rsid w:val="005749D3"/>
    <w:rsid w:val="00587F5F"/>
    <w:rsid w:val="005A6F5E"/>
    <w:rsid w:val="005C1BD2"/>
    <w:rsid w:val="005D21C5"/>
    <w:rsid w:val="005E5617"/>
    <w:rsid w:val="00605CC3"/>
    <w:rsid w:val="006119B5"/>
    <w:rsid w:val="006133F1"/>
    <w:rsid w:val="006369DB"/>
    <w:rsid w:val="00645AA9"/>
    <w:rsid w:val="00666D6A"/>
    <w:rsid w:val="006957A6"/>
    <w:rsid w:val="006C1532"/>
    <w:rsid w:val="006C3283"/>
    <w:rsid w:val="006D0990"/>
    <w:rsid w:val="006D6162"/>
    <w:rsid w:val="006F1948"/>
    <w:rsid w:val="00715519"/>
    <w:rsid w:val="00722CC6"/>
    <w:rsid w:val="0073619B"/>
    <w:rsid w:val="007617DC"/>
    <w:rsid w:val="0076186D"/>
    <w:rsid w:val="0077190E"/>
    <w:rsid w:val="007765C0"/>
    <w:rsid w:val="007A04B8"/>
    <w:rsid w:val="007A1CFF"/>
    <w:rsid w:val="007D7271"/>
    <w:rsid w:val="007F3F65"/>
    <w:rsid w:val="007F7226"/>
    <w:rsid w:val="00811B8D"/>
    <w:rsid w:val="008142C6"/>
    <w:rsid w:val="008259A2"/>
    <w:rsid w:val="008629A1"/>
    <w:rsid w:val="008779E7"/>
    <w:rsid w:val="00884A4B"/>
    <w:rsid w:val="008977F8"/>
    <w:rsid w:val="008B042F"/>
    <w:rsid w:val="008F0B12"/>
    <w:rsid w:val="008F2AF6"/>
    <w:rsid w:val="00917E0D"/>
    <w:rsid w:val="00935CEA"/>
    <w:rsid w:val="009460F5"/>
    <w:rsid w:val="009579E2"/>
    <w:rsid w:val="0096300F"/>
    <w:rsid w:val="009739F8"/>
    <w:rsid w:val="009741C1"/>
    <w:rsid w:val="009845F7"/>
    <w:rsid w:val="009860F7"/>
    <w:rsid w:val="0099206B"/>
    <w:rsid w:val="009A06B0"/>
    <w:rsid w:val="009B661D"/>
    <w:rsid w:val="009C0CA0"/>
    <w:rsid w:val="009C3BF9"/>
    <w:rsid w:val="009E748E"/>
    <w:rsid w:val="009F1F35"/>
    <w:rsid w:val="009F5DF7"/>
    <w:rsid w:val="00A00D70"/>
    <w:rsid w:val="00A25FE2"/>
    <w:rsid w:val="00A40761"/>
    <w:rsid w:val="00A46441"/>
    <w:rsid w:val="00A52490"/>
    <w:rsid w:val="00A820DA"/>
    <w:rsid w:val="00AC3398"/>
    <w:rsid w:val="00AC4349"/>
    <w:rsid w:val="00AD4516"/>
    <w:rsid w:val="00AE48C4"/>
    <w:rsid w:val="00B20F65"/>
    <w:rsid w:val="00B225BB"/>
    <w:rsid w:val="00B25A4C"/>
    <w:rsid w:val="00B27664"/>
    <w:rsid w:val="00B61A7D"/>
    <w:rsid w:val="00B652FB"/>
    <w:rsid w:val="00B873D4"/>
    <w:rsid w:val="00B96EB5"/>
    <w:rsid w:val="00BB523A"/>
    <w:rsid w:val="00BB6E92"/>
    <w:rsid w:val="00BE05D1"/>
    <w:rsid w:val="00BE2524"/>
    <w:rsid w:val="00C14D77"/>
    <w:rsid w:val="00C1679B"/>
    <w:rsid w:val="00C26E86"/>
    <w:rsid w:val="00C73B64"/>
    <w:rsid w:val="00C81559"/>
    <w:rsid w:val="00CA5F67"/>
    <w:rsid w:val="00CC12ED"/>
    <w:rsid w:val="00CD37E3"/>
    <w:rsid w:val="00D11F08"/>
    <w:rsid w:val="00D23393"/>
    <w:rsid w:val="00D258EE"/>
    <w:rsid w:val="00D345A9"/>
    <w:rsid w:val="00D50B58"/>
    <w:rsid w:val="00D82290"/>
    <w:rsid w:val="00DA155A"/>
    <w:rsid w:val="00DA1592"/>
    <w:rsid w:val="00DB0210"/>
    <w:rsid w:val="00DC7A89"/>
    <w:rsid w:val="00DE10C9"/>
    <w:rsid w:val="00DF0515"/>
    <w:rsid w:val="00DF5637"/>
    <w:rsid w:val="00E07F76"/>
    <w:rsid w:val="00E131E9"/>
    <w:rsid w:val="00E319EA"/>
    <w:rsid w:val="00E37486"/>
    <w:rsid w:val="00E5265D"/>
    <w:rsid w:val="00E718A8"/>
    <w:rsid w:val="00E76C6E"/>
    <w:rsid w:val="00E9300A"/>
    <w:rsid w:val="00EA0BEF"/>
    <w:rsid w:val="00EA27F3"/>
    <w:rsid w:val="00EC1624"/>
    <w:rsid w:val="00EC638E"/>
    <w:rsid w:val="00ED07E2"/>
    <w:rsid w:val="00ED6EDB"/>
    <w:rsid w:val="00EF0408"/>
    <w:rsid w:val="00F15927"/>
    <w:rsid w:val="00F33CBE"/>
    <w:rsid w:val="00F4618B"/>
    <w:rsid w:val="00F57247"/>
    <w:rsid w:val="00F855B9"/>
    <w:rsid w:val="00FB71FF"/>
    <w:rsid w:val="00FB748A"/>
    <w:rsid w:val="00FD135E"/>
    <w:rsid w:val="00FD1F74"/>
    <w:rsid w:val="00FD4A2C"/>
    <w:rsid w:val="00FF6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B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19B5"/>
    <w:pPr>
      <w:spacing w:after="0" w:line="240" w:lineRule="auto"/>
    </w:pPr>
  </w:style>
  <w:style w:type="character" w:customStyle="1" w:styleId="NoSpacingChar">
    <w:name w:val="No Spacing Char"/>
    <w:basedOn w:val="DefaultParagraphFont"/>
    <w:link w:val="NoSpacing"/>
    <w:uiPriority w:val="1"/>
    <w:rsid w:val="006119B5"/>
  </w:style>
  <w:style w:type="paragraph" w:styleId="BalloonText">
    <w:name w:val="Balloon Text"/>
    <w:basedOn w:val="Normal"/>
    <w:link w:val="BalloonTextChar"/>
    <w:uiPriority w:val="99"/>
    <w:semiHidden/>
    <w:unhideWhenUsed/>
    <w:rsid w:val="00611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9B5"/>
    <w:rPr>
      <w:rFonts w:ascii="Tahoma" w:hAnsi="Tahoma" w:cs="Tahoma"/>
      <w:sz w:val="16"/>
      <w:szCs w:val="16"/>
    </w:rPr>
  </w:style>
  <w:style w:type="table" w:styleId="LightShading-Accent5">
    <w:name w:val="Light Shading Accent 5"/>
    <w:basedOn w:val="TableNormal"/>
    <w:uiPriority w:val="60"/>
    <w:rsid w:val="006119B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119B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29685C"/>
    <w:pPr>
      <w:ind w:left="720"/>
      <w:contextualSpacing/>
    </w:pPr>
  </w:style>
  <w:style w:type="table" w:styleId="TableGrid">
    <w:name w:val="Table Grid"/>
    <w:basedOn w:val="TableNormal"/>
    <w:uiPriority w:val="59"/>
    <w:rsid w:val="00605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92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0990"/>
    <w:rPr>
      <w:sz w:val="16"/>
      <w:szCs w:val="16"/>
    </w:rPr>
  </w:style>
  <w:style w:type="paragraph" w:styleId="CommentText">
    <w:name w:val="annotation text"/>
    <w:basedOn w:val="Normal"/>
    <w:link w:val="CommentTextChar"/>
    <w:uiPriority w:val="99"/>
    <w:semiHidden/>
    <w:unhideWhenUsed/>
    <w:rsid w:val="006D0990"/>
    <w:pPr>
      <w:spacing w:line="240" w:lineRule="auto"/>
    </w:pPr>
    <w:rPr>
      <w:sz w:val="20"/>
      <w:szCs w:val="20"/>
    </w:rPr>
  </w:style>
  <w:style w:type="character" w:customStyle="1" w:styleId="CommentTextChar">
    <w:name w:val="Comment Text Char"/>
    <w:basedOn w:val="DefaultParagraphFont"/>
    <w:link w:val="CommentText"/>
    <w:uiPriority w:val="99"/>
    <w:semiHidden/>
    <w:rsid w:val="006D0990"/>
    <w:rPr>
      <w:sz w:val="20"/>
      <w:szCs w:val="20"/>
    </w:rPr>
  </w:style>
  <w:style w:type="paragraph" w:styleId="CommentSubject">
    <w:name w:val="annotation subject"/>
    <w:basedOn w:val="CommentText"/>
    <w:next w:val="CommentText"/>
    <w:link w:val="CommentSubjectChar"/>
    <w:uiPriority w:val="99"/>
    <w:semiHidden/>
    <w:unhideWhenUsed/>
    <w:rsid w:val="006D0990"/>
    <w:rPr>
      <w:b/>
      <w:bCs/>
    </w:rPr>
  </w:style>
  <w:style w:type="character" w:customStyle="1" w:styleId="CommentSubjectChar">
    <w:name w:val="Comment Subject Char"/>
    <w:basedOn w:val="CommentTextChar"/>
    <w:link w:val="CommentSubject"/>
    <w:uiPriority w:val="99"/>
    <w:semiHidden/>
    <w:rsid w:val="006D099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B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19B5"/>
    <w:pPr>
      <w:spacing w:after="0" w:line="240" w:lineRule="auto"/>
    </w:pPr>
  </w:style>
  <w:style w:type="character" w:customStyle="1" w:styleId="NoSpacingChar">
    <w:name w:val="No Spacing Char"/>
    <w:basedOn w:val="DefaultParagraphFont"/>
    <w:link w:val="NoSpacing"/>
    <w:uiPriority w:val="1"/>
    <w:rsid w:val="006119B5"/>
  </w:style>
  <w:style w:type="paragraph" w:styleId="BalloonText">
    <w:name w:val="Balloon Text"/>
    <w:basedOn w:val="Normal"/>
    <w:link w:val="BalloonTextChar"/>
    <w:uiPriority w:val="99"/>
    <w:semiHidden/>
    <w:unhideWhenUsed/>
    <w:rsid w:val="00611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9B5"/>
    <w:rPr>
      <w:rFonts w:ascii="Tahoma" w:hAnsi="Tahoma" w:cs="Tahoma"/>
      <w:sz w:val="16"/>
      <w:szCs w:val="16"/>
    </w:rPr>
  </w:style>
  <w:style w:type="table" w:styleId="LightShading-Accent5">
    <w:name w:val="Light Shading Accent 5"/>
    <w:basedOn w:val="TableNormal"/>
    <w:uiPriority w:val="60"/>
    <w:rsid w:val="006119B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119B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29685C"/>
    <w:pPr>
      <w:ind w:left="720"/>
      <w:contextualSpacing/>
    </w:pPr>
  </w:style>
  <w:style w:type="table" w:styleId="TableGrid">
    <w:name w:val="Table Grid"/>
    <w:basedOn w:val="TableNormal"/>
    <w:uiPriority w:val="59"/>
    <w:rsid w:val="00605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92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0990"/>
    <w:rPr>
      <w:sz w:val="16"/>
      <w:szCs w:val="16"/>
    </w:rPr>
  </w:style>
  <w:style w:type="paragraph" w:styleId="CommentText">
    <w:name w:val="annotation text"/>
    <w:basedOn w:val="Normal"/>
    <w:link w:val="CommentTextChar"/>
    <w:uiPriority w:val="99"/>
    <w:semiHidden/>
    <w:unhideWhenUsed/>
    <w:rsid w:val="006D0990"/>
    <w:pPr>
      <w:spacing w:line="240" w:lineRule="auto"/>
    </w:pPr>
    <w:rPr>
      <w:sz w:val="20"/>
      <w:szCs w:val="20"/>
    </w:rPr>
  </w:style>
  <w:style w:type="character" w:customStyle="1" w:styleId="CommentTextChar">
    <w:name w:val="Comment Text Char"/>
    <w:basedOn w:val="DefaultParagraphFont"/>
    <w:link w:val="CommentText"/>
    <w:uiPriority w:val="99"/>
    <w:semiHidden/>
    <w:rsid w:val="006D0990"/>
    <w:rPr>
      <w:sz w:val="20"/>
      <w:szCs w:val="20"/>
    </w:rPr>
  </w:style>
  <w:style w:type="paragraph" w:styleId="CommentSubject">
    <w:name w:val="annotation subject"/>
    <w:basedOn w:val="CommentText"/>
    <w:next w:val="CommentText"/>
    <w:link w:val="CommentSubjectChar"/>
    <w:uiPriority w:val="99"/>
    <w:semiHidden/>
    <w:unhideWhenUsed/>
    <w:rsid w:val="006D0990"/>
    <w:rPr>
      <w:b/>
      <w:bCs/>
    </w:rPr>
  </w:style>
  <w:style w:type="character" w:customStyle="1" w:styleId="CommentSubjectChar">
    <w:name w:val="Comment Subject Char"/>
    <w:basedOn w:val="CommentTextChar"/>
    <w:link w:val="CommentSubject"/>
    <w:uiPriority w:val="99"/>
    <w:semiHidden/>
    <w:rsid w:val="006D0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11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comments" Target="comments.xml"/><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image" Target="media/image14.jpg"/><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Incidents per 1,000 population - 2015</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Sheet1!$D$6:$E$6</c:f>
              <c:numCache>
                <c:formatCode>General</c:formatCode>
                <c:ptCount val="2"/>
                <c:pt idx="0">
                  <c:v>66.7</c:v>
                </c:pt>
                <c:pt idx="1">
                  <c:v>74.7</c:v>
                </c:pt>
              </c:numCache>
            </c:numRef>
          </c:val>
          <c:extLst xmlns:c16r2="http://schemas.microsoft.com/office/drawing/2015/06/chart">
            <c:ext xmlns:c16="http://schemas.microsoft.com/office/drawing/2014/chart" uri="{C3380CC4-5D6E-409C-BE32-E72D297353CC}">
              <c16:uniqueId val="{00000000-41D4-416E-85A8-A8A40558B17C}"/>
            </c:ext>
          </c:extLst>
        </c:ser>
        <c:dLbls>
          <c:dLblPos val="outEnd"/>
          <c:showLegendKey val="0"/>
          <c:showVal val="1"/>
          <c:showCatName val="0"/>
          <c:showSerName val="0"/>
          <c:showPercent val="0"/>
          <c:showBubbleSize val="0"/>
        </c:dLbls>
        <c:gapWidth val="150"/>
        <c:axId val="431665536"/>
        <c:axId val="482602368"/>
      </c:barChart>
      <c:catAx>
        <c:axId val="431665536"/>
        <c:scaling>
          <c:orientation val="minMax"/>
        </c:scaling>
        <c:delete val="1"/>
        <c:axPos val="b"/>
        <c:title>
          <c:tx>
            <c:rich>
              <a:bodyPr/>
              <a:lstStyle/>
              <a:p>
                <a:pPr>
                  <a:defRPr/>
                </a:pPr>
                <a:r>
                  <a:rPr lang="en-US"/>
                  <a:t>Regional</a:t>
                </a:r>
                <a:r>
                  <a:rPr lang="en-US" baseline="0"/>
                  <a:t> Median</a:t>
                </a:r>
                <a:endParaRPr lang="en-US"/>
              </a:p>
            </c:rich>
          </c:tx>
          <c:layout>
            <c:manualLayout>
              <c:xMode val="edge"/>
              <c:yMode val="edge"/>
              <c:x val="0.18718175853018371"/>
              <c:y val="0.89141611159882606"/>
            </c:manualLayout>
          </c:layout>
          <c:overlay val="0"/>
        </c:title>
        <c:majorTickMark val="out"/>
        <c:minorTickMark val="none"/>
        <c:tickLblPos val="nextTo"/>
        <c:crossAx val="482602368"/>
        <c:crosses val="autoZero"/>
        <c:auto val="1"/>
        <c:lblAlgn val="ctr"/>
        <c:lblOffset val="100"/>
        <c:noMultiLvlLbl val="0"/>
      </c:catAx>
      <c:valAx>
        <c:axId val="482602368"/>
        <c:scaling>
          <c:orientation val="minMax"/>
        </c:scaling>
        <c:delete val="0"/>
        <c:axPos val="l"/>
        <c:majorGridlines/>
        <c:numFmt formatCode="General" sourceLinked="1"/>
        <c:majorTickMark val="out"/>
        <c:minorTickMark val="none"/>
        <c:tickLblPos val="nextTo"/>
        <c:crossAx val="431665536"/>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Call</a:t>
            </a:r>
            <a:r>
              <a:rPr lang="en-US" baseline="0"/>
              <a:t> Volume</a:t>
            </a:r>
            <a:endParaRPr lang="en-US"/>
          </a:p>
        </c:rich>
      </c:tx>
      <c:overlay val="0"/>
    </c:title>
    <c:autoTitleDeleted val="0"/>
    <c:plotArea>
      <c:layout/>
      <c:lineChart>
        <c:grouping val="stacked"/>
        <c:varyColors val="0"/>
        <c:ser>
          <c:idx val="1"/>
          <c:order val="0"/>
          <c:tx>
            <c:strRef>
              <c:f>Sheet3!$B$7</c:f>
              <c:strCache>
                <c:ptCount val="1"/>
                <c:pt idx="0">
                  <c:v>Calls</c:v>
                </c:pt>
              </c:strCache>
            </c:strRef>
          </c:tx>
          <c:marker>
            <c:symbol val="none"/>
          </c:marker>
          <c:dLbls>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Sheet3!$A$8:$A$12</c:f>
              <c:numCache>
                <c:formatCode>General</c:formatCode>
                <c:ptCount val="5"/>
                <c:pt idx="0">
                  <c:v>2011</c:v>
                </c:pt>
                <c:pt idx="1">
                  <c:v>2012</c:v>
                </c:pt>
                <c:pt idx="2">
                  <c:v>2013</c:v>
                </c:pt>
                <c:pt idx="3">
                  <c:v>2014</c:v>
                </c:pt>
                <c:pt idx="4">
                  <c:v>2015</c:v>
                </c:pt>
              </c:numCache>
            </c:numRef>
          </c:cat>
          <c:val>
            <c:numRef>
              <c:f>Sheet3!$B$8:$B$12</c:f>
              <c:numCache>
                <c:formatCode>General</c:formatCode>
                <c:ptCount val="5"/>
                <c:pt idx="0">
                  <c:v>4232</c:v>
                </c:pt>
                <c:pt idx="1">
                  <c:v>4397</c:v>
                </c:pt>
                <c:pt idx="2">
                  <c:v>4331</c:v>
                </c:pt>
                <c:pt idx="3">
                  <c:v>4701</c:v>
                </c:pt>
                <c:pt idx="4">
                  <c:v>5097</c:v>
                </c:pt>
              </c:numCache>
            </c:numRef>
          </c:val>
          <c:smooth val="0"/>
          <c:extLst xmlns:c16r2="http://schemas.microsoft.com/office/drawing/2015/06/chart">
            <c:ext xmlns:c16="http://schemas.microsoft.com/office/drawing/2014/chart" uri="{C3380CC4-5D6E-409C-BE32-E72D297353CC}">
              <c16:uniqueId val="{00000000-B1F2-40AE-843C-763CA33C8AC4}"/>
            </c:ext>
          </c:extLst>
        </c:ser>
        <c:dLbls>
          <c:showLegendKey val="0"/>
          <c:showVal val="0"/>
          <c:showCatName val="0"/>
          <c:showSerName val="0"/>
          <c:showPercent val="0"/>
          <c:showBubbleSize val="0"/>
        </c:dLbls>
        <c:marker val="1"/>
        <c:smooth val="0"/>
        <c:axId val="190540800"/>
        <c:axId val="194732800"/>
      </c:lineChart>
      <c:catAx>
        <c:axId val="19054080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4732800"/>
        <c:crosses val="autoZero"/>
        <c:auto val="1"/>
        <c:lblAlgn val="ctr"/>
        <c:lblOffset val="100"/>
        <c:noMultiLvlLbl val="0"/>
      </c:catAx>
      <c:valAx>
        <c:axId val="19473280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0540800"/>
        <c:crosses val="autoZero"/>
        <c:crossBetween val="between"/>
      </c:valAx>
      <c:spPr>
        <a:solidFill>
          <a:schemeClr val="accent5">
            <a:lumMod val="20000"/>
            <a:lumOff val="80000"/>
          </a:schemeClr>
        </a:solidFill>
      </c:spPr>
    </c:plotArea>
    <c:plotVisOnly val="1"/>
    <c:dispBlanksAs val="zero"/>
    <c:showDLblsOverMax val="0"/>
  </c:chart>
  <c:spPr>
    <a:solidFill>
      <a:schemeClr val="lt1"/>
    </a:solidFill>
    <a:ln w="25400" cap="flat" cmpd="sng" algn="ctr">
      <a:solidFill>
        <a:schemeClr val="accent5"/>
      </a:solidFill>
      <a:prstDash val="soli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0.68958</cdr:x>
      <cdr:y>0.88368</cdr:y>
    </cdr:from>
    <cdr:to>
      <cdr:x>0.80625</cdr:x>
      <cdr:y>0.96123</cdr:y>
    </cdr:to>
    <cdr:sp macro="" textlink="">
      <cdr:nvSpPr>
        <cdr:cNvPr id="3" name="TextBox 2"/>
        <cdr:cNvSpPr txBox="1"/>
      </cdr:nvSpPr>
      <cdr:spPr>
        <a:xfrm xmlns:a="http://schemas.openxmlformats.org/drawingml/2006/main">
          <a:off x="3152776" y="2605088"/>
          <a:ext cx="5334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PFD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64CB95-35BD-4839-A5BC-47E84668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28</Pages>
  <Words>7130</Words>
  <Characters>40645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Community Risk Analysis</vt:lpstr>
    </vt:vector>
  </TitlesOfParts>
  <Company>City of Pasco</Company>
  <LinksUpToDate>false</LinksUpToDate>
  <CharactersWithSpaces>47680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Risk Analysis</dc:title>
  <dc:subject>Vision 20/20 Analysis</dc:subject>
  <dc:creator>Ben Shearer</dc:creator>
  <cp:lastModifiedBy>David Hare</cp:lastModifiedBy>
  <cp:revision>5</cp:revision>
  <cp:lastPrinted>2017-06-07T18:25:00Z</cp:lastPrinted>
  <dcterms:created xsi:type="dcterms:W3CDTF">2017-05-19T20:55:00Z</dcterms:created>
  <dcterms:modified xsi:type="dcterms:W3CDTF">2017-06-07T19:55:00Z</dcterms:modified>
</cp:coreProperties>
</file>